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0651F"/>
          </w:tcPr>
          <w:p>
            <w:pPr>
              <w:spacing w:before="20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BRADFORD VTS TEACHING AIDS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8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FFFFF"/>
                <w:sz w:val="48"/>
              </w:rPr>
              <w:t>Emergencies in GP - EmAQ assessment questionnaire</w:t>
            </w:r>
          </w:p>
        </w:tc>
      </w:tr>
      <w:tr>
        <w:tc>
          <w:tcPr>
            <w:tcW w:type="dxa" w:w="10200"/>
            <w:shd w:fill="E0651F"/>
          </w:tcPr>
          <w:p>
            <w:pPr>
              <w:spacing w:before="40" w:after="200" w:line="240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FFF7F2"/>
                <w:sz w:val="22"/>
              </w:rPr>
              <w:t>Assessment questionnaire · Bradford VTS · May 2026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3C6AE"/>
          </w:tcPr>
          <w:p>
            <w:pPr>
              <w:spacing w:before="480" w:after="480" w:line="276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7A3E1C"/>
                <w:sz w:val="22"/>
              </w:rPr>
              <w:t>[Hero image placeholder]</w:t>
            </w:r>
          </w:p>
        </w:tc>
      </w:tr>
    </w:tbl>
    <w:p>
      <w:pPr>
        <w:spacing w:before="0" w:after="240" w:line="276" w:lineRule="auto"/>
        <w:jc w:val="center"/>
      </w:pPr>
      <w:r>
        <w:rPr>
          <w:rFonts w:ascii="Calibri" w:hAnsi="Calibri" w:eastAsia="Calibri"/>
          <w:b w:val="0"/>
          <w:i/>
          <w:color w:val="666666"/>
          <w:sz w:val="18"/>
        </w:rPr>
        <w:t>Assessment questionnaire summary sheet for GP trainees and trainers in UK primary care.</w:t>
      </w:r>
    </w:p>
    <w:p>
      <w:pPr>
        <w:spacing w:before="240" w:after="120" w:line="276" w:lineRule="auto"/>
      </w:pPr>
      <w:r>
        <w:rPr>
          <w:rFonts w:ascii="Calibri" w:hAnsi="Calibri" w:eastAsia="Calibri"/>
          <w:b/>
          <w:i w:val="0"/>
          <w:color w:val="1F2937"/>
          <w:sz w:val="36"/>
        </w:rPr>
        <w:t>Purpose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Standalone educational assessment tool. Keep questions intact and use this as a structured self-test or facilitated teaching exercise.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Emergencies Assessment Questionnaire (EmAQ)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There is a lot to cover and learn in General Practice – the knowledge and skills to practice as a General Practitioner are vast. This can be rather daunting to the new GP trainee. So, as a starting point, the most important thing is not to miss the emergencies. With other diagnoses, there is always a little bit of time you can play around with, but with emergencies, there is not. So, let’s make sure you are familiar with the emergencies in General Practice – which is far less overwhelming that the total knowledge required to be an effective GP.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The Clinical List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Write a diagnosis next to each statement. Put a cross in the boxes you DO NOT feel confident with.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Cardiovascular system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Elderly patient SOB at night (in winter)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Middle-aged man, chest pain central and refer to left arm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Sudden onset of pleuritic pain and haemoptysis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Sudden onset painful, cold pale leg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Faintness, abdominal and back pain in elderly man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Sudden onset of occipital headache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Unilaterally painful swollen lower leg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Sudden onset unilateral headache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Increasingly severe chest pain SOB over a few days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Gastrointestinal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Haematemesis after stag night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Worsening abdominal pain in a dyspeptic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Vomiting in a 6 week baby boy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Blood stained diarrhoea in 70 year old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Severe bleeding PR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Abdominal pain after minor RTA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Orthopaedics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18 month old refusing to walk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14 year old with painful hip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75 year old lady unable to move one leg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Back pain with urinary retention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Ophthalmology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Metal worker with sore eye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Severe painful eye with vomiting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Respiratory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Pyrexial, ill, breath sounds chesty, quiet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Chest pain in man, sudden onset of breathlessness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Hot, sweaty child, sore throat, dribbling, unable to swallow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Acute shortness of breathe in pt with COPD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Cough and chest pain with haemoptysis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Emergencies Assessment Questionnaire (EmAQ)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Obstetrics and Gynaecology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28 week pregnancy with slight pv bleed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36 week pregnant with headache &amp; oedema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15 year old with heavy and painful blood loss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28 week pregnant with chest pain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IUD fined today Now has abdominal pains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Neurological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g Sudden onset of severe occipital headache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Unexpectedly confused old lady, 2 weeks after a fall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A pyrexial twitching child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Pyrexial child with mottled rash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Urological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Man with agonising loin pain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Cyclist with pain in left testicle for past hour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Elderly man has not passed urine for 12 hours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Child with vomiting and rigors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Swollen penis for 6 hours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Psychological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Agitated, excited young man talking nonsense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Withdrawn morose nurse with access to insulin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Mum worried about her son being v depressed. Not getting out of bed, not eating,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 p g g , g, losing weight, unkempt. Son not engaging much and won’t talk about his feelings nor his plans.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Some other things worth knowing about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Put a cross in the box with areas you DO NOT feel familiar with.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Dealing with an abusive or aggressive patient (and protecting yourself)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Dealing with a suspected NAI in a child (and child protection issues in general)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Dealing with a suspected NAI in a vulnerable (and adult protection issues in general)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Dealing with domestic violence (and especially if there are children in the household)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Arranging compulsory admission to a mental hospital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The communication skills required for breaking bad news.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"You won't tell my father he has cancer will you Doctor?"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Request for a late home visit for a cold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Emergencies Assessment Questionnaire (EmAQ)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Top Tips to Prevent Misdiagnoses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Always Record the Vitals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y Always record the vitals, because if they are off, you generally need to worry!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Temperature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Pulse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Blood Pressure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Oxygen Sats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Read the 2WW Cancer Referral Guidelines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Every proforma for the cancer referral guidelines give you a list of alarm features for cancer.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Get familiar with them. You’ll need to know them for AKT and CSA anyway.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And Don’t Miss These…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Circle the things you don’t feel confident in recognising…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Cardiology MI Non-cardiac chest pain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Chest | PE | Panic attacks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Acute asthma | Acute asthma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ENT | Epiglottitis | Croup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Acoustic neuroma | Labyrinthitis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Eyes | Retinal detachment | Floaters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Acute glaucoma | Red eye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Gen Surgery | Aneurysm | Back ache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 | Renal colic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 | Severe GI bleed | Stomach ache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Appendicitis | Stomach ache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Gynae | Ectopic | Stomach ache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Neurology | Brain tumour | Headaches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Obstetrics APH Irrelevant bleed PET UTI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Orthopaedics | Septic joint | Frozen shoulder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SUFE | Irritable hip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 | Central disc prolapse | Other PID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Paediatrics | Kawasaki | Sore throat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 ---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Meningitis | URTI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 | Torsion | Abdominal pain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Renal Obstructed &amp; infected Renal colic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Emergencies Assessment Questionnaire (EmAQ)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Cardiovascular system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Orthopaedics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infective exacerbation of COPD acute MI pulmonary embolus acute ischaemic limb (embolism) ruptured AAA subarachnoid haem DVT migraine (causes severe pain if not Rx ) AF resulting in LVF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Mallory Wiess Tear Perforated DU Pyloric Stenosis Dysentry Malignancy Splenic Rupture/Damage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Ophthalmology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Respiratory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Cardiovascular system | 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--- | ---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Elderly patient SOB at night (in winter) | infective exacerbation of COPD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Middle-aged man, chest pain central and refer to left arm | acute MI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Sudden onset of pleuritic pain and haemoptysis | pulmonary embolus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Sudden onset painful, cold pale leg | acute ischaemic limb (embolism)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Faintness, abdominal and back pain in elderly man | ruptured AAA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Sudden onset of occipital headache | subarachnoid haem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Unilaterally painful swollen lower leg | DVT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Sudden onset unilateral headache | migraine (causes severe pain if not Rx )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Increasingly severe chest pain SOB over a few days | AF resulting in LVF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Gastrointestinal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Haematemesis after stag night | Mallory Wiess Tear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Worsening abdominal pain in a dyspeptic | Perforated DU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Vomiting in a 6 week baby boy | Pyloric Stenosis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Blood stained diarrhoea in 70 year old | Dysentry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Severe bleeding PR | Malignancy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Abdominal pain after minor RTA | Splenic Rupture/Damage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Orthopaedics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18 month old refusing to walk | CDH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14 year old with painful hip | Irritable Hip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75 year old lady unable to move one leg | Fracture NOF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Back pain with urinary retention | Cauda Equina Syndrome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Ophthalmology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Metal worker with sore eye | Foreign Body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Severe painful eye with vomiting | Subacute Glaucoma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Respiratory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Pyrexial, ill, breath sounds chesty, quiet | LRTI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Chest pain in man, sudden onset of breathlessness | Acute LVT (could be MI, PE or tension pneumotx)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Hot, sweaty child, sore throat, dribbling, unable to swallow | Acute Epiglottitis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Acute shortness of breathe in pt with COPD | Infective Exacerbation of COPD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Cough and chest pain with haemoptysis | PE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Obstetrics and Gynaecology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28 week pregnancy with slight pv bleed | Placenta Praevia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36 week pregnant with headache &amp; oedema | Pre-eclampsia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15 year old with heavy and painful blood loss | Ectopic Pregnancy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28 week pregnant with chest pain | PE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IUD fitted today Now has abdominal pains | Ruptured Uterus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Neurological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Sudden onset of severe occipital headache | SAH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Unexpectedly confused old lady, 2 weeks after a fall | Subdural haem. (middle meningeal artery)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A pyrexial twitching child | Febrile Convulsion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Pyrexial child with mottled rash | Meningococcal Septicaemia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Urological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Man with agonising loin pain | Renal Colic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Cyclist with pain in left testicle for past hour | Torsion of the Testis (most common in young lads)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Elderly man has not passed urine for 12 hours | Acute Urinary Retention (prostate)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Child with vomiting and rigors | UTI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Swollen penis for 6 hours | Paraphimosis (NB Priapism is erect penis that doesn’t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| Psychological | 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Agitated, excited young man talking nonsense | Psychotic |</w:t>
      </w:r>
    </w:p>
    <w:p>
      <w:pPr>
        <w:pStyle w:val="ListBullet"/>
        <w:spacing w:before="0" w:after="80" w:line="276" w:lineRule="auto"/>
      </w:pPr>
      <w:r>
        <w:rPr>
          <w:rFonts w:ascii="Calibri" w:hAnsi="Calibri" w:eastAsia="Calibri"/>
          <w:b w:val="0"/>
          <w:i w:val="0"/>
          <w:color w:val="222222"/>
          <w:sz w:val="21"/>
        </w:rPr>
        <w:t>| Withdrawn morose nurse with access to insulin | Suicidal |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Obstetrics and Gynaecology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Neurological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Urological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Psychological</w:t>
      </w:r>
    </w:p>
    <w:p>
      <w:pPr>
        <w:spacing w:before="160" w:after="120" w:line="276" w:lineRule="auto"/>
      </w:pPr>
      <w:r>
        <w:rPr>
          <w:rFonts w:ascii="Calibri" w:hAnsi="Calibri" w:eastAsia="Calibri"/>
          <w:b/>
          <w:i w:val="0"/>
          <w:color w:val="1F2937"/>
          <w:sz w:val="30"/>
        </w:rPr>
        <w:t>Educational disclaimer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C0392B"/>
          </w:tcPr>
          <w:p>
            <w:pPr>
              <w:spacing w:before="80" w:after="8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22"/>
              </w:rPr>
              <w:t>Important</w:t>
            </w:r>
          </w:p>
        </w:tc>
      </w:tr>
      <w:tr>
        <w:tc>
          <w:tcPr>
            <w:tcW w:type="dxa" w:w="10200"/>
            <w:shd w:fill="FAFAFA"/>
          </w:tcPr>
          <w:p>
            <w:pPr>
              <w:spacing w:before="40" w:after="4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222222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85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i w:val="0"/>
        <w:color w:val="666666"/>
        <w:sz w:val="16"/>
      </w:rPr>
      <w:t>A free resource provided by www.bradfordvts.co.uk, Dr Ramesh Mehay, revised May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