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200"/>
      </w:tblGrid>
      <w:tr>
        <w:tc>
          <w:tcPr>
            <w:tcW w:type="dxa" w:w="10200"/>
            <w:shd w:fill="E0651F"/>
          </w:tcPr>
          <w:p>
            <w:pPr>
              <w:spacing w:before="200" w:after="80" w:line="240" w:lineRule="auto"/>
              <w:jc w:val="center"/>
            </w:pPr>
            <w:r>
              <w:rPr>
                <w:rFonts w:ascii="Calibri" w:hAnsi="Calibri" w:eastAsia="Calibri"/>
                <w:b/>
                <w:i w:val="0"/>
                <w:color w:val="FFFFFF"/>
                <w:sz w:val="20"/>
              </w:rPr>
              <w:t>BRADFORD VTS TEACHING AIDS</w:t>
            </w:r>
          </w:p>
        </w:tc>
      </w:tr>
      <w:tr>
        <w:tc>
          <w:tcPr>
            <w:tcW w:type="dxa" w:w="10200"/>
            <w:shd w:fill="E0651F"/>
          </w:tcPr>
          <w:p>
            <w:pPr>
              <w:spacing w:before="40" w:after="80" w:line="240" w:lineRule="auto"/>
              <w:jc w:val="center"/>
            </w:pPr>
            <w:r>
              <w:rPr>
                <w:rFonts w:ascii="Calibri" w:hAnsi="Calibri" w:eastAsia="Calibri"/>
                <w:b/>
                <w:i w:val="0"/>
                <w:color w:val="FFFFFF"/>
                <w:sz w:val="48"/>
              </w:rPr>
              <w:t>Home visit protocol - Bradford GPR Group</w:t>
            </w:r>
          </w:p>
        </w:tc>
      </w:tr>
      <w:tr>
        <w:tc>
          <w:tcPr>
            <w:tcW w:type="dxa" w:w="10200"/>
            <w:shd w:fill="E0651F"/>
          </w:tcPr>
          <w:p>
            <w:pPr>
              <w:spacing w:before="40" w:after="200" w:line="240" w:lineRule="auto"/>
              <w:jc w:val="center"/>
            </w:pPr>
            <w:r>
              <w:rPr>
                <w:rFonts w:ascii="Calibri" w:hAnsi="Calibri" w:eastAsia="Calibri"/>
                <w:b w:val="0"/>
                <w:i/>
                <w:color w:val="FFF7F2"/>
                <w:sz w:val="22"/>
              </w:rPr>
              <w:t>Protocol · Bradford VTS · May 2026</w:t>
            </w:r>
          </w:p>
        </w:tc>
      </w:tr>
    </w:tbl>
    <w:p/>
    <w:tbl>
      <w:tblPr>
        <w:tblW w:type="auto" w:w="0"/>
        <w:tblLook w:firstColumn="1" w:firstRow="1" w:lastColumn="0" w:lastRow="0" w:noHBand="0" w:noVBand="1" w:val="04A0"/>
      </w:tblPr>
      <w:tblGrid>
        <w:gridCol w:w="10200"/>
      </w:tblGrid>
      <w:tr>
        <w:tc>
          <w:tcPr>
            <w:tcW w:type="dxa" w:w="10200"/>
            <w:shd w:fill="F3C6AE"/>
          </w:tcPr>
          <w:p>
            <w:pPr>
              <w:spacing w:before="480" w:after="480" w:line="276" w:lineRule="auto"/>
              <w:jc w:val="center"/>
            </w:pPr>
            <w:r>
              <w:rPr>
                <w:rFonts w:ascii="Calibri" w:hAnsi="Calibri" w:eastAsia="Calibri"/>
                <w:b w:val="0"/>
                <w:i/>
                <w:color w:val="7A3E1C"/>
                <w:sz w:val="22"/>
              </w:rPr>
              <w:t>[Hero image placeholder]</w:t>
            </w:r>
          </w:p>
        </w:tc>
      </w:tr>
    </w:tbl>
    <w:p>
      <w:pPr>
        <w:spacing w:before="0" w:after="240" w:line="276" w:lineRule="auto"/>
        <w:jc w:val="center"/>
      </w:pPr>
      <w:r>
        <w:rPr>
          <w:rFonts w:ascii="Calibri" w:hAnsi="Calibri" w:eastAsia="Calibri"/>
          <w:b w:val="0"/>
          <w:i/>
          <w:color w:val="666666"/>
          <w:sz w:val="18"/>
        </w:rPr>
        <w:t>Protocol summary sheet for GP trainees and trainers in UK primary care.</w:t>
      </w:r>
    </w:p>
    <w:p>
      <w:pPr>
        <w:spacing w:before="240" w:after="120" w:line="276" w:lineRule="auto"/>
      </w:pPr>
      <w:r>
        <w:rPr>
          <w:rFonts w:ascii="Calibri" w:hAnsi="Calibri" w:eastAsia="Calibri"/>
          <w:b/>
          <w:i w:val="0"/>
          <w:color w:val="1F2937"/>
          <w:sz w:val="36"/>
        </w:rPr>
        <w:t>Purpose</w:t>
      </w:r>
    </w:p>
    <w:p>
      <w:pPr>
        <w:pStyle w:val="ListBullet"/>
        <w:spacing w:before="0" w:after="80" w:line="276" w:lineRule="auto"/>
      </w:pPr>
      <w:r>
        <w:rPr>
          <w:rFonts w:ascii="Calibri" w:hAnsi="Calibri" w:eastAsia="Calibri"/>
          <w:b w:val="0"/>
          <w:i w:val="0"/>
          <w:color w:val="222222"/>
          <w:sz w:val="21"/>
        </w:rPr>
        <w:t>This protocol sets out safe and practical home visiting standards, including triage, response times, lone worker issues and documentation.</w:t>
      </w:r>
    </w:p>
    <w:p>
      <w:pPr>
        <w:spacing w:before="160" w:after="120" w:line="276" w:lineRule="auto"/>
      </w:pPr>
      <w:r>
        <w:rPr>
          <w:rFonts w:ascii="Calibri" w:hAnsi="Calibri" w:eastAsia="Calibri"/>
          <w:b/>
          <w:i w:val="0"/>
          <w:color w:val="1F2937"/>
          <w:sz w:val="30"/>
        </w:rPr>
        <w:t>Protocol for Home Visiting Bradford GPR Group</w:t>
      </w:r>
    </w:p>
    <w:p>
      <w:pPr>
        <w:pStyle w:val="ListBullet"/>
        <w:spacing w:before="0" w:after="80" w:line="276" w:lineRule="auto"/>
      </w:pPr>
      <w:r>
        <w:rPr>
          <w:rFonts w:ascii="Calibri" w:hAnsi="Calibri" w:eastAsia="Calibri"/>
          <w:b w:val="0"/>
          <w:i w:val="0"/>
          <w:color w:val="222222"/>
          <w:sz w:val="21"/>
        </w:rPr>
        <w:t>(Drs. Claire Burrell, Paul Harris, Muzmil Shaikh, Adrian Lamb, Dennis Lim, Asif Yaseen) (Facilitators : Ramesh Mehay, Jude Danby, Helen Swapp)</w:t>
      </w:r>
    </w:p>
    <w:p>
      <w:pPr>
        <w:spacing w:before="160" w:after="120" w:line="276" w:lineRule="auto"/>
      </w:pPr>
      <w:r>
        <w:rPr>
          <w:rFonts w:ascii="Calibri" w:hAnsi="Calibri" w:eastAsia="Calibri"/>
          <w:b/>
          <w:i w:val="0"/>
          <w:color w:val="1F2937"/>
          <w:sz w:val="30"/>
        </w:rPr>
        <w:t>1. PROTOCOL FOR RECEPTION STAFF</w:t>
      </w:r>
    </w:p>
    <w:p>
      <w:pPr>
        <w:pStyle w:val="ListBullet"/>
        <w:spacing w:before="0" w:after="80" w:line="276" w:lineRule="auto"/>
      </w:pPr>
      <w:r>
        <w:rPr>
          <w:rFonts w:ascii="Calibri" w:hAnsi="Calibri" w:eastAsia="Calibri"/>
          <w:b w:val="0"/>
          <w:i w:val="0"/>
          <w:color w:val="222222"/>
          <w:sz w:val="21"/>
        </w:rPr>
        <w:t>Need to ALWAYS obtain the telephone number the patient is calling from (as not all may be at home or calling from home!)</w:t>
      </w:r>
    </w:p>
    <w:p>
      <w:pPr>
        <w:pStyle w:val="ListBullet"/>
        <w:spacing w:before="0" w:after="80" w:line="276" w:lineRule="auto"/>
      </w:pPr>
      <w:r>
        <w:rPr>
          <w:rFonts w:ascii="Calibri" w:hAnsi="Calibri" w:eastAsia="Calibri"/>
          <w:b w:val="0"/>
          <w:i w:val="0"/>
          <w:color w:val="222222"/>
          <w:sz w:val="21"/>
        </w:rPr>
        <w:t>Obtaining the Reason for Request - Vague idea of the problem with the proviso that the patient is able to refuse</w:t>
      </w:r>
    </w:p>
    <w:p>
      <w:pPr>
        <w:pStyle w:val="ListBullet"/>
        <w:spacing w:before="0" w:after="80" w:line="276" w:lineRule="auto"/>
      </w:pPr>
      <w:r>
        <w:rPr>
          <w:rFonts w:ascii="Calibri" w:hAnsi="Calibri" w:eastAsia="Calibri"/>
          <w:b w:val="0"/>
          <w:i w:val="0"/>
          <w:color w:val="222222"/>
          <w:sz w:val="21"/>
        </w:rPr>
        <w:t>Training in Persuasive Techniques - to encourage the patient to come to surgery eg appointment now, doctor will see you now, ( ?Protected Learning Time Session )</w:t>
      </w:r>
    </w:p>
    <w:p>
      <w:pPr>
        <w:pStyle w:val="ListBullet"/>
        <w:spacing w:before="0" w:after="80" w:line="276" w:lineRule="auto"/>
      </w:pPr>
      <w:r>
        <w:rPr>
          <w:rFonts w:ascii="Calibri" w:hAnsi="Calibri" w:eastAsia="Calibri"/>
          <w:b w:val="0"/>
          <w:i w:val="0"/>
          <w:color w:val="222222"/>
          <w:sz w:val="21"/>
        </w:rPr>
        <w:t>Not to grant the visit – but just say doctor will them phone back</w:t>
      </w:r>
    </w:p>
    <w:p>
      <w:pPr>
        <w:pStyle w:val="ListBullet"/>
        <w:spacing w:before="0" w:after="80" w:line="276" w:lineRule="auto"/>
      </w:pPr>
      <w:r>
        <w:rPr>
          <w:rFonts w:ascii="Calibri" w:hAnsi="Calibri" w:eastAsia="Calibri"/>
          <w:b w:val="0"/>
          <w:i w:val="0"/>
          <w:color w:val="222222"/>
          <w:sz w:val="21"/>
        </w:rPr>
        <w:t>Developing a Protocol for Reception Staff in Symptom Sifting</w:t>
      </w:r>
    </w:p>
    <w:p>
      <w:pPr>
        <w:spacing w:before="160" w:after="120" w:line="276" w:lineRule="auto"/>
      </w:pPr>
      <w:r>
        <w:rPr>
          <w:rFonts w:ascii="Calibri" w:hAnsi="Calibri" w:eastAsia="Calibri"/>
          <w:b/>
          <w:i w:val="0"/>
          <w:color w:val="1F2937"/>
          <w:sz w:val="30"/>
        </w:rPr>
        <w:t>i.e. alarm symptoms which require urgent doctor attention</w:t>
      </w:r>
    </w:p>
    <w:p>
      <w:pPr>
        <w:pStyle w:val="ListBullet"/>
        <w:spacing w:before="0" w:after="80" w:line="276" w:lineRule="auto"/>
      </w:pPr>
      <w:r>
        <w:rPr>
          <w:rFonts w:ascii="Calibri" w:hAnsi="Calibri" w:eastAsia="Calibri"/>
          <w:b w:val="0"/>
          <w:i w:val="0"/>
          <w:color w:val="222222"/>
          <w:sz w:val="21"/>
        </w:rPr>
        <w:t>e.g. Chest pain, the ill baby, headaches &amp; vomiting, asthmatic finding it difficult to talk on the phone, the unconscious patient</w:t>
      </w:r>
    </w:p>
    <w:p>
      <w:pPr>
        <w:spacing w:before="160" w:after="120" w:line="276" w:lineRule="auto"/>
      </w:pPr>
      <w:r>
        <w:rPr>
          <w:rFonts w:ascii="Calibri" w:hAnsi="Calibri" w:eastAsia="Calibri"/>
          <w:b/>
          <w:i w:val="0"/>
          <w:color w:val="1F2937"/>
          <w:sz w:val="30"/>
        </w:rPr>
        <w:t>2. TELEPHONING THEM BACK</w:t>
      </w:r>
    </w:p>
    <w:p>
      <w:pPr>
        <w:pStyle w:val="ListBullet"/>
        <w:spacing w:before="0" w:after="80" w:line="276" w:lineRule="auto"/>
      </w:pPr>
      <w:r>
        <w:rPr>
          <w:rFonts w:ascii="Calibri" w:hAnsi="Calibri" w:eastAsia="Calibri"/>
          <w:b w:val="0"/>
          <w:i w:val="0"/>
          <w:color w:val="222222"/>
          <w:sz w:val="21"/>
        </w:rPr>
        <w:t>Try and phone soon after the initial call (to avoid frustration/confrontation)</w:t>
      </w:r>
    </w:p>
    <w:p>
      <w:pPr>
        <w:pStyle w:val="ListBullet"/>
        <w:spacing w:before="0" w:after="80" w:line="276" w:lineRule="auto"/>
      </w:pPr>
      <w:r>
        <w:rPr>
          <w:rFonts w:ascii="Calibri" w:hAnsi="Calibri" w:eastAsia="Calibri"/>
          <w:b w:val="0"/>
          <w:i w:val="0"/>
          <w:color w:val="222222"/>
          <w:sz w:val="21"/>
        </w:rPr>
        <w:t>Review Practice Organisational Structure - to provide protected time to make that call without feeling rushed because of patients waiting to see you</w:t>
      </w:r>
    </w:p>
    <w:p>
      <w:pPr>
        <w:pStyle w:val="ListBullet"/>
        <w:spacing w:before="0" w:after="80" w:line="276" w:lineRule="auto"/>
      </w:pPr>
      <w:r>
        <w:rPr>
          <w:rFonts w:ascii="Calibri" w:hAnsi="Calibri" w:eastAsia="Calibri"/>
          <w:b w:val="0"/>
          <w:i w:val="0"/>
          <w:color w:val="222222"/>
          <w:sz w:val="21"/>
        </w:rPr>
        <w:t>Methods of Incorporating Telephone Consultations into the Practice Organisational Structure</w:t>
      </w:r>
    </w:p>
    <w:p>
      <w:pPr>
        <w:pStyle w:val="ListBullet"/>
        <w:spacing w:before="0" w:after="80" w:line="276" w:lineRule="auto"/>
      </w:pPr>
      <w:r>
        <w:rPr>
          <w:rFonts w:ascii="Calibri" w:hAnsi="Calibri" w:eastAsia="Calibri"/>
          <w:b w:val="0"/>
          <w:i w:val="0"/>
          <w:color w:val="222222"/>
          <w:sz w:val="21"/>
        </w:rPr>
        <w:t>Options:</w:t>
      </w:r>
    </w:p>
    <w:p>
      <w:pPr>
        <w:pStyle w:val="ListBullet"/>
        <w:spacing w:before="0" w:after="80" w:line="276" w:lineRule="auto"/>
      </w:pPr>
      <w:r>
        <w:rPr>
          <w:rFonts w:ascii="Calibri" w:hAnsi="Calibri" w:eastAsia="Calibri"/>
          <w:b w:val="0"/>
          <w:i w:val="0"/>
          <w:color w:val="222222"/>
          <w:sz w:val="21"/>
        </w:rPr>
        <w:t>p I. Squeeze in between normal surgery patients – but can feel rushed and lead to Dr frustration</w:t>
      </w:r>
    </w:p>
    <w:p>
      <w:pPr>
        <w:pStyle w:val="ListBullet"/>
        <w:spacing w:before="0" w:after="80" w:line="276" w:lineRule="auto"/>
      </w:pPr>
      <w:r>
        <w:rPr>
          <w:rFonts w:ascii="Calibri" w:hAnsi="Calibri" w:eastAsia="Calibri"/>
          <w:b w:val="0"/>
          <w:i w:val="0"/>
          <w:color w:val="222222"/>
          <w:sz w:val="21"/>
        </w:rPr>
        <w:t>II. Allocated slots for phoning built into normal surgery (and counting as consultations just like face-to-face consultations) – advantage of protected time and not being overburdened, patients don’t wait long for ring back</w:t>
      </w:r>
    </w:p>
    <w:p>
      <w:pPr>
        <w:pStyle w:val="ListBullet"/>
        <w:spacing w:before="0" w:after="80" w:line="276" w:lineRule="auto"/>
      </w:pPr>
      <w:r>
        <w:rPr>
          <w:rFonts w:ascii="Calibri" w:hAnsi="Calibri" w:eastAsia="Calibri"/>
          <w:b w:val="0"/>
          <w:i w:val="0"/>
          <w:color w:val="222222"/>
          <w:sz w:val="21"/>
        </w:rPr>
        <w:t>III. End of normal Surgery – again may lead to dr frustration because of other visits waiting and possibility of being overburdened as the end of the surgery can become limitless!, patients may become frustrated from having to wait ages for ring back</w:t>
      </w:r>
    </w:p>
    <w:p>
      <w:pPr>
        <w:spacing w:before="160" w:after="120" w:line="276" w:lineRule="auto"/>
      </w:pPr>
      <w:r>
        <w:rPr>
          <w:rFonts w:ascii="Calibri" w:hAnsi="Calibri" w:eastAsia="Calibri"/>
          <w:b/>
          <w:i w:val="0"/>
          <w:color w:val="1F2937"/>
          <w:sz w:val="30"/>
        </w:rPr>
        <w:t>Who Should Telephone</w:t>
      </w:r>
    </w:p>
    <w:p>
      <w:pPr>
        <w:pStyle w:val="ListBullet"/>
        <w:spacing w:before="0" w:after="80" w:line="276" w:lineRule="auto"/>
      </w:pPr>
      <w:r>
        <w:rPr>
          <w:rFonts w:ascii="Calibri" w:hAnsi="Calibri" w:eastAsia="Calibri"/>
          <w:b w:val="0"/>
          <w:i w:val="0"/>
          <w:color w:val="222222"/>
          <w:sz w:val="21"/>
        </w:rPr>
        <w:t>Options:</w:t>
      </w:r>
    </w:p>
    <w:p>
      <w:pPr>
        <w:pStyle w:val="ListBullet"/>
        <w:spacing w:before="0" w:after="80" w:line="276" w:lineRule="auto"/>
      </w:pPr>
      <w:r>
        <w:rPr>
          <w:rFonts w:ascii="Calibri" w:hAnsi="Calibri" w:eastAsia="Calibri"/>
          <w:b w:val="0"/>
          <w:i w:val="0"/>
          <w:color w:val="222222"/>
          <w:sz w:val="21"/>
        </w:rPr>
        <w:t>I. Doctor – well placed and well versed, but already has many other things to do!</w:t>
      </w:r>
    </w:p>
    <w:p>
      <w:pPr>
        <w:pStyle w:val="ListBullet"/>
        <w:spacing w:before="0" w:after="80" w:line="276" w:lineRule="auto"/>
      </w:pPr>
      <w:r>
        <w:rPr>
          <w:rFonts w:ascii="Calibri" w:hAnsi="Calibri" w:eastAsia="Calibri"/>
          <w:b w:val="0"/>
          <w:i w:val="0"/>
          <w:color w:val="222222"/>
          <w:sz w:val="21"/>
        </w:rPr>
        <w:t>II. Practice Nurse – but fear that (s)he may not be qualified enough and may refer everything to the doctor</w:t>
      </w:r>
    </w:p>
    <w:p>
      <w:pPr>
        <w:pStyle w:val="ListBullet"/>
        <w:spacing w:before="0" w:after="80" w:line="276" w:lineRule="auto"/>
      </w:pPr>
      <w:r>
        <w:rPr>
          <w:rFonts w:ascii="Calibri" w:hAnsi="Calibri" w:eastAsia="Calibri"/>
          <w:b w:val="0"/>
          <w:i w:val="0"/>
          <w:color w:val="222222"/>
          <w:sz w:val="21"/>
        </w:rPr>
        <w:t>III. Nurse Practitioner – adv if being well placed and well qualified for the task (and they’re communication skills are often good too). Also adv of freeing up</w:t>
      </w:r>
    </w:p>
    <w:p>
      <w:pPr>
        <w:spacing w:before="160" w:after="120" w:line="276" w:lineRule="auto"/>
      </w:pPr>
      <w:r>
        <w:rPr>
          <w:rFonts w:ascii="Calibri" w:hAnsi="Calibri" w:eastAsia="Calibri"/>
          <w:b/>
          <w:i w:val="0"/>
          <w:color w:val="1F2937"/>
          <w:sz w:val="30"/>
        </w:rPr>
        <w:t>doctor time for other things.</w:t>
      </w:r>
    </w:p>
    <w:p>
      <w:pPr>
        <w:spacing w:before="160" w:after="120" w:line="276" w:lineRule="auto"/>
      </w:pPr>
      <w:r>
        <w:rPr>
          <w:rFonts w:ascii="Calibri" w:hAnsi="Calibri" w:eastAsia="Calibri"/>
          <w:b/>
          <w:i w:val="0"/>
          <w:color w:val="1F2937"/>
          <w:sz w:val="30"/>
        </w:rPr>
        <w:t>Telephone Consultation Skills Training</w:t>
      </w:r>
    </w:p>
    <w:p>
      <w:pPr>
        <w:pStyle w:val="ListBullet"/>
        <w:spacing w:before="0" w:after="80" w:line="276" w:lineRule="auto"/>
      </w:pPr>
      <w:r>
        <w:rPr>
          <w:rFonts w:ascii="Calibri" w:hAnsi="Calibri" w:eastAsia="Calibri"/>
          <w:b w:val="0"/>
          <w:i w:val="0"/>
          <w:color w:val="222222"/>
          <w:sz w:val="21"/>
        </w:rPr>
        <w:t>For doctors and nurses (?a protected learning time session?)</w:t>
      </w:r>
    </w:p>
    <w:p>
      <w:pPr>
        <w:spacing w:before="160" w:after="120" w:line="276" w:lineRule="auto"/>
      </w:pPr>
      <w:r>
        <w:rPr>
          <w:rFonts w:ascii="Calibri" w:hAnsi="Calibri" w:eastAsia="Calibri"/>
          <w:b/>
          <w:i w:val="0"/>
          <w:color w:val="1F2937"/>
          <w:sz w:val="30"/>
        </w:rPr>
        <w:t>3. DOING THE VISITS</w:t>
      </w:r>
    </w:p>
    <w:p>
      <w:pPr>
        <w:pStyle w:val="ListBullet"/>
        <w:spacing w:before="0" w:after="80" w:line="276" w:lineRule="auto"/>
      </w:pPr>
      <w:r>
        <w:rPr>
          <w:rFonts w:ascii="Calibri" w:hAnsi="Calibri" w:eastAsia="Calibri"/>
          <w:b w:val="0"/>
          <w:i w:val="0"/>
          <w:color w:val="222222"/>
          <w:sz w:val="21"/>
        </w:rPr>
        <w:t>Sharing the Workload</w:t>
      </w:r>
    </w:p>
    <w:p>
      <w:pPr>
        <w:pStyle w:val="ListBullet"/>
        <w:spacing w:before="0" w:after="80" w:line="276" w:lineRule="auto"/>
      </w:pPr>
      <w:r>
        <w:rPr>
          <w:rFonts w:ascii="Calibri" w:hAnsi="Calibri" w:eastAsia="Calibri"/>
          <w:b w:val="0"/>
          <w:i w:val="0"/>
          <w:color w:val="222222"/>
          <w:sz w:val="21"/>
        </w:rPr>
        <w:t>Nominated lead for certain visits</w:t>
      </w:r>
    </w:p>
    <w:p>
      <w:pPr>
        <w:pStyle w:val="ListBullet"/>
        <w:spacing w:before="0" w:after="80" w:line="276" w:lineRule="auto"/>
      </w:pPr>
      <w:r>
        <w:rPr>
          <w:rFonts w:ascii="Calibri" w:hAnsi="Calibri" w:eastAsia="Calibri"/>
          <w:b w:val="0"/>
          <w:i w:val="0"/>
          <w:color w:val="222222"/>
          <w:sz w:val="21"/>
        </w:rPr>
        <w:t>e.g. for terminal patients either doctor with a palliative care Interest (GPSI) or doctor who knows the patient well (in latter case, visiting Dr can seek advice of GPSI)</w:t>
      </w:r>
    </w:p>
    <w:p>
      <w:pPr>
        <w:spacing w:before="160" w:after="120" w:line="276" w:lineRule="auto"/>
      </w:pPr>
      <w:r>
        <w:rPr>
          <w:rFonts w:ascii="Calibri" w:hAnsi="Calibri" w:eastAsia="Calibri"/>
          <w:b/>
          <w:i w:val="0"/>
          <w:color w:val="1F2937"/>
          <w:sz w:val="30"/>
        </w:rPr>
        <w:t>4. EDUCATING PATIENTS</w:t>
      </w:r>
    </w:p>
    <w:p>
      <w:pPr>
        <w:pStyle w:val="ListBullet"/>
        <w:spacing w:before="0" w:after="80" w:line="276" w:lineRule="auto"/>
      </w:pPr>
      <w:r>
        <w:rPr>
          <w:rFonts w:ascii="Calibri" w:hAnsi="Calibri" w:eastAsia="Calibri"/>
          <w:b w:val="0"/>
          <w:i w:val="0"/>
          <w:color w:val="222222"/>
          <w:sz w:val="21"/>
        </w:rPr>
        <w:t>Visit requests in before 11am - advantage : sharing of sifting and doing the workload, also means anything after 11am is likely to be important!</w:t>
      </w:r>
    </w:p>
    <w:p>
      <w:pPr>
        <w:pStyle w:val="ListBullet"/>
        <w:spacing w:before="0" w:after="80" w:line="276" w:lineRule="auto"/>
      </w:pPr>
      <w:r>
        <w:rPr>
          <w:rFonts w:ascii="Calibri" w:hAnsi="Calibri" w:eastAsia="Calibri"/>
          <w:b w:val="0"/>
          <w:i w:val="0"/>
          <w:color w:val="222222"/>
          <w:sz w:val="21"/>
        </w:rPr>
        <w:t>?Poster in the waiting room – “What visits are for, What Visits are NOT for”</w:t>
      </w:r>
    </w:p>
    <w:p>
      <w:pPr>
        <w:pStyle w:val="ListBullet"/>
        <w:spacing w:before="0" w:after="80" w:line="276" w:lineRule="auto"/>
      </w:pPr>
      <w:r>
        <w:rPr>
          <w:rFonts w:ascii="Calibri" w:hAnsi="Calibri" w:eastAsia="Calibri"/>
          <w:b w:val="0"/>
          <w:i w:val="0"/>
          <w:color w:val="222222"/>
          <w:sz w:val="21"/>
        </w:rPr>
        <w:t>Similar thing in Practice Leaflet too</w:t>
      </w:r>
    </w:p>
    <w:p>
      <w:pPr>
        <w:pStyle w:val="ListBullet"/>
        <w:spacing w:before="0" w:after="80" w:line="276" w:lineRule="auto"/>
      </w:pPr>
      <w:r>
        <w:rPr>
          <w:rFonts w:ascii="Calibri" w:hAnsi="Calibri" w:eastAsia="Calibri"/>
          <w:b w:val="0"/>
          <w:i w:val="0"/>
          <w:color w:val="222222"/>
          <w:sz w:val="21"/>
        </w:rPr>
        <w:t>Important all doctors sing from the same hymn sheet – ie educating patients on home visits that were deemed inappropriate (but need training in technique of giving this feedback to prevent confrontation)</w:t>
      </w:r>
    </w:p>
    <w:p>
      <w:pPr>
        <w:spacing w:before="160" w:after="120" w:line="276" w:lineRule="auto"/>
      </w:pPr>
      <w:r>
        <w:rPr>
          <w:rFonts w:ascii="Calibri" w:hAnsi="Calibri" w:eastAsia="Calibri"/>
          <w:b/>
          <w:i w:val="0"/>
          <w:color w:val="1F2937"/>
          <w:sz w:val="30"/>
        </w:rPr>
        <w:t>5. POLICY ON REVIEW VISITS</w:t>
      </w:r>
    </w:p>
    <w:p>
      <w:pPr>
        <w:spacing w:before="160" w:after="120" w:line="276" w:lineRule="auto"/>
      </w:pPr>
      <w:r>
        <w:rPr>
          <w:rFonts w:ascii="Calibri" w:hAnsi="Calibri" w:eastAsia="Calibri"/>
          <w:b/>
          <w:i w:val="0"/>
          <w:color w:val="1F2937"/>
          <w:sz w:val="30"/>
        </w:rPr>
        <w:t>Options include</w:t>
      </w:r>
    </w:p>
    <w:p>
      <w:pPr>
        <w:pStyle w:val="ListBullet"/>
        <w:spacing w:before="0" w:after="80" w:line="276" w:lineRule="auto"/>
      </w:pPr>
      <w:r>
        <w:rPr>
          <w:rFonts w:ascii="Calibri" w:hAnsi="Calibri" w:eastAsia="Calibri"/>
          <w:b w:val="0"/>
          <w:i w:val="0"/>
          <w:color w:val="222222"/>
          <w:sz w:val="21"/>
        </w:rPr>
        <w:t>I. Doing no reviews – patient calls back for a home visit in 2w for example if needs a review visit – but see problems in ii)</w:t>
      </w:r>
    </w:p>
    <w:p>
      <w:pPr>
        <w:pStyle w:val="ListBullet"/>
        <w:spacing w:before="0" w:after="80" w:line="276" w:lineRule="auto"/>
      </w:pPr>
      <w:r>
        <w:rPr>
          <w:rFonts w:ascii="Calibri" w:hAnsi="Calibri" w:eastAsia="Calibri"/>
          <w:b w:val="0"/>
          <w:i w:val="0"/>
          <w:color w:val="222222"/>
          <w:sz w:val="21"/>
        </w:rPr>
        <w:t>II. Dr. Logs in his/her Review Visit which counts towards his/her share of the visits on that day – potential problem of doctor encouraging review visits with comfortable patients, potential problem of doctor tendency towards doing too many review visits and the others having to do the acutes</w:t>
      </w:r>
    </w:p>
    <w:p>
      <w:pPr>
        <w:pStyle w:val="ListBullet"/>
        <w:spacing w:before="0" w:after="80" w:line="276" w:lineRule="auto"/>
      </w:pPr>
      <w:r>
        <w:rPr>
          <w:rFonts w:ascii="Calibri" w:hAnsi="Calibri" w:eastAsia="Calibri"/>
          <w:b w:val="0"/>
          <w:i w:val="0"/>
          <w:color w:val="222222"/>
          <w:sz w:val="21"/>
        </w:rPr>
        <w:t>III. Dr. does his own review visits which do not form part of the pool of acute visits – ie Dr does his reviews plus his/her share of the acutes – advantage of encouraging Dr to reflect and decide whether a patient really needs reviewing, this method also encourages all doctors to take equal share of the acute visit workload</w:t>
      </w:r>
    </w:p>
    <w:p>
      <w:pPr>
        <w:spacing w:before="160" w:after="120" w:line="276" w:lineRule="auto"/>
      </w:pPr>
      <w:r>
        <w:rPr>
          <w:rFonts w:ascii="Calibri" w:hAnsi="Calibri" w:eastAsia="Calibri"/>
          <w:b/>
          <w:i w:val="0"/>
          <w:color w:val="1F2937"/>
          <w:sz w:val="30"/>
        </w:rPr>
        <w:t>Educational disclaimer</w:t>
      </w:r>
    </w:p>
    <w:tbl>
      <w:tblPr>
        <w:tblW w:type="auto" w:w="0"/>
        <w:jc w:val="center"/>
        <w:tblLook w:firstColumn="1" w:firstRow="1" w:lastColumn="0" w:lastRow="0" w:noHBand="0" w:noVBand="1" w:val="04A0"/>
      </w:tblPr>
      <w:tblGrid>
        <w:gridCol w:w="10200"/>
      </w:tblGrid>
      <w:tr>
        <w:tc>
          <w:tcPr>
            <w:tcW w:type="dxa" w:w="10200"/>
            <w:shd w:fill="C0392B"/>
          </w:tcPr>
          <w:p>
            <w:pPr>
              <w:spacing w:before="80" w:after="80" w:line="276" w:lineRule="auto"/>
            </w:pPr>
            <w:r>
              <w:rPr>
                <w:rFonts w:ascii="Calibri" w:hAnsi="Calibri" w:eastAsia="Calibri"/>
                <w:b/>
                <w:i w:val="0"/>
                <w:color w:val="FFFFFF"/>
                <w:sz w:val="22"/>
              </w:rPr>
              <w:t>Important</w:t>
            </w:r>
          </w:p>
        </w:tc>
      </w:tr>
      <w:tr>
        <w:tc>
          <w:tcPr>
            <w:tcW w:type="dxa" w:w="10200"/>
            <w:shd w:fill="FAFAFA"/>
          </w:tcPr>
          <w:p>
            <w:pPr>
              <w:spacing w:before="40" w:after="40" w:line="276" w:lineRule="auto"/>
            </w:pPr>
            <w:r>
              <w:rPr>
                <w:rFonts w:ascii="Calibri" w:hAnsi="Calibri" w:eastAsia="Calibri"/>
                <w:b w:val="0"/>
                <w:i w:val="0"/>
                <w:color w:val="222222"/>
                <w:sz w:val="20"/>
              </w:rPr>
              <w:t>Always double check this advice and drug doses with the latest NICE/BNF guidance. This document is for educational purposes only.</w:t>
            </w:r>
          </w:p>
        </w:tc>
      </w:tr>
    </w:tbl>
    <w:p/>
    <w:sectPr w:rsidR="00FC693F" w:rsidRPr="0006063C" w:rsidSect="00034616">
      <w:footerReference w:type="default" r:id="rId9"/>
      <w:pgSz w:w="12240" w:h="15840"/>
      <w:pgMar w:top="850"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666666"/>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