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59DF3FCB" w14:textId="77777777">
        <w:trPr>
          <w:jc w:val="center"/>
        </w:trPr>
        <w:tc>
          <w:tcPr>
            <w:tcW w:w="10200" w:type="dxa"/>
            <w:shd w:val="clear" w:color="auto" w:fill="E0651F"/>
          </w:tcPr>
          <w:p w14:paraId="634E9CB9" w14:textId="77777777" w:rsidR="006B5862" w:rsidRDefault="00000000">
            <w:pPr>
              <w:spacing w:before="200" w:after="80" w:line="240" w:lineRule="auto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0"/>
              </w:rPr>
              <w:t>BRADFORD VTS TEACHING AIDS</w:t>
            </w:r>
          </w:p>
        </w:tc>
      </w:tr>
      <w:tr w:rsidR="006B5862" w14:paraId="4C5D0C34" w14:textId="77777777">
        <w:trPr>
          <w:jc w:val="center"/>
        </w:trPr>
        <w:tc>
          <w:tcPr>
            <w:tcW w:w="10200" w:type="dxa"/>
            <w:shd w:val="clear" w:color="auto" w:fill="E0651F"/>
          </w:tcPr>
          <w:p w14:paraId="649F3FBC" w14:textId="77777777" w:rsidR="006B5862" w:rsidRDefault="00000000">
            <w:pPr>
              <w:spacing w:before="40" w:after="80" w:line="240" w:lineRule="auto"/>
              <w:jc w:val="center"/>
            </w:pPr>
            <w:r>
              <w:rPr>
                <w:rFonts w:ascii="Calibri" w:eastAsia="Calibri" w:hAnsi="Calibri"/>
                <w:b/>
                <w:color w:val="FFFFFF"/>
                <w:sz w:val="48"/>
              </w:rPr>
              <w:t>The doctor's bag - a complete guide</w:t>
            </w:r>
          </w:p>
        </w:tc>
      </w:tr>
      <w:tr w:rsidR="006B5862" w14:paraId="1BBD0530" w14:textId="77777777">
        <w:trPr>
          <w:jc w:val="center"/>
        </w:trPr>
        <w:tc>
          <w:tcPr>
            <w:tcW w:w="10200" w:type="dxa"/>
            <w:shd w:val="clear" w:color="auto" w:fill="E0651F"/>
          </w:tcPr>
          <w:p w14:paraId="28A9F8DD" w14:textId="77777777" w:rsidR="006B5862" w:rsidRDefault="00000000">
            <w:pPr>
              <w:spacing w:before="40" w:line="240" w:lineRule="auto"/>
              <w:jc w:val="center"/>
            </w:pPr>
            <w:r>
              <w:rPr>
                <w:rFonts w:ascii="Calibri" w:eastAsia="Calibri" w:hAnsi="Calibri"/>
                <w:i/>
                <w:color w:val="FFF7F2"/>
              </w:rPr>
              <w:t>Doctor's bag guide · Bradford VTS · May 2026</w:t>
            </w:r>
          </w:p>
        </w:tc>
      </w:tr>
    </w:tbl>
    <w:p w14:paraId="3D7CC02E" w14:textId="77777777" w:rsidR="006B5862" w:rsidRDefault="006B5862"/>
    <w:p w14:paraId="2370851A" w14:textId="77777777" w:rsidR="006B5862" w:rsidRDefault="00000000">
      <w:pPr>
        <w:spacing w:after="240"/>
        <w:jc w:val="center"/>
      </w:pPr>
      <w:r>
        <w:rPr>
          <w:rFonts w:ascii="Calibri" w:eastAsia="Calibri" w:hAnsi="Calibri"/>
          <w:i/>
          <w:color w:val="666666"/>
          <w:sz w:val="18"/>
        </w:rPr>
        <w:t>Doctor's bag guide summary sheet for GP trainees and trainers in UK primary care.</w:t>
      </w:r>
    </w:p>
    <w:p w14:paraId="2EAEFA1B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1. Why does a GP need a bag?</w:t>
      </w:r>
    </w:p>
    <w:p w14:paraId="09BDB87A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A GP bag is still needed for urgent home visits, daytime emergencies and situations where immediate treatment may change the outcome before the ambulance arrives.</w:t>
      </w:r>
    </w:p>
    <w:p w14:paraId="4E5ACB8E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What you carry depends on your setting, your confidence, travel time to hospital, paramedic availability, and the likely cases you see.</w:t>
      </w:r>
    </w:p>
    <w:p w14:paraId="0C3FD903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The bag should be practical, lockable, easy to check, and stocked with equipment, paperwork and emergency medicines.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09C44849" w14:textId="77777777">
        <w:trPr>
          <w:jc w:val="center"/>
        </w:trPr>
        <w:tc>
          <w:tcPr>
            <w:tcW w:w="10200" w:type="dxa"/>
            <w:shd w:val="clear" w:color="auto" w:fill="C0392B"/>
          </w:tcPr>
          <w:p w14:paraId="0874F414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t>Red flags</w:t>
            </w:r>
          </w:p>
        </w:tc>
      </w:tr>
      <w:tr w:rsidR="006B5862" w14:paraId="3FB31928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4A15C1A8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If a patient may be seriously unwell, call 999 early. The GP bag supports early treatment; it does not replace emergency transfer.</w:t>
            </w:r>
          </w:p>
        </w:tc>
      </w:tr>
    </w:tbl>
    <w:p w14:paraId="2003339A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2. Core emergency drugs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B5862" w14:paraId="73FE8ED4" w14:textId="77777777">
        <w:trPr>
          <w:jc w:val="center"/>
        </w:trPr>
        <w:tc>
          <w:tcPr>
            <w:tcW w:w="5100" w:type="dxa"/>
            <w:shd w:val="clear" w:color="auto" w:fill="E0651F"/>
          </w:tcPr>
          <w:p w14:paraId="35DF59F6" w14:textId="77777777" w:rsidR="006B5862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1"/>
              </w:rPr>
              <w:t>Drug</w:t>
            </w:r>
          </w:p>
        </w:tc>
        <w:tc>
          <w:tcPr>
            <w:tcW w:w="5100" w:type="dxa"/>
            <w:shd w:val="clear" w:color="auto" w:fill="E0651F"/>
          </w:tcPr>
          <w:p w14:paraId="548B02FD" w14:textId="77777777" w:rsidR="006B5862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1"/>
              </w:rPr>
              <w:t>High-yield GP bag point</w:t>
            </w:r>
          </w:p>
        </w:tc>
      </w:tr>
      <w:tr w:rsidR="006B5862" w14:paraId="01A0DE54" w14:textId="77777777">
        <w:trPr>
          <w:jc w:val="center"/>
        </w:trPr>
        <w:tc>
          <w:tcPr>
            <w:tcW w:w="5100" w:type="dxa"/>
          </w:tcPr>
          <w:p w14:paraId="07BA62F0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Adrenaline 1:1000</w:t>
            </w:r>
          </w:p>
        </w:tc>
        <w:tc>
          <w:tcPr>
            <w:tcW w:w="5100" w:type="dxa"/>
          </w:tcPr>
          <w:p w14:paraId="147257D9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For suspected anaphylaxis. Adult dose 500 micrograms IM (0.5 mL). Age 6–12 years: 300 micrograms IM. Under 6 years: 150 micrograms IM.</w:t>
            </w:r>
          </w:p>
        </w:tc>
      </w:tr>
      <w:tr w:rsidR="006B5862" w14:paraId="46562D74" w14:textId="77777777">
        <w:trPr>
          <w:jc w:val="center"/>
        </w:trPr>
        <w:tc>
          <w:tcPr>
            <w:tcW w:w="5100" w:type="dxa"/>
          </w:tcPr>
          <w:p w14:paraId="137DDC5D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Aspirin</w:t>
            </w:r>
          </w:p>
        </w:tc>
        <w:tc>
          <w:tcPr>
            <w:tcW w:w="5100" w:type="dxa"/>
          </w:tcPr>
          <w:p w14:paraId="5E7B96D4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300 mg chewed for suspected MI unless contraindicated.</w:t>
            </w:r>
          </w:p>
        </w:tc>
      </w:tr>
      <w:tr w:rsidR="006B5862" w14:paraId="5A927DCF" w14:textId="77777777">
        <w:trPr>
          <w:jc w:val="center"/>
        </w:trPr>
        <w:tc>
          <w:tcPr>
            <w:tcW w:w="5100" w:type="dxa"/>
          </w:tcPr>
          <w:p w14:paraId="731A829F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GTN spray</w:t>
            </w:r>
          </w:p>
        </w:tc>
        <w:tc>
          <w:tcPr>
            <w:tcW w:w="5100" w:type="dxa"/>
          </w:tcPr>
          <w:p w14:paraId="5B11F28A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Use for ischaemic chest pain if systolic BP is adequate and there is no recent PDE-5 inhibitor use.</w:t>
            </w:r>
          </w:p>
        </w:tc>
      </w:tr>
      <w:tr w:rsidR="006B5862" w14:paraId="29687D81" w14:textId="77777777">
        <w:trPr>
          <w:jc w:val="center"/>
        </w:trPr>
        <w:tc>
          <w:tcPr>
            <w:tcW w:w="5100" w:type="dxa"/>
          </w:tcPr>
          <w:p w14:paraId="40F15AB2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Salbutamol</w:t>
            </w:r>
          </w:p>
        </w:tc>
        <w:tc>
          <w:tcPr>
            <w:tcW w:w="5100" w:type="dxa"/>
          </w:tcPr>
          <w:p w14:paraId="0631391B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Acute asthma: adult or child &gt;5 years, 5 mg nebulised; age 1 month–5 years, 2.5 mg nebulised. Spacer can be used if nebuliser not available.</w:t>
            </w:r>
          </w:p>
        </w:tc>
      </w:tr>
      <w:tr w:rsidR="006B5862" w14:paraId="19E611F8" w14:textId="77777777">
        <w:trPr>
          <w:jc w:val="center"/>
        </w:trPr>
        <w:tc>
          <w:tcPr>
            <w:tcW w:w="5100" w:type="dxa"/>
          </w:tcPr>
          <w:p w14:paraId="28A37649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Glucagon</w:t>
            </w:r>
          </w:p>
        </w:tc>
        <w:tc>
          <w:tcPr>
            <w:tcW w:w="5100" w:type="dxa"/>
          </w:tcPr>
          <w:p w14:paraId="21FD9FBE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Severe hypoglycaemia: adults and children over 25 kg or over 8 years, 1 mg IM; children under 25 kg or under 8 years, 500 micrograms IM.</w:t>
            </w:r>
          </w:p>
        </w:tc>
      </w:tr>
      <w:tr w:rsidR="006B5862" w14:paraId="4E67065F" w14:textId="77777777">
        <w:trPr>
          <w:jc w:val="center"/>
        </w:trPr>
        <w:tc>
          <w:tcPr>
            <w:tcW w:w="5100" w:type="dxa"/>
          </w:tcPr>
          <w:p w14:paraId="2A4C17AF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Buccal midazolam</w:t>
            </w:r>
          </w:p>
        </w:tc>
        <w:tc>
          <w:tcPr>
            <w:tcW w:w="5100" w:type="dxa"/>
          </w:tcPr>
          <w:p w14:paraId="44355E14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Community first-line for prolonged convulsive seizure: commonly 10 mg in adults and 10 mg age 10 to &lt;18 years; 7.5 mg age 5 to &lt;10 years; 5 mg age 1 to &lt;5 years; 2.5 mg age 3 months to &lt;1 year.</w:t>
            </w:r>
          </w:p>
        </w:tc>
      </w:tr>
      <w:tr w:rsidR="006B5862" w14:paraId="1CA8B2CC" w14:textId="77777777">
        <w:trPr>
          <w:jc w:val="center"/>
        </w:trPr>
        <w:tc>
          <w:tcPr>
            <w:tcW w:w="5100" w:type="dxa"/>
          </w:tcPr>
          <w:p w14:paraId="616C53EF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Diazepam</w:t>
            </w:r>
          </w:p>
        </w:tc>
        <w:tc>
          <w:tcPr>
            <w:tcW w:w="5100" w:type="dxa"/>
          </w:tcPr>
          <w:p w14:paraId="13DCE778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Alternative if buccal midazolam not available or patient-specific plan says so. Rectal diazepam may still appear in older protocols.</w:t>
            </w:r>
          </w:p>
        </w:tc>
      </w:tr>
      <w:tr w:rsidR="006B5862" w14:paraId="330BB0DE" w14:textId="77777777">
        <w:trPr>
          <w:jc w:val="center"/>
        </w:trPr>
        <w:tc>
          <w:tcPr>
            <w:tcW w:w="5100" w:type="dxa"/>
          </w:tcPr>
          <w:p w14:paraId="0EE00B89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Morphine/diamorphine</w:t>
            </w:r>
          </w:p>
        </w:tc>
        <w:tc>
          <w:tcPr>
            <w:tcW w:w="5100" w:type="dxa"/>
          </w:tcPr>
          <w:p w14:paraId="44274EED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Useful for severe pain but controlled drug rules apply; stock only if secure storage, governance and competence are in place.</w:t>
            </w:r>
          </w:p>
        </w:tc>
      </w:tr>
    </w:tbl>
    <w:p w14:paraId="628CF529" w14:textId="77777777" w:rsidR="006B5862" w:rsidRDefault="006B586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019266FA" w14:textId="77777777">
        <w:trPr>
          <w:jc w:val="center"/>
        </w:trPr>
        <w:tc>
          <w:tcPr>
            <w:tcW w:w="10200" w:type="dxa"/>
            <w:shd w:val="clear" w:color="auto" w:fill="6F42C1"/>
          </w:tcPr>
          <w:p w14:paraId="54A60ECB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lastRenderedPageBreak/>
              <w:t>AKT exam box: emergency dose recall</w:t>
            </w:r>
          </w:p>
        </w:tc>
      </w:tr>
      <w:tr w:rsidR="006B5862" w14:paraId="5C151307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68854781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Anaphylaxis: adrenaline 500 micrograms IM adult.</w:t>
            </w:r>
          </w:p>
        </w:tc>
      </w:tr>
      <w:tr w:rsidR="006B5862" w14:paraId="0AA21A76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2F87DFD1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Suspected MI: aspirin 300 mg chewed.</w:t>
            </w:r>
          </w:p>
        </w:tc>
      </w:tr>
      <w:tr w:rsidR="006B5862" w14:paraId="6763E065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07DDE9ED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Severe hypoglycaemia: glucagon 1 mg IM adult; 500 micrograms IM if child under 25 kg or under 8 years.</w:t>
            </w:r>
          </w:p>
        </w:tc>
      </w:tr>
      <w:tr w:rsidR="006B5862" w14:paraId="25C95BB8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7DA45E7A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Prolonged seizure in community: buccal midazolam is first-line; give according to age band.</w:t>
            </w:r>
          </w:p>
        </w:tc>
      </w:tr>
    </w:tbl>
    <w:p w14:paraId="38D05CD0" w14:textId="77777777" w:rsidR="006B5862" w:rsidRDefault="006B586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16147153" w14:textId="77777777">
        <w:trPr>
          <w:jc w:val="center"/>
        </w:trPr>
        <w:tc>
          <w:tcPr>
            <w:tcW w:w="10200" w:type="dxa"/>
            <w:shd w:val="clear" w:color="auto" w:fill="0F9D94"/>
          </w:tcPr>
          <w:p w14:paraId="2C856F88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t>SCA exam box: when to use which drug</w:t>
            </w:r>
          </w:p>
        </w:tc>
      </w:tr>
      <w:tr w:rsidR="006B5862" w14:paraId="6ED2158A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294C4A7B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aspirin and GTN in likely ACS while arranging urgent transfer.</w:t>
            </w:r>
          </w:p>
        </w:tc>
      </w:tr>
      <w:tr w:rsidR="006B5862" w14:paraId="3D330CD9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0C914C91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adrenaline immediately in suspected anaphylaxis with airway, breathing or circulation compromise.</w:t>
            </w:r>
          </w:p>
        </w:tc>
      </w:tr>
      <w:tr w:rsidR="006B5862" w14:paraId="6966348E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6A80C72F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salbutamol first in acute asthma; add steroid early; call 999 for severe or life-threatening features.</w:t>
            </w:r>
          </w:p>
        </w:tc>
      </w:tr>
      <w:tr w:rsidR="006B5862" w14:paraId="0F1392D3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10FB2DAA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glucagon when the hypoglycaemic patient is unconscious, fitting or cannot take oral treatment safely.</w:t>
            </w:r>
          </w:p>
        </w:tc>
      </w:tr>
      <w:tr w:rsidR="006B5862" w14:paraId="473CBB9D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7CF467BD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buccal midazolam for a seizure that continues beyond 5 minutes or in repeated convulsive seizures with ongoing recovery failure.</w:t>
            </w:r>
          </w:p>
        </w:tc>
      </w:tr>
    </w:tbl>
    <w:p w14:paraId="7FF65CE8" w14:textId="77777777" w:rsidR="006B5862" w:rsidRDefault="006B5862"/>
    <w:p w14:paraId="29573F8C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3. Drugs for the city GP</w:t>
      </w:r>
    </w:p>
    <w:p w14:paraId="132D9CBA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City practice usually means shorter transport times but higher volume and wider variety of presentations.</w:t>
      </w:r>
    </w:p>
    <w:p w14:paraId="57E24E41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Commonly useful stock includes aspirin, GTN, salbutamol, adrenaline, glucagon, buccal midazolam, steroid tablets, simple analgesia, antiemetic cover, and selected antibiotics only where there is a clear protocol.</w:t>
      </w:r>
    </w:p>
    <w:p w14:paraId="1FE106C8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Think about chest pain, asthma, anaphylaxis, hypoglycaemia, seizures, palliative symptoms and acute pain.</w:t>
      </w:r>
    </w:p>
    <w:p w14:paraId="16CDE11A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4. Drugs for the rural GP</w:t>
      </w:r>
    </w:p>
    <w:p w14:paraId="73416FFE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Rural GPs may need a broader bag because transfer times are longer and handover can be delayed.</w:t>
      </w:r>
    </w:p>
    <w:p w14:paraId="30726367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Extra items may include more airway support equipment, fluids and lines where trained, broader consumables, and stronger emphasis on pain relief and stabilisation.</w:t>
      </w:r>
    </w:p>
    <w:p w14:paraId="2F5C3146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The principle is not to carry everything, but to carry what you are trained to use and what may realistically be needed before help arrives.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34EF0090" w14:textId="77777777">
        <w:trPr>
          <w:jc w:val="center"/>
        </w:trPr>
        <w:tc>
          <w:tcPr>
            <w:tcW w:w="10200" w:type="dxa"/>
            <w:shd w:val="clear" w:color="auto" w:fill="D68910"/>
          </w:tcPr>
          <w:p w14:paraId="7EDB0F83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t>Pitfalls</w:t>
            </w:r>
          </w:p>
        </w:tc>
      </w:tr>
      <w:tr w:rsidR="006B5862" w14:paraId="1419F0A8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4FF56469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Do not let a larger rural bag drift into a poorly checked, expired or unfamiliar kit. Capacity must match competence and governance.</w:t>
            </w:r>
          </w:p>
        </w:tc>
      </w:tr>
    </w:tbl>
    <w:p w14:paraId="42320EB5" w14:textId="77777777" w:rsidR="006B5862" w:rsidRDefault="006B5862"/>
    <w:p w14:paraId="156B2001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5. Essential equipment</w:t>
      </w:r>
    </w:p>
    <w:p w14:paraId="49B78F91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Stethoscope, blood pressure machine, pulse oximeter, thermometer, glucometer, peak flow meter.</w:t>
      </w:r>
    </w:p>
    <w:p w14:paraId="220B9946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Otoscope and ophthalmoscope or pocket diagnostic set.</w:t>
      </w:r>
    </w:p>
    <w:p w14:paraId="3203E5FA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Urine dipsticks, specimen pots, swabs, tongue depressors, gloves, alcohol wipes and lubricating jelly.</w:t>
      </w:r>
    </w:p>
    <w:p w14:paraId="5A9A6F9A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Sharps box, syringes, needles, water for injection, basic airway adjuncts if trained, paperwork and key phone numbers.</w:t>
      </w:r>
    </w:p>
    <w:p w14:paraId="71B8413B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lastRenderedPageBreak/>
        <w:t>6. Controlled drugs considerations</w:t>
      </w:r>
    </w:p>
    <w:p w14:paraId="44AB6FEA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Controlled drugs such as morphine or diamorphine must be kept in a locked container or locked bag and stored securely when not in use.</w:t>
      </w:r>
    </w:p>
    <w:p w14:paraId="7FF14B08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Use must be recorded in a controlled drug register according to local policy.</w:t>
      </w:r>
    </w:p>
    <w:p w14:paraId="66D868BE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If local theft risk is high, a practice may decide not to carry opiates, but the decision should be explicit, justified and consistent with local governance.</w:t>
      </w:r>
    </w:p>
    <w:p w14:paraId="17371E2A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7. Drug storage, expiry checking, and bag maintenance</w:t>
      </w:r>
    </w:p>
    <w:p w14:paraId="388CDC44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Check the bag at least every 6 months; many practices also do a formal February and August review when trainees rotate.</w:t>
      </w:r>
    </w:p>
    <w:p w14:paraId="0EEB0096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Record expiry dates and batch numbers for drugs you dispense or administer.</w:t>
      </w:r>
    </w:p>
    <w:p w14:paraId="688232D6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Heat matters: a doctor's bag is a labile thermal environment. Do not leave the bag in a hot car. Avoid the boot where possible.</w:t>
      </w:r>
    </w:p>
    <w:p w14:paraId="65E52C5B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Use a checklist for restocking, cleaning equipment, calibration and replacing damaged items.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6E6A3E9F" w14:textId="77777777">
        <w:trPr>
          <w:jc w:val="center"/>
        </w:trPr>
        <w:tc>
          <w:tcPr>
            <w:tcW w:w="10200" w:type="dxa"/>
            <w:shd w:val="clear" w:color="auto" w:fill="2E8B57"/>
          </w:tcPr>
          <w:p w14:paraId="23E39F7D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t>Reassuring practice point</w:t>
            </w:r>
          </w:p>
        </w:tc>
      </w:tr>
      <w:tr w:rsidR="006B5862" w14:paraId="5029A084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7CF14D26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A simple standardised checklist and twice-yearly team review prevents most bag problems.</w:t>
            </w:r>
          </w:p>
        </w:tc>
      </w:tr>
    </w:tbl>
    <w:p w14:paraId="67FFCF94" w14:textId="77777777" w:rsidR="006B5862" w:rsidRDefault="006B5862"/>
    <w:p w14:paraId="5BCB429F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8. FAQs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B5862" w14:paraId="5994FE52" w14:textId="77777777">
        <w:trPr>
          <w:jc w:val="center"/>
        </w:trPr>
        <w:tc>
          <w:tcPr>
            <w:tcW w:w="5100" w:type="dxa"/>
            <w:shd w:val="clear" w:color="auto" w:fill="E0651F"/>
          </w:tcPr>
          <w:p w14:paraId="1FC7B025" w14:textId="77777777" w:rsidR="006B5862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1"/>
              </w:rPr>
              <w:t>Question</w:t>
            </w:r>
          </w:p>
        </w:tc>
        <w:tc>
          <w:tcPr>
            <w:tcW w:w="5100" w:type="dxa"/>
            <w:shd w:val="clear" w:color="auto" w:fill="E0651F"/>
          </w:tcPr>
          <w:p w14:paraId="4ABD41E0" w14:textId="77777777" w:rsidR="006B5862" w:rsidRDefault="00000000">
            <w:pPr>
              <w:jc w:val="center"/>
            </w:pPr>
            <w:r>
              <w:rPr>
                <w:rFonts w:ascii="Calibri" w:eastAsia="Calibri" w:hAnsi="Calibri"/>
                <w:b/>
                <w:color w:val="FFFFFF"/>
                <w:sz w:val="21"/>
              </w:rPr>
              <w:t>Answer</w:t>
            </w:r>
          </w:p>
        </w:tc>
      </w:tr>
      <w:tr w:rsidR="006B5862" w14:paraId="2A7D01E9" w14:textId="77777777">
        <w:trPr>
          <w:jc w:val="center"/>
        </w:trPr>
        <w:tc>
          <w:tcPr>
            <w:tcW w:w="5100" w:type="dxa"/>
          </w:tcPr>
          <w:p w14:paraId="43ED88B9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Can I be negligent for not carrying a certain drug?</w:t>
            </w:r>
          </w:p>
        </w:tc>
        <w:tc>
          <w:tcPr>
            <w:tcW w:w="5100" w:type="dxa"/>
          </w:tcPr>
          <w:p w14:paraId="0AA3017E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Possibly. There are no fixed national bag rules, so reasonableness matters. You need a justifiable position supported by what responsible peers would do in a similar context.</w:t>
            </w:r>
          </w:p>
        </w:tc>
      </w:tr>
      <w:tr w:rsidR="006B5862" w14:paraId="23ED713B" w14:textId="77777777">
        <w:trPr>
          <w:jc w:val="center"/>
        </w:trPr>
        <w:tc>
          <w:tcPr>
            <w:tcW w:w="5100" w:type="dxa"/>
          </w:tcPr>
          <w:p w14:paraId="18BF17E5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Can omission be a problem?</w:t>
            </w:r>
          </w:p>
        </w:tc>
        <w:tc>
          <w:tcPr>
            <w:tcW w:w="5100" w:type="dxa"/>
          </w:tcPr>
          <w:p w14:paraId="76047445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Yes. Not giving or not carrying a treatment can still be criticised if the omission was not reasonable.</w:t>
            </w:r>
          </w:p>
        </w:tc>
      </w:tr>
      <w:tr w:rsidR="006B5862" w14:paraId="1C51FAAC" w14:textId="77777777">
        <w:trPr>
          <w:jc w:val="center"/>
        </w:trPr>
        <w:tc>
          <w:tcPr>
            <w:tcW w:w="5100" w:type="dxa"/>
          </w:tcPr>
          <w:p w14:paraId="671DA924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Should all GPs carry the same bag?</w:t>
            </w:r>
          </w:p>
        </w:tc>
        <w:tc>
          <w:tcPr>
            <w:tcW w:w="5100" w:type="dxa"/>
          </w:tcPr>
          <w:p w14:paraId="77EEB991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Not exactly. Rurality, ambulance cover, practice type and local risk all influence what is reasonable.</w:t>
            </w:r>
          </w:p>
        </w:tc>
      </w:tr>
      <w:tr w:rsidR="006B5862" w14:paraId="72D53A15" w14:textId="77777777">
        <w:trPr>
          <w:jc w:val="center"/>
        </w:trPr>
        <w:tc>
          <w:tcPr>
            <w:tcW w:w="5100" w:type="dxa"/>
          </w:tcPr>
          <w:p w14:paraId="100A49DE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Why are temperature and expiry such a big issue?</w:t>
            </w:r>
          </w:p>
        </w:tc>
        <w:tc>
          <w:tcPr>
            <w:tcW w:w="5100" w:type="dxa"/>
          </w:tcPr>
          <w:p w14:paraId="75C071A8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Because many formulations degrade in heat and bags in cars can exceed safe storage temperatures.</w:t>
            </w:r>
          </w:p>
        </w:tc>
      </w:tr>
      <w:tr w:rsidR="006B5862" w14:paraId="60FAE833" w14:textId="77777777">
        <w:trPr>
          <w:jc w:val="center"/>
        </w:trPr>
        <w:tc>
          <w:tcPr>
            <w:tcW w:w="5100" w:type="dxa"/>
          </w:tcPr>
          <w:p w14:paraId="792221CD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What about palliative care patients?</w:t>
            </w:r>
          </w:p>
        </w:tc>
        <w:tc>
          <w:tcPr>
            <w:tcW w:w="5100" w:type="dxa"/>
          </w:tcPr>
          <w:p w14:paraId="2D779E26" w14:textId="77777777" w:rsidR="006B5862" w:rsidRDefault="00000000">
            <w:r>
              <w:rPr>
                <w:rFonts w:ascii="Calibri" w:eastAsia="Calibri" w:hAnsi="Calibri"/>
                <w:color w:val="222222"/>
                <w:sz w:val="20"/>
              </w:rPr>
              <w:t>Think ahead. Out-of-hours clinicians may need rapid symptom relief for nausea, vomiting, dyspnoea, delirium or pain.</w:t>
            </w:r>
          </w:p>
        </w:tc>
      </w:tr>
    </w:tbl>
    <w:p w14:paraId="14AAE8E9" w14:textId="77777777" w:rsidR="006B5862" w:rsidRDefault="006B5862"/>
    <w:p w14:paraId="7BB5FA33" w14:textId="77777777" w:rsidR="006B5862" w:rsidRDefault="00000000">
      <w:pPr>
        <w:spacing w:before="240" w:after="120"/>
      </w:pPr>
      <w:r>
        <w:rPr>
          <w:rFonts w:ascii="Calibri" w:eastAsia="Calibri" w:hAnsi="Calibri"/>
          <w:b/>
          <w:color w:val="1F2937"/>
          <w:sz w:val="36"/>
        </w:rPr>
        <w:t>9. Bradford-specific: Ashcroft Surgery bag contents</w:t>
      </w:r>
    </w:p>
    <w:p w14:paraId="0F4C6247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Ashcroft Surgery protocol states that trainees are provided with a bag including diagnostic equipment and emergency drugs.</w:t>
      </w:r>
    </w:p>
    <w:p w14:paraId="0062F911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The protocol expects all doctors to know the contents, indications and doses, and to review the bag twice yearly.</w:t>
      </w:r>
    </w:p>
    <w:p w14:paraId="6FF9A849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Example listed equipment includes stethoscope, pocket diagnostic set, sphygmomanometer, infrared thermometer, pulse oximeter, glucometer, urinalysis strips and peak flow meter.</w:t>
      </w:r>
    </w:p>
    <w:p w14:paraId="57B9F1AE" w14:textId="77777777" w:rsidR="006B5862" w:rsidRDefault="00000000">
      <w:pPr>
        <w:pStyle w:val="ListBullet"/>
        <w:spacing w:after="80"/>
      </w:pPr>
      <w:r>
        <w:rPr>
          <w:rFonts w:ascii="Calibri" w:eastAsia="Calibri" w:hAnsi="Calibri"/>
          <w:color w:val="222222"/>
          <w:sz w:val="21"/>
        </w:rPr>
        <w:t>Example emergency drugs listed include benzylpenicillin, adrenaline 1:1000, aspirin 300 mg, GTN spray, plus syringes, needles, water for injection and a sharps box.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36D05072" w14:textId="77777777">
        <w:trPr>
          <w:jc w:val="center"/>
        </w:trPr>
        <w:tc>
          <w:tcPr>
            <w:tcW w:w="10200" w:type="dxa"/>
            <w:shd w:val="clear" w:color="auto" w:fill="0F9D94"/>
          </w:tcPr>
          <w:p w14:paraId="13797D80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lastRenderedPageBreak/>
              <w:t>Bradford VTS practical message</w:t>
            </w:r>
          </w:p>
        </w:tc>
      </w:tr>
      <w:tr w:rsidR="006B5862" w14:paraId="6B542F2E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70AB010C" w14:textId="77777777" w:rsidR="006B5862" w:rsidRDefault="00000000">
            <w:pPr>
              <w:spacing w:before="40" w:after="40"/>
            </w:pPr>
            <w:r>
              <w:rPr>
                <w:rFonts w:ascii="Calibri" w:eastAsia="Calibri" w:hAnsi="Calibri"/>
                <w:color w:val="222222"/>
                <w:sz w:val="20"/>
              </w:rPr>
              <w:t>Use the Ashcroft list as a sensible local starting point, then adapt to your own practice policy, competence and visiting pattern.</w:t>
            </w:r>
          </w:p>
        </w:tc>
      </w:tr>
    </w:tbl>
    <w:p w14:paraId="17A2E170" w14:textId="77777777" w:rsidR="006B5862" w:rsidRDefault="006B5862"/>
    <w:p w14:paraId="5EAF448D" w14:textId="77777777" w:rsidR="006B5862" w:rsidRDefault="00000000">
      <w:pPr>
        <w:spacing w:before="160" w:after="120"/>
      </w:pPr>
      <w:r>
        <w:rPr>
          <w:rFonts w:ascii="Calibri" w:eastAsia="Calibri" w:hAnsi="Calibri"/>
          <w:b/>
          <w:color w:val="1F2937"/>
          <w:sz w:val="30"/>
        </w:rPr>
        <w:t>Educational disclaimer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6B5862" w14:paraId="7CC1503A" w14:textId="77777777">
        <w:trPr>
          <w:jc w:val="center"/>
        </w:trPr>
        <w:tc>
          <w:tcPr>
            <w:tcW w:w="10200" w:type="dxa"/>
            <w:shd w:val="clear" w:color="auto" w:fill="C0392B"/>
          </w:tcPr>
          <w:p w14:paraId="04E5BE47" w14:textId="77777777" w:rsidR="006B5862" w:rsidRDefault="00000000">
            <w:pPr>
              <w:spacing w:before="80" w:after="80"/>
            </w:pPr>
            <w:r>
              <w:rPr>
                <w:rFonts w:ascii="Calibri" w:eastAsia="Calibri" w:hAnsi="Calibri"/>
                <w:b/>
                <w:color w:val="FFFFFF"/>
              </w:rPr>
              <w:t>Important</w:t>
            </w:r>
          </w:p>
        </w:tc>
      </w:tr>
      <w:tr w:rsidR="006B5862" w14:paraId="0721C014" w14:textId="77777777">
        <w:trPr>
          <w:jc w:val="center"/>
        </w:trPr>
        <w:tc>
          <w:tcPr>
            <w:tcW w:w="10200" w:type="dxa"/>
            <w:shd w:val="clear" w:color="auto" w:fill="FAFAFA"/>
          </w:tcPr>
          <w:p w14:paraId="1F2FC83E" w14:textId="77777777" w:rsidR="006B5862" w:rsidRDefault="00000000" w:rsidP="00673149">
            <w:pPr>
              <w:spacing w:before="40" w:after="40"/>
              <w:jc w:val="center"/>
            </w:pPr>
            <w:r>
              <w:rPr>
                <w:rFonts w:ascii="Calibri" w:eastAsia="Calibri" w:hAnsi="Calibri"/>
                <w:color w:val="222222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34D272AB" w14:textId="77777777" w:rsidR="006B5862" w:rsidRDefault="006B5862"/>
    <w:sectPr w:rsidR="006B5862" w:rsidSect="00034616">
      <w:footerReference w:type="default" r:id="rId8"/>
      <w:pgSz w:w="12240" w:h="15840"/>
      <w:pgMar w:top="850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8087" w14:textId="77777777" w:rsidR="00A20149" w:rsidRDefault="00A20149">
      <w:pPr>
        <w:spacing w:after="0" w:line="240" w:lineRule="auto"/>
      </w:pPr>
      <w:r>
        <w:separator/>
      </w:r>
    </w:p>
  </w:endnote>
  <w:endnote w:type="continuationSeparator" w:id="0">
    <w:p w14:paraId="2D370F5D" w14:textId="77777777" w:rsidR="00A20149" w:rsidRDefault="00A2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3348" w14:textId="77777777" w:rsidR="006B5862" w:rsidRDefault="00000000">
    <w:pPr>
      <w:pStyle w:val="Footer"/>
      <w:jc w:val="center"/>
    </w:pPr>
    <w:r>
      <w:rPr>
        <w:rFonts w:ascii="Calibri" w:eastAsia="Calibri" w:hAnsi="Calibri"/>
        <w:color w:val="666666"/>
        <w:sz w:val="16"/>
      </w:rPr>
      <w:t>A free resource provided by www.bradfordvts.co.uk, Dr Ramesh Mehay, revised May 2026A free resource provided by www.bradfordvts.co.uk, Dr Ramesh Mehay, revised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95D1B" w14:textId="77777777" w:rsidR="00A20149" w:rsidRDefault="00A20149">
      <w:pPr>
        <w:spacing w:after="0" w:line="240" w:lineRule="auto"/>
      </w:pPr>
      <w:r>
        <w:separator/>
      </w:r>
    </w:p>
  </w:footnote>
  <w:footnote w:type="continuationSeparator" w:id="0">
    <w:p w14:paraId="37DF15D9" w14:textId="77777777" w:rsidR="00A20149" w:rsidRDefault="00A201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6718767">
    <w:abstractNumId w:val="8"/>
  </w:num>
  <w:num w:numId="2" w16cid:durableId="638656899">
    <w:abstractNumId w:val="6"/>
  </w:num>
  <w:num w:numId="3" w16cid:durableId="1007102840">
    <w:abstractNumId w:val="5"/>
  </w:num>
  <w:num w:numId="4" w16cid:durableId="1159660745">
    <w:abstractNumId w:val="4"/>
  </w:num>
  <w:num w:numId="5" w16cid:durableId="704988568">
    <w:abstractNumId w:val="7"/>
  </w:num>
  <w:num w:numId="6" w16cid:durableId="1244997789">
    <w:abstractNumId w:val="3"/>
  </w:num>
  <w:num w:numId="7" w16cid:durableId="519854614">
    <w:abstractNumId w:val="2"/>
  </w:num>
  <w:num w:numId="8" w16cid:durableId="1922257759">
    <w:abstractNumId w:val="1"/>
  </w:num>
  <w:num w:numId="9" w16cid:durableId="4491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73149"/>
    <w:rsid w:val="006B5862"/>
    <w:rsid w:val="00A20149"/>
    <w:rsid w:val="00AA1D8D"/>
    <w:rsid w:val="00B47730"/>
    <w:rsid w:val="00CB0664"/>
    <w:rsid w:val="00CD4A7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8EC834"/>
  <w14:defaultImageDpi w14:val="300"/>
  <w15:docId w15:val="{F33D9A13-9A68-4E42-A2CC-27B31368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1094</Words>
  <Characters>5957</Characters>
  <Application>Microsoft Office Word</Application>
  <DocSecurity>0</DocSecurity>
  <Lines>138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2026-05-05T19:13:00Z</dcterms:modified>
  <cp:category/>
</cp:coreProperties>
</file>