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DE2CD" w14:textId="77777777" w:rsidR="00F81C4C" w:rsidRPr="00A2527D" w:rsidRDefault="00F81C4C" w:rsidP="00F81C4C">
      <w:pPr>
        <w:pStyle w:val="Heading1"/>
        <w:spacing w:before="0"/>
        <w:jc w:val="center"/>
        <w:rPr>
          <w:color w:val="FFFFFF" w:themeColor="background1"/>
        </w:rPr>
      </w:pPr>
      <w:r w:rsidRPr="00A2527D">
        <w:rPr>
          <w:color w:val="FFFFFF" w:themeColor="background1"/>
          <w:highlight w:val="darkYellow"/>
        </w:rPr>
        <w:t>BRADFORD VTS TEACHING AIDS</w:t>
      </w:r>
    </w:p>
    <w:p w14:paraId="56E33BF8" w14:textId="4046E423" w:rsidR="00287E85" w:rsidRDefault="00000000">
      <w:pPr>
        <w:pStyle w:val="Heading1"/>
        <w:jc w:val="center"/>
      </w:pPr>
      <w:r>
        <w:t xml:space="preserve">URTICARIA, ANGIOEDEMA, FOOD </w:t>
      </w:r>
      <w:r w:rsidR="00F81C4C">
        <w:t>REACTIONS</w:t>
      </w:r>
      <w:r>
        <w:t xml:space="preserve"> &amp; ALLERGIC RHINITIS</w:t>
      </w:r>
    </w:p>
    <w:p w14:paraId="37522DAD" w14:textId="77777777" w:rsidR="00F81C4C" w:rsidRDefault="00F81C4C">
      <w:pPr>
        <w:rPr>
          <w:b/>
        </w:rPr>
      </w:pPr>
    </w:p>
    <w:p w14:paraId="66808104" w14:textId="698891E7" w:rsidR="00287E85" w:rsidRDefault="00000000">
      <w:r>
        <w:rPr>
          <w:b/>
        </w:rPr>
        <w:t>Clinical Immunology &amp; Allergy Guidance for Primary Care</w:t>
      </w:r>
      <w:r>
        <w:rPr>
          <w:b/>
        </w:rPr>
        <w:br/>
      </w:r>
      <w:r>
        <w:t>Updated in line with current NICE guidance, BSACI guidance and BNF recommendations (2026 review).</w:t>
      </w:r>
    </w:p>
    <w:p w14:paraId="6AE2742E" w14:textId="77777777" w:rsidR="00287E85" w:rsidRDefault="00000000">
      <w:pPr>
        <w:pStyle w:val="Heading2"/>
      </w:pPr>
      <w:r>
        <w:t>REFERRAL GUIDELINES – SUMMARY</w:t>
      </w:r>
    </w:p>
    <w:p w14:paraId="0C9000F9" w14:textId="77777777" w:rsidR="00287E85" w:rsidRDefault="00000000">
      <w:r>
        <w:t>These guidelines are designed to help primary care clinicians identify patients who require secondary care allergy/immunology assessment.</w:t>
      </w:r>
    </w:p>
    <w:p w14:paraId="0B821877" w14:textId="77777777" w:rsidR="00287E85" w:rsidRDefault="00000000">
      <w:r>
        <w:t>Most chronic urticaria is NOT due to allergy and does not require broad allergy testing.</w:t>
      </w:r>
      <w:r>
        <w:br/>
        <w:t>Testing should always be guided by clinical history rather than indiscriminate “allergy panels”.</w:t>
      </w:r>
      <w:r>
        <w:br/>
        <w:t>Patients with suspected anaphylaxis should be urgently assessed and considered for adrenaline auto-injector prescription following individual risk assessment and current BSACI/NICE guidance.</w:t>
      </w:r>
      <w:r>
        <w:br/>
        <w:t>Severe angioedema, suspected hereditary angioedema, recurrent unexplained anaphylaxis, difficult chronic spontaneous urticaria and severe allergic rhinitis requiring immunotherapy should be referred.</w:t>
      </w:r>
    </w:p>
    <w:p w14:paraId="18F15610" w14:textId="77777777" w:rsidR="00287E85" w:rsidRDefault="00000000">
      <w:pPr>
        <w:pStyle w:val="Heading2"/>
      </w:pPr>
      <w:r>
        <w:t>1. URTICARIA AND ANGIOEDEMA</w:t>
      </w:r>
    </w:p>
    <w:p w14:paraId="7D7F6C90" w14:textId="77777777" w:rsidR="00287E85" w:rsidRDefault="00000000">
      <w:r>
        <w:t>Urticaria (hives) is characterised by transient itchy wheals which usually resolve within 24 hours. Lesions lasting longer than 24 hours, blistering lesions, purpura or painful lesions suggest an alternative diagnosis such as urticarial vasculitis.</w:t>
      </w:r>
    </w:p>
    <w:p w14:paraId="1C74DED4" w14:textId="77777777" w:rsidR="00287E85" w:rsidRDefault="00000000">
      <w:r>
        <w:t>Angioedema involves deeper swelling, commonly affecting lips, eyelids, tongue and airway tissues.</w:t>
      </w:r>
    </w:p>
    <w:p w14:paraId="4A953113" w14:textId="77777777" w:rsidR="00287E85" w:rsidRDefault="00000000">
      <w:r>
        <w:t>Chronic spontaneous urticaria (CSU) is defined as symptoms lasting longer than 6 weeks. In most patients no external allergic trigger is identified. Many cases appear autoimmune in nature, involving mast-cell activation.</w:t>
      </w:r>
    </w:p>
    <w:p w14:paraId="5888795F" w14:textId="77777777" w:rsidR="00287E85" w:rsidRDefault="00000000">
      <w:r>
        <w:t>Routine extensive investigation is usually unnecessary in CSU unless the history suggests an underlying cause.</w:t>
      </w:r>
    </w:p>
    <w:p w14:paraId="06A518B1" w14:textId="77777777" w:rsidR="00287E85" w:rsidRDefault="00000000">
      <w:r>
        <w:t>Common triggers and exacerbating factors include:</w:t>
      </w:r>
      <w:r>
        <w:br/>
        <w:t>• Viral infections</w:t>
      </w:r>
      <w:r>
        <w:br/>
        <w:t>• NSAIDs</w:t>
      </w:r>
      <w:r>
        <w:br/>
        <w:t>• Alcohol excess</w:t>
      </w:r>
      <w:r>
        <w:br/>
        <w:t>• Stress</w:t>
      </w:r>
      <w:r>
        <w:br/>
        <w:t>• Pressure, heat, cold and other physical triggers</w:t>
      </w:r>
      <w:r>
        <w:br/>
        <w:t>• ACE inhibitors (particularly for angioedema)</w:t>
      </w:r>
    </w:p>
    <w:p w14:paraId="06B0F65A" w14:textId="77777777" w:rsidR="00287E85" w:rsidRDefault="00000000">
      <w:r>
        <w:t>Primary Care Management</w:t>
      </w:r>
      <w:r>
        <w:br/>
        <w:t>• Use regular second-generation non-sedating antihistamines such as cetirizine, loratadine or fexofenadine.</w:t>
      </w:r>
      <w:r>
        <w:br/>
        <w:t>• If standard doses fail, second-generation antihistamines may be increased up to fourfold off-label in line with BSACI/specialist guidance.</w:t>
      </w:r>
      <w:r>
        <w:br/>
        <w:t>• Avoid long-term sedating antihistamines where possible because of sedation, falls risk and impaired driving.</w:t>
      </w:r>
      <w:r>
        <w:br/>
        <w:t>• Short rescue courses of oral corticosteroids may occasionally be used for severe flares, but long-term steroids should be avoided.</w:t>
      </w:r>
      <w:r>
        <w:br/>
        <w:t>• Broad “allergy testing panels” are rarely useful in chronic spontaneous urticaria.</w:t>
      </w:r>
    </w:p>
    <w:p w14:paraId="4DE78913" w14:textId="77777777" w:rsidR="00287E85" w:rsidRDefault="00000000">
      <w:r>
        <w:t>Refer if:</w:t>
      </w:r>
      <w:r>
        <w:br/>
        <w:t>• Suspected anaphylaxis</w:t>
      </w:r>
      <w:r>
        <w:br/>
      </w:r>
      <w:r>
        <w:lastRenderedPageBreak/>
        <w:t>• Severe or recurrent angioedema</w:t>
      </w:r>
      <w:r>
        <w:br/>
        <w:t>• Airway involvement</w:t>
      </w:r>
      <w:r>
        <w:br/>
        <w:t>• Failure of high-dose antihistamine therapy</w:t>
      </w:r>
      <w:r>
        <w:br/>
        <w:t>• Suspicion of hereditary angioedema</w:t>
      </w:r>
      <w:r>
        <w:br/>
        <w:t>• Atypical lesions or suspected urticarial vasculitis</w:t>
      </w:r>
      <w:r>
        <w:br/>
        <w:t>• Diagnostic uncertainty</w:t>
      </w:r>
    </w:p>
    <w:p w14:paraId="46828873" w14:textId="77777777" w:rsidR="00287E85" w:rsidRDefault="00000000">
      <w:r>
        <w:t>ACE Inhibitor Angioedema</w:t>
      </w:r>
      <w:r>
        <w:br/>
        <w:t>ACE inhibitors can cause bradykinin-mediated angioedema which may occur months or years after starting treatment and may cause life-threatening airway compromise even without urticaria. The ACE inhibitor should be permanently stopped. Rechallenge is contraindicated.</w:t>
      </w:r>
    </w:p>
    <w:p w14:paraId="18B988DC" w14:textId="77777777" w:rsidR="00287E85" w:rsidRDefault="00000000">
      <w:r>
        <w:t>Angiotensin receptor blockers (ARBs) may occasionally also cause angioedema, although the risk is lower.</w:t>
      </w:r>
    </w:p>
    <w:p w14:paraId="20C414AC" w14:textId="77777777" w:rsidR="00287E85" w:rsidRDefault="00000000">
      <w:r>
        <w:t>Hereditary Angioedema</w:t>
      </w:r>
      <w:r>
        <w:br/>
        <w:t>Consider hereditary angioedema in patients with recurrent angioedema without urticaria, particularly with young onset, abdominal pain episodes or family history. HAE often responds poorly to antihistamines, steroids and adrenaline. These patients require specialist assessment.</w:t>
      </w:r>
    </w:p>
    <w:p w14:paraId="31B78C27" w14:textId="77777777" w:rsidR="00F81C4C" w:rsidRDefault="00F81C4C">
      <w:pPr>
        <w:rPr>
          <w:rFonts w:asciiTheme="majorHAnsi" w:eastAsiaTheme="majorEastAsia" w:hAnsiTheme="majorHAnsi" w:cstheme="majorBidi"/>
          <w:b/>
          <w:bCs/>
          <w:color w:val="4F81BD" w:themeColor="accent1"/>
          <w:sz w:val="26"/>
          <w:szCs w:val="26"/>
        </w:rPr>
      </w:pPr>
      <w:r>
        <w:br w:type="page"/>
      </w:r>
    </w:p>
    <w:p w14:paraId="1D59DF88" w14:textId="52FC3CDB" w:rsidR="00287E85" w:rsidRDefault="00000000">
      <w:pPr>
        <w:pStyle w:val="Heading2"/>
      </w:pPr>
      <w:r>
        <w:lastRenderedPageBreak/>
        <w:t>2. ADVERSE FOOD REACTIONS</w:t>
      </w:r>
    </w:p>
    <w:p w14:paraId="1BE11E1B" w14:textId="77777777" w:rsidR="00287E85" w:rsidRDefault="00000000">
      <w:r>
        <w:t>Adverse food reactions may be allergic, non-allergic or intolerance-related.</w:t>
      </w:r>
    </w:p>
    <w:p w14:paraId="264CA00B" w14:textId="77777777" w:rsidR="00287E85" w:rsidRDefault="00000000">
      <w:r>
        <w:t>True IgE-mediated food allergy usually causes rapid onset symptoms within minutes to 2 hours of ingestion.</w:t>
      </w:r>
      <w:r>
        <w:br/>
        <w:t>Typical symptoms include urticaria, angioedema, wheeze, vomiting, abdominal pain or anaphylaxis.</w:t>
      </w:r>
    </w:p>
    <w:p w14:paraId="64A47C3E" w14:textId="77777777" w:rsidR="00287E85" w:rsidRDefault="00000000">
      <w:r>
        <w:t>Diagnosis should be driven primarily by clinical history.</w:t>
      </w:r>
    </w:p>
    <w:p w14:paraId="153F43D9" w14:textId="77777777" w:rsidR="00287E85" w:rsidRDefault="00000000">
      <w:r>
        <w:t>Food Allergy Testing</w:t>
      </w:r>
      <w:r>
        <w:br/>
        <w:t>• Specific IgE testing or skin prick testing should only be requested when supported by the history.</w:t>
      </w:r>
      <w:r>
        <w:br/>
        <w:t>• Broad food allergy panels are discouraged because false positives are common.</w:t>
      </w:r>
      <w:r>
        <w:br/>
        <w:t>• Negative specific IgE testing has good negative predictive value for many common allergens.</w:t>
      </w:r>
      <w:r>
        <w:br/>
        <w:t>• Component-resolved diagnostics may be used in specialist practice for selected cases.</w:t>
      </w:r>
    </w:p>
    <w:p w14:paraId="371A8FD5" w14:textId="77777777" w:rsidR="00287E85" w:rsidRDefault="00000000">
      <w:r>
        <w:t>Food Intolerance</w:t>
      </w:r>
      <w:r>
        <w:br/>
        <w:t>Food intolerance is different from food allergy and is not IgE-mediated. Symptoms such as bloating, IBS-type symptoms and fluctuating gastrointestinal discomfort are rarely caused by true food allergy.</w:t>
      </w:r>
    </w:p>
    <w:p w14:paraId="110CBA78" w14:textId="77777777" w:rsidR="00287E85" w:rsidRDefault="00000000">
      <w:r>
        <w:t>There are currently no validated NHS blood tests for “food intolerance”.</w:t>
      </w:r>
      <w:r>
        <w:br/>
        <w:t>Commercial IgG food intolerance testing and hair analysis are not evidence-based and are not recommended.</w:t>
      </w:r>
    </w:p>
    <w:p w14:paraId="305A4A23" w14:textId="77777777" w:rsidR="00287E85" w:rsidRDefault="00000000">
      <w:r>
        <w:t>Refer if:</w:t>
      </w:r>
      <w:r>
        <w:br/>
        <w:t>• Suspected IgE-mediated food allergy</w:t>
      </w:r>
      <w:r>
        <w:br/>
        <w:t>• Suspected anaphylaxis</w:t>
      </w:r>
      <w:r>
        <w:br/>
        <w:t>• Multiple food allergies</w:t>
      </w:r>
      <w:r>
        <w:br/>
        <w:t>• Nutritional compromise</w:t>
      </w:r>
      <w:r>
        <w:br/>
        <w:t>• Diagnostic uncertainty</w:t>
      </w:r>
      <w:r>
        <w:br/>
        <w:t>• Possible mast cell disorders</w:t>
      </w:r>
    </w:p>
    <w:p w14:paraId="12DAF191" w14:textId="77777777" w:rsidR="00287E85" w:rsidRDefault="00000000">
      <w:r>
        <w:t>Anaphylaxis</w:t>
      </w:r>
      <w:r>
        <w:br/>
        <w:t>Patients with suspected anaphylaxis require urgent assessment.</w:t>
      </w:r>
      <w:r>
        <w:br/>
        <w:t>Consider prescription of adrenaline auto-injectors where indicated following individual risk assessment.</w:t>
      </w:r>
      <w:r>
        <w:br/>
        <w:t>Patients should receive education regarding trigger avoidance and emergency management plans.</w:t>
      </w:r>
    </w:p>
    <w:p w14:paraId="08557F2B" w14:textId="77777777" w:rsidR="00F81C4C" w:rsidRDefault="00F81C4C">
      <w:pPr>
        <w:rPr>
          <w:rFonts w:asciiTheme="majorHAnsi" w:eastAsiaTheme="majorEastAsia" w:hAnsiTheme="majorHAnsi" w:cstheme="majorBidi"/>
          <w:b/>
          <w:bCs/>
          <w:color w:val="4F81BD" w:themeColor="accent1"/>
          <w:sz w:val="26"/>
          <w:szCs w:val="26"/>
        </w:rPr>
      </w:pPr>
      <w:r>
        <w:br w:type="page"/>
      </w:r>
    </w:p>
    <w:p w14:paraId="7471FAC6" w14:textId="627A4928" w:rsidR="00287E85" w:rsidRDefault="00000000">
      <w:pPr>
        <w:pStyle w:val="Heading2"/>
      </w:pPr>
      <w:r>
        <w:lastRenderedPageBreak/>
        <w:t>3. RHINITIS</w:t>
      </w:r>
    </w:p>
    <w:p w14:paraId="53AE797C" w14:textId="77777777" w:rsidR="00287E85" w:rsidRDefault="00000000">
      <w:r>
        <w:t>Rhinitis may be allergic or non-allergic in origin.</w:t>
      </w:r>
      <w:r>
        <w:br/>
        <w:t>Symptoms include sneezing, rhinorrhoea, nasal blockage and itchy eyes.</w:t>
      </w:r>
    </w:p>
    <w:p w14:paraId="6777781D" w14:textId="77777777" w:rsidR="00287E85" w:rsidRDefault="00000000">
      <w:r>
        <w:t>Most allergic rhinitis can be effectively managed in primary care.</w:t>
      </w:r>
    </w:p>
    <w:p w14:paraId="6D47EA37" w14:textId="77777777" w:rsidR="00287E85" w:rsidRDefault="00000000">
      <w:r>
        <w:t>Allergic Rhinitis Management</w:t>
      </w:r>
      <w:r>
        <w:br/>
        <w:t>• Regular intranasal corticosteroids are first-line therapy for moderate/severe disease.</w:t>
      </w:r>
      <w:r>
        <w:br/>
        <w:t>• Second-generation non-sedating antihistamines may help sneezing and itching symptoms.</w:t>
      </w:r>
      <w:r>
        <w:br/>
        <w:t>• Eye drops may be required for allergic conjunctivitis.</w:t>
      </w:r>
      <w:r>
        <w:br/>
        <w:t>• Patients should be advised regarding allergen avoidance where practical.</w:t>
      </w:r>
      <w:r>
        <w:br/>
        <w:t>• Depot intramuscular corticosteroid injections are not recommended because of adverse effects.</w:t>
      </w:r>
    </w:p>
    <w:p w14:paraId="7AF13F95" w14:textId="77777777" w:rsidR="00287E85" w:rsidRDefault="00000000">
      <w:r>
        <w:t>Immunotherapy (Desensitisation)</w:t>
      </w:r>
      <w:r>
        <w:br/>
        <w:t>Allergen immunotherapy may be considered for carefully selected patients with severe allergic rhinitis uncontrolled despite optimal medical therapy.</w:t>
      </w:r>
    </w:p>
    <w:p w14:paraId="14211DDC" w14:textId="77777777" w:rsidR="00287E85" w:rsidRDefault="00000000">
      <w:r>
        <w:t>Contraindications/cautions for immunotherapy may include:</w:t>
      </w:r>
      <w:r>
        <w:br/>
        <w:t>• Poorly controlled asthma</w:t>
      </w:r>
      <w:r>
        <w:br/>
        <w:t>• Inability to comply with therapy</w:t>
      </w:r>
      <w:r>
        <w:br/>
        <w:t>• Certain immunodeficiency states</w:t>
      </w:r>
      <w:r>
        <w:br/>
        <w:t>• Beta-blocker therapy (relative contraindication)</w:t>
      </w:r>
    </w:p>
    <w:p w14:paraId="55833598" w14:textId="77777777" w:rsidR="00287E85" w:rsidRDefault="00000000">
      <w:r>
        <w:t>Non-Allergic Rhinitis</w:t>
      </w:r>
      <w:r>
        <w:br/>
        <w:t>Rhinitis beginning later in adult life without other atopic disease is more likely to be non-allergic.</w:t>
      </w:r>
    </w:p>
    <w:p w14:paraId="25ABFCA9" w14:textId="77777777" w:rsidR="00287E85" w:rsidRDefault="00000000">
      <w:r>
        <w:t>Differential diagnoses include:</w:t>
      </w:r>
      <w:r>
        <w:br/>
        <w:t>• Nasal polyps</w:t>
      </w:r>
      <w:r>
        <w:br/>
        <w:t>• Vasculitis</w:t>
      </w:r>
      <w:r>
        <w:br/>
        <w:t>• Medication-related rhinitis (including decongestant overuse)</w:t>
      </w:r>
      <w:r>
        <w:br/>
        <w:t>• Structural nasal disease</w:t>
      </w:r>
    </w:p>
    <w:p w14:paraId="52089D36" w14:textId="77777777" w:rsidR="00287E85" w:rsidRDefault="00000000">
      <w:r>
        <w:t>Blood-stained discharge, unilateral symptoms, facial pain/swelling or systemic symptoms require urgent assessment because malignancy or serious pathology must be excluded.</w:t>
      </w:r>
    </w:p>
    <w:p w14:paraId="2F83F4D7" w14:textId="77777777" w:rsidR="00287E85" w:rsidRDefault="00000000">
      <w:pPr>
        <w:pStyle w:val="Heading2"/>
      </w:pPr>
      <w:r>
        <w:t>REFERENCES</w:t>
      </w:r>
    </w:p>
    <w:p w14:paraId="745495DF" w14:textId="77777777" w:rsidR="00287E85" w:rsidRDefault="00000000">
      <w:r>
        <w:t>• NICE guideline CG183: Drug allergy</w:t>
      </w:r>
      <w:r>
        <w:br/>
        <w:t>• NICE guideline CG134: Anaphylaxis</w:t>
      </w:r>
      <w:r>
        <w:br/>
        <w:t>• BSACI Guidelines</w:t>
      </w:r>
      <w:r>
        <w:br/>
        <w:t>• BNF online (2026 edition)</w:t>
      </w:r>
    </w:p>
    <w:p w14:paraId="6C068DEF" w14:textId="77777777" w:rsidR="00287E85" w:rsidRPr="00F81C4C" w:rsidRDefault="00000000">
      <w:pPr>
        <w:rPr>
          <w:b/>
          <w:bCs/>
          <w:sz w:val="20"/>
          <w:szCs w:val="20"/>
        </w:rPr>
      </w:pPr>
      <w:r w:rsidRPr="00F81C4C">
        <w:rPr>
          <w:b/>
          <w:bCs/>
          <w:sz w:val="20"/>
          <w:szCs w:val="20"/>
        </w:rPr>
        <w:t>Disclaimer:</w:t>
      </w:r>
      <w:r w:rsidRPr="00F81C4C">
        <w:rPr>
          <w:b/>
          <w:bCs/>
          <w:sz w:val="20"/>
          <w:szCs w:val="20"/>
        </w:rPr>
        <w:br/>
        <w:t>This resource is intended for educational use by UK healthcare professionals and trainees. Every effort has been made to ensure clinical accuracy and alignment with current NICE, BSACI and BNF guidance at the time of publication. Clinicians should continue to use professional judgement and consult up-to-date official guidance when making clinical decisions.</w:t>
      </w:r>
    </w:p>
    <w:sectPr w:rsidR="00287E85" w:rsidRPr="00F81C4C" w:rsidSect="00F81C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67936360">
    <w:abstractNumId w:val="8"/>
  </w:num>
  <w:num w:numId="2" w16cid:durableId="286592670">
    <w:abstractNumId w:val="6"/>
  </w:num>
  <w:num w:numId="3" w16cid:durableId="313409261">
    <w:abstractNumId w:val="5"/>
  </w:num>
  <w:num w:numId="4" w16cid:durableId="50736240">
    <w:abstractNumId w:val="4"/>
  </w:num>
  <w:num w:numId="5" w16cid:durableId="130753432">
    <w:abstractNumId w:val="7"/>
  </w:num>
  <w:num w:numId="6" w16cid:durableId="1305114724">
    <w:abstractNumId w:val="3"/>
  </w:num>
  <w:num w:numId="7" w16cid:durableId="1960334674">
    <w:abstractNumId w:val="2"/>
  </w:num>
  <w:num w:numId="8" w16cid:durableId="1548834781">
    <w:abstractNumId w:val="1"/>
  </w:num>
  <w:num w:numId="9" w16cid:durableId="82643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44D7"/>
    <w:rsid w:val="0015074B"/>
    <w:rsid w:val="00287E85"/>
    <w:rsid w:val="0029639D"/>
    <w:rsid w:val="00326F90"/>
    <w:rsid w:val="00AA1D8D"/>
    <w:rsid w:val="00B47730"/>
    <w:rsid w:val="00CB0664"/>
    <w:rsid w:val="00F81C4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C94C62"/>
  <w14:defaultImageDpi w14:val="300"/>
  <w15:docId w15:val="{B133CE44-6296-4D0F-911D-3017E7CB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886</Words>
  <Characters>6132</Characters>
  <Application>Microsoft Office Word</Application>
  <DocSecurity>0</DocSecurity>
  <Lines>142</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2</cp:revision>
  <dcterms:created xsi:type="dcterms:W3CDTF">2013-12-23T23:15:00Z</dcterms:created>
  <dcterms:modified xsi:type="dcterms:W3CDTF">2026-05-10T16:46:00Z</dcterms:modified>
  <cp:category/>
</cp:coreProperties>
</file>