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Calibri" w:hAnsi="Calibri" w:eastAsia="Calibri" w:cs="Calibri"/>
          <w:b/>
          <w:i w:val="0"/>
          <w:color w:val="4B0082"/>
          <w:sz w:val="22"/>
        </w:rPr>
        <w:t>Bradford VTS — Women's Health</w:t>
      </w:r>
    </w:p>
    <w:p>
      <w:pPr>
        <w:spacing w:before="0" w:after="200"/>
        <w:jc w:val="center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www.bradfordvts.co.uk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  <w:jc w:val="center"/>
      </w:pPr>
      <w:r>
        <w:rPr>
          <w:rFonts w:ascii="Calibri" w:hAnsi="Calibri" w:eastAsia="Calibri" w:cs="Calibri"/>
          <w:b/>
          <w:i w:val="0"/>
          <w:color w:val="4B0082"/>
          <w:sz w:val="44"/>
        </w:rPr>
        <w:t>Gynaecological Examination Checklist</w:t>
      </w:r>
    </w:p>
    <w:p>
      <w:pPr>
        <w:spacing w:before="0" w:after="40"/>
        <w:jc w:val="center"/>
      </w:pPr>
      <w:r>
        <w:rPr>
          <w:rFonts w:ascii="Calibri" w:hAnsi="Calibri" w:eastAsia="Calibri" w:cs="Calibri"/>
          <w:b w:val="0"/>
          <w:i/>
          <w:color w:val="646464"/>
          <w:sz w:val="26"/>
        </w:rPr>
        <w:t>Speculum Examination (Bivalve/Cusco's) · Bimanual Examination</w:t>
      </w:r>
    </w:p>
    <w:p>
      <w:pPr>
        <w:spacing w:before="0" w:after="80"/>
        <w:jc w:val="center"/>
      </w:pPr>
      <w:r>
        <w:rPr>
          <w:rFonts w:ascii="Calibri" w:hAnsi="Calibri" w:eastAsia="Calibri" w:cs="Calibri"/>
          <w:b w:val="0"/>
          <w:i/>
          <w:color w:val="787878"/>
          <w:sz w:val="20"/>
        </w:rPr>
        <w:t>Angela Laughton, Midwife/Lead Clinical Educator, Bradford Teaching Hospitals NHS Trust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160" w:after="160"/>
      </w:pPr>
      <w:r>
        <w:rPr>
          <w:rFonts w:ascii="Calibri" w:hAnsi="Calibri" w:eastAsia="Calibri" w:cs="Calibri"/>
          <w:b w:val="0"/>
          <w:i/>
          <w:color w:val="505050"/>
          <w:sz w:val="22"/>
        </w:rPr>
        <w:t>Use this checklist for OSCE practice and self-assessment. Work through each step systematically. Tick each box as you complete it. Consent and chaperone documentation are mandatory in every clinical encounter.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6"/>
        </w:rPr>
        <w:t>1. Preparing the Patient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Introduce yourself and establish rapport (name, role)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Explain the procedure in full — ask if they have had a speculum examination before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Explain it will be uncomfortable but should NOT be painful; tell them to say 'stop' if it hurts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Gain informed verbal consent — document this in the notes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Offer and document the chaperone (name and role) — even if declined, document the offer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Ask patient to empty her bladder and remove any sanitary protection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Ask patient to undress from waist down privately; provide a modesty sheet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Position patient supine: heels together, knees bent, legs allowed to fall apart</w:t>
      </w:r>
    </w:p>
    <w:p>
      <w:pPr>
        <w:spacing w:before="40" w:after="80"/>
        <w:ind w:left="283"/>
      </w:pPr>
      <w:r>
        <w:rPr>
          <w:rFonts w:ascii="Calibri" w:hAnsi="Calibri" w:eastAsia="Calibri" w:cs="Calibri"/>
          <w:b w:val="0"/>
          <w:i/>
          <w:color w:val="006450"/>
          <w:sz w:val="20"/>
        </w:rPr>
        <w:t>📋 SCA tip: Always say confidentiality aloud. Document chaperone name, not just 'chaperone present'.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6"/>
        </w:rPr>
        <w:t>2. Equipment Check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Non-sterile gloves (correct size)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Bivalve (Cusco's) speculum — correct size; WARMED before use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Lubricating jelly (do NOT apply to cervix if taking a smear — compromises cytology)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Examination couch and modesty sheet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Adequate lighting — positioned to illuminate perineum clearly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Swabs or LBC cervical sampling equipment if required (ThinPrep vial + Cervex-Brush)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WASH HANDS before proceeding</w:t>
      </w:r>
    </w:p>
    <w:p>
      <w:pPr>
        <w:spacing w:before="40" w:after="80"/>
        <w:ind w:left="283"/>
      </w:pPr>
      <w:r>
        <w:rPr>
          <w:rFonts w:ascii="Calibri" w:hAnsi="Calibri" w:eastAsia="Calibri" w:cs="Calibri"/>
          <w:b w:val="0"/>
          <w:i/>
          <w:color w:val="B45000"/>
          <w:sz w:val="20"/>
        </w:rPr>
        <w:t>📋 Pitfall: Never use a cold speculum — it causes vaginal spasm, pain, and patient distress.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6"/>
        </w:rPr>
        <w:t>3. Inspection of the Perineum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Expose perineum; maintain modesty sheet over abdomen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Inspect hair distribution (abnormal for age?)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Inspect vulval skin — psoriasis, lichen sclerosus, eczema, erythema, atrophic changes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Inspect perineum for scars or obstetric tears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Look for evidence of discharge, prolapse, ulcers, warts (condylomata)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Ask patient to cough or strain — assess for prolapse or stress incontinence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Gently part labia — inspect urethral meatus for discharge or caruncle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6"/>
        </w:rPr>
        <w:t>4. Insertion of Bivalve (Cusco's) Speculum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Warn patient: 'I'm going to touch you now — first with my fingers, then the speculum'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Apply lubricating jelly to speculum blades (NOT to cervix if smear is needed)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Part labia with non-dominant hand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Orient speculum blades VERTICALLY (in line with vaginal opening)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Insert speculum slowly with a SLIGHTLY POSTERIOR direction (towards the sacrum)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As you advance, ROTATE speculum so blades become HORIZONTAL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Continue advancing gently until resistance is felt (fornix)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Open blades slowly until CERVIX COMES INTO VIEW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Secure the speculum at this position</w:t>
      </w:r>
    </w:p>
    <w:p>
      <w:pPr>
        <w:spacing w:before="40" w:after="80"/>
        <w:ind w:left="283"/>
      </w:pPr>
      <w:r>
        <w:rPr>
          <w:rFonts w:ascii="Calibri" w:hAnsi="Calibri" w:eastAsia="Calibri" w:cs="Calibri"/>
          <w:b w:val="0"/>
          <w:i/>
          <w:color w:val="B45000"/>
          <w:sz w:val="20"/>
        </w:rPr>
        <w:t>📋 Common pitfall: Directing speculum anteriorly hits the urethral ridge — painful and ineffective. Always aim posteriorly.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6"/>
        </w:rPr>
        <w:t>5. Inspection of the Cervix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Inspect cervix — normal: pink, smooth, healthy appearance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Note cervical os: nulliparous (pinpoint round) or multiparous (transverse slit)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Look for atrophic vaginitis (pale, thin mucosa in postmenopausal women)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Check for any discharge (note colour, consistency, origin — endocervical vs vaginal)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Look for ectropion (red granular area around os — common in young women/OCP users)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Look for polyps (soft fleshy tissue from os — refer)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Look for warts/condylomata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Look for tumours, ulcers, contact bleeding (RED FLAG — urgent 2WW referral)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Check for IUCD threads — note presence and length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Take smear if indicated — see LBC technique overleaf</w:t>
      </w:r>
    </w:p>
    <w:p>
      <w:pPr>
        <w:spacing w:before="80" w:after="80"/>
        <w:ind w:left="283"/>
      </w:pPr>
      <w:r>
        <w:rPr>
          <w:rFonts w:ascii="Calibri" w:hAnsi="Calibri" w:eastAsia="Calibri" w:cs="Calibri"/>
          <w:b/>
          <w:i w:val="0"/>
          <w:color w:val="B40000"/>
          <w:sz w:val="22"/>
        </w:rPr>
        <w:t>🚨  Red Flags: Contact bleeding (bleeds on touch) · Visible cervical mass or ulcer · Suspicious lesion → Urgent 2-week wait referral for suspected cervical cancer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6"/>
        </w:rPr>
        <w:t>6. Taking a Liquid-Based Cytology (LBC) Cervical Smear</w:t>
      </w:r>
    </w:p>
    <w:p>
      <w:pPr>
        <w:spacing w:before="40" w:after="80"/>
        <w:ind w:left="283"/>
      </w:pPr>
      <w:r>
        <w:rPr>
          <w:rFonts w:ascii="Calibri" w:hAnsi="Calibri" w:eastAsia="Calibri" w:cs="Calibri"/>
          <w:b w:val="0"/>
          <w:i/>
          <w:color w:val="4B0082"/>
          <w:sz w:val="20"/>
        </w:rPr>
        <w:t>Note: Modern NHS cervical screening uses LBC (ThinPrep/SurePath) — NOT the Aylesbury spatula/glass slide method.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Confirm patient identity: name, date of birth, NHS number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Label the LBC vial BEFORE opening the speculum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Insert Cervex-Brush (or Cervex-Brush Combi for SurePath) into the cervical os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Rotate brush 5 times clockwise with firm contact on the transformation zone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Immediately rinse brush into LBC vial (ThinPrep: swirl and discard; SurePath: detach head into vial)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Close and remove speculum carefully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Inform patient: slight spotting afterwards is normal; significant bleeding → see GP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Inform patient how long results will take and how they will be delivered (letter/call)</w:t>
      </w:r>
    </w:p>
    <w:p>
      <w:pPr>
        <w:spacing w:before="40" w:after="80"/>
        <w:ind w:left="283"/>
      </w:pPr>
      <w:r>
        <w:rPr>
          <w:rFonts w:ascii="Calibri" w:hAnsi="Calibri" w:eastAsia="Calibri" w:cs="Calibri"/>
          <w:b w:val="0"/>
          <w:i/>
          <w:color w:val="006450"/>
          <w:sz w:val="20"/>
        </w:rPr>
        <w:t>📋 Timing: Mid-late follicular phase is ideal. Do NOT perform during menstruation.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6"/>
        </w:rPr>
        <w:t>7. Bimanual Pelvic Examination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Apply fresh lubricating jelly to gloved right hand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Gently separate labia with non-dominant hand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Insert index finger into vagina; slowly add middle finger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Palpate cervix — note mobility, consistency, any tenderness (cervical excitation = sign of PID/ectopic)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Place left hand flat on lower abdomen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Bimanually palpate the UTERUS between internal and external hands: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 xml:space="preserve">   → Note: size, position (anteverted/retroverted), consistency, tenderness, mobility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Move internal fingers to LEFT lateral fornix — palpate left adnexa with external hand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 xml:space="preserve">   → Note: ovarian size, tenderness, any masses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Move internal fingers to RIGHT lateral fornix — palpate right adnexa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Palpate uterosacral ligaments in posterior fornix (nodularity suggests endometriosis)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Withdraw fingers smoothly; check glove for blood</w:t>
      </w:r>
    </w:p>
    <w:p>
      <w:pPr>
        <w:spacing w:before="120" w:after="40"/>
      </w:pPr>
      <w:r>
        <w:rPr>
          <w:rFonts w:ascii="Calibri" w:hAnsi="Calibri" w:eastAsia="Calibri" w:cs="Calibri"/>
          <w:b/>
          <w:i w:val="0"/>
          <w:sz w:val="22"/>
        </w:rPr>
        <w:t>Key bimanual findings: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shd w:val="clear" w:fill="EDE7F6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4B0082"/>
                <w:sz w:val="22"/>
              </w:rPr>
              <w:t>Finding</w:t>
            </w:r>
          </w:p>
        </w:tc>
        <w:tc>
          <w:tcPr>
            <w:tcW w:type="dxa" w:w="4536"/>
            <w:shd w:val="clear" w:fill="EDE7F6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4B0082"/>
                <w:sz w:val="22"/>
              </w:rPr>
              <w:t>Consider</w:t>
            </w:r>
          </w:p>
        </w:tc>
      </w:tr>
      <w:tr>
        <w:tc>
          <w:tcPr>
            <w:tcW w:type="dxa" w:w="4536"/>
          </w:tcPr>
          <w:p>
            <w:r>
              <w:rPr>
                <w:rFonts w:ascii="Calibri" w:hAnsi="Calibri" w:eastAsia="Calibri" w:cs="Calibri"/>
                <w:b/>
                <w:i w:val="0"/>
                <w:sz w:val="20"/>
              </w:rPr>
              <w:t>Cervical excitation (CMT)</w:t>
            </w:r>
          </w:p>
        </w:tc>
        <w:tc>
          <w:tcPr>
            <w:tcW w:type="dxa" w:w="4536"/>
          </w:tcPr>
          <w:p>
            <w:r>
              <w:rPr>
                <w:rFonts w:ascii="Calibri" w:hAnsi="Calibri" w:eastAsia="Calibri" w:cs="Calibri"/>
                <w:b w:val="0"/>
                <w:i w:val="0"/>
                <w:sz w:val="20"/>
              </w:rPr>
              <w:t>PID; ectopic pregnancy — check βhCG urgently</w:t>
            </w:r>
          </w:p>
        </w:tc>
      </w:tr>
      <w:tr>
        <w:tc>
          <w:tcPr>
            <w:tcW w:type="dxa" w:w="4536"/>
          </w:tcPr>
          <w:p>
            <w:r>
              <w:rPr>
                <w:rFonts w:ascii="Calibri" w:hAnsi="Calibri" w:eastAsia="Calibri" w:cs="Calibri"/>
                <w:b/>
                <w:i w:val="0"/>
                <w:sz w:val="20"/>
              </w:rPr>
              <w:t>Enlarged uterus</w:t>
            </w:r>
          </w:p>
        </w:tc>
        <w:tc>
          <w:tcPr>
            <w:tcW w:type="dxa" w:w="4536"/>
          </w:tcPr>
          <w:p>
            <w:r>
              <w:rPr>
                <w:rFonts w:ascii="Calibri" w:hAnsi="Calibri" w:eastAsia="Calibri" w:cs="Calibri"/>
                <w:b w:val="0"/>
                <w:i w:val="0"/>
                <w:sz w:val="20"/>
              </w:rPr>
              <w:t>Fibroids; pregnancy; uterine malignancy</w:t>
            </w:r>
          </w:p>
        </w:tc>
      </w:tr>
      <w:tr>
        <w:tc>
          <w:tcPr>
            <w:tcW w:type="dxa" w:w="4536"/>
          </w:tcPr>
          <w:p>
            <w:r>
              <w:rPr>
                <w:rFonts w:ascii="Calibri" w:hAnsi="Calibri" w:eastAsia="Calibri" w:cs="Calibri"/>
                <w:b/>
                <w:i w:val="0"/>
                <w:sz w:val="20"/>
              </w:rPr>
              <w:t>Fixed uterus / restricted mobility</w:t>
            </w:r>
          </w:p>
        </w:tc>
        <w:tc>
          <w:tcPr>
            <w:tcW w:type="dxa" w:w="4536"/>
          </w:tcPr>
          <w:p>
            <w:r>
              <w:rPr>
                <w:rFonts w:ascii="Calibri" w:hAnsi="Calibri" w:eastAsia="Calibri" w:cs="Calibri"/>
                <w:b w:val="0"/>
                <w:i w:val="0"/>
                <w:sz w:val="20"/>
              </w:rPr>
              <w:t>Endometriosis; adhesions; malignancy</w:t>
            </w:r>
          </w:p>
        </w:tc>
      </w:tr>
      <w:tr>
        <w:tc>
          <w:tcPr>
            <w:tcW w:type="dxa" w:w="4536"/>
          </w:tcPr>
          <w:p>
            <w:r>
              <w:rPr>
                <w:rFonts w:ascii="Calibri" w:hAnsi="Calibri" w:eastAsia="Calibri" w:cs="Calibri"/>
                <w:b/>
                <w:i w:val="0"/>
                <w:sz w:val="20"/>
              </w:rPr>
              <w:t>Adnexal mass</w:t>
            </w:r>
          </w:p>
        </w:tc>
        <w:tc>
          <w:tcPr>
            <w:tcW w:type="dxa" w:w="4536"/>
          </w:tcPr>
          <w:p>
            <w:r>
              <w:rPr>
                <w:rFonts w:ascii="Calibri" w:hAnsi="Calibri" w:eastAsia="Calibri" w:cs="Calibri"/>
                <w:b w:val="0"/>
                <w:i w:val="0"/>
                <w:sz w:val="20"/>
              </w:rPr>
              <w:t>Ovarian cyst; ectopic pregnancy; tubo-ovarian abscess</w:t>
            </w:r>
          </w:p>
        </w:tc>
      </w:tr>
      <w:tr>
        <w:tc>
          <w:tcPr>
            <w:tcW w:type="dxa" w:w="4536"/>
          </w:tcPr>
          <w:p>
            <w:r>
              <w:rPr>
                <w:rFonts w:ascii="Calibri" w:hAnsi="Calibri" w:eastAsia="Calibri" w:cs="Calibri"/>
                <w:b/>
                <w:i w:val="0"/>
                <w:sz w:val="20"/>
              </w:rPr>
              <w:t>Adnexal tenderness</w:t>
            </w:r>
          </w:p>
        </w:tc>
        <w:tc>
          <w:tcPr>
            <w:tcW w:type="dxa" w:w="4536"/>
          </w:tcPr>
          <w:p>
            <w:r>
              <w:rPr>
                <w:rFonts w:ascii="Calibri" w:hAnsi="Calibri" w:eastAsia="Calibri" w:cs="Calibri"/>
                <w:b w:val="0"/>
                <w:i w:val="0"/>
                <w:sz w:val="20"/>
              </w:rPr>
              <w:t>PID; ectopic pregnancy; ovarian torsion</w:t>
            </w:r>
          </w:p>
        </w:tc>
      </w:tr>
      <w:tr>
        <w:tc>
          <w:tcPr>
            <w:tcW w:type="dxa" w:w="4536"/>
          </w:tcPr>
          <w:p>
            <w:r>
              <w:rPr>
                <w:rFonts w:ascii="Calibri" w:hAnsi="Calibri" w:eastAsia="Calibri" w:cs="Calibri"/>
                <w:b/>
                <w:i w:val="0"/>
                <w:sz w:val="20"/>
              </w:rPr>
              <w:t>Nodular uterosacral ligaments</w:t>
            </w:r>
          </w:p>
        </w:tc>
        <w:tc>
          <w:tcPr>
            <w:tcW w:type="dxa" w:w="4536"/>
          </w:tcPr>
          <w:p>
            <w:r>
              <w:rPr>
                <w:rFonts w:ascii="Calibri" w:hAnsi="Calibri" w:eastAsia="Calibri" w:cs="Calibri"/>
                <w:b w:val="0"/>
                <w:i w:val="0"/>
                <w:sz w:val="20"/>
              </w:rPr>
              <w:t>Endometriosis</w:t>
            </w:r>
          </w:p>
        </w:tc>
      </w:tr>
    </w:tbl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6"/>
        </w:rPr>
        <w:t>8. Concluding the Examination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Withdraw speculum smoothly; close blades as you withdraw to avoid trapping tissue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Inform patient: 'I've finished the examination. I'll give you a moment to get dressed'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Inform patient of results timeline and delivery method (letter/phone call)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Warn about minor spotting after smear — normal; significant bleeding → see GP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Thank the patient; allow privacy to dress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 w:val="0"/>
          <w:i w:val="0"/>
          <w:color w:val="000000"/>
          <w:sz w:val="22"/>
        </w:rPr>
        <w:t xml:space="preserve">☐  </w:t>
      </w:r>
      <w:r>
        <w:rPr>
          <w:rFonts w:ascii="Calibri" w:hAnsi="Calibri" w:eastAsia="Calibri" w:cs="Calibri"/>
          <w:b w:val="0"/>
          <w:i w:val="0"/>
          <w:sz w:val="22"/>
        </w:rPr>
        <w:t>Document examination findings clearly in notes, including: chaperone, consent, any abnormal findings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6"/>
        </w:rPr>
        <w:t>Exam Pearls (AKT &amp; SCA)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/>
          <w:i w:val="0"/>
          <w:color w:val="4B0082"/>
          <w:sz w:val="22"/>
        </w:rPr>
        <w:t xml:space="preserve">[AKT]  </w:t>
      </w:r>
      <w:r>
        <w:rPr>
          <w:rFonts w:ascii="Calibri" w:hAnsi="Calibri" w:eastAsia="Calibri" w:cs="Calibri"/>
          <w:b w:val="0"/>
          <w:i w:val="0"/>
          <w:sz w:val="22"/>
        </w:rPr>
        <w:t>Always offer AND document the chaperone — not just 'chaperone present'; record their name and role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/>
          <w:i w:val="0"/>
          <w:color w:val="4B0082"/>
          <w:sz w:val="22"/>
        </w:rPr>
        <w:t xml:space="preserve">[AKT]  </w:t>
      </w:r>
      <w:r>
        <w:rPr>
          <w:rFonts w:ascii="Calibri" w:hAnsi="Calibri" w:eastAsia="Calibri" w:cs="Calibri"/>
          <w:b w:val="0"/>
          <w:i w:val="0"/>
          <w:sz w:val="22"/>
        </w:rPr>
        <w:t>Cervical excitation: bilateral = PID; unilateral + positive pregnancy test = ectopic until proven otherwise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/>
          <w:i w:val="0"/>
          <w:color w:val="4B0082"/>
          <w:sz w:val="22"/>
        </w:rPr>
        <w:t xml:space="preserve">[AKT]  </w:t>
      </w:r>
      <w:r>
        <w:rPr>
          <w:rFonts w:ascii="Calibri" w:hAnsi="Calibri" w:eastAsia="Calibri" w:cs="Calibri"/>
          <w:b w:val="0"/>
          <w:i w:val="0"/>
          <w:sz w:val="22"/>
        </w:rPr>
        <w:t>Ectropion = columnar epithelium visible on ectocervix — normal in young/OCP users; refer only if PCB persists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/>
          <w:i w:val="0"/>
          <w:color w:val="4B0082"/>
          <w:sz w:val="22"/>
        </w:rPr>
        <w:t xml:space="preserve">[AKT]  </w:t>
      </w:r>
      <w:r>
        <w:rPr>
          <w:rFonts w:ascii="Calibri" w:hAnsi="Calibri" w:eastAsia="Calibri" w:cs="Calibri"/>
          <w:b w:val="0"/>
          <w:i w:val="0"/>
          <w:sz w:val="22"/>
        </w:rPr>
        <w:t>LBC: primary HPV testing since 2019–2021 nationally; cytology only if HPV positive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/>
          <w:i w:val="0"/>
          <w:color w:val="4B0082"/>
          <w:sz w:val="22"/>
        </w:rPr>
        <w:t xml:space="preserve">[AKT]  </w:t>
      </w:r>
      <w:r>
        <w:rPr>
          <w:rFonts w:ascii="Calibri" w:hAnsi="Calibri" w:eastAsia="Calibri" w:cs="Calibri"/>
          <w:b w:val="0"/>
          <w:i w:val="0"/>
          <w:sz w:val="22"/>
        </w:rPr>
        <w:t>Uterosacral nodularity on bimanual = endometriosis — classic AKT scenario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/>
          <w:i w:val="0"/>
          <w:color w:val="007878"/>
          <w:sz w:val="22"/>
        </w:rPr>
        <w:t xml:space="preserve">[SCA]  </w:t>
      </w:r>
      <w:r>
        <w:rPr>
          <w:rFonts w:ascii="Calibri" w:hAnsi="Calibri" w:eastAsia="Calibri" w:cs="Calibri"/>
          <w:b w:val="0"/>
          <w:i w:val="0"/>
          <w:sz w:val="22"/>
        </w:rPr>
        <w:t>Before examination: 'Have you had this done before? Was it okay?' — past experience shapes current consultation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/>
          <w:i w:val="0"/>
          <w:color w:val="007878"/>
          <w:sz w:val="22"/>
        </w:rPr>
        <w:t xml:space="preserve">[SCA]  </w:t>
      </w:r>
      <w:r>
        <w:rPr>
          <w:rFonts w:ascii="Calibri" w:hAnsi="Calibri" w:eastAsia="Calibri" w:cs="Calibri"/>
          <w:b w:val="0"/>
          <w:i w:val="0"/>
          <w:sz w:val="22"/>
        </w:rPr>
        <w:t>Distressed patient: STOP the examination; reassure; consider rescheduling. Never continue against withdrawn consent</w:t>
      </w:r>
    </w:p>
    <w:p>
      <w:pPr>
        <w:spacing w:before="40" w:after="40"/>
        <w:ind w:left="283"/>
      </w:pPr>
      <w:r>
        <w:rPr>
          <w:rFonts w:ascii="Calibri" w:hAnsi="Calibri" w:eastAsia="Calibri" w:cs="Calibri"/>
          <w:b/>
          <w:i w:val="0"/>
          <w:color w:val="007878"/>
          <w:sz w:val="22"/>
        </w:rPr>
        <w:t xml:space="preserve">[SCA]  </w:t>
      </w:r>
      <w:r>
        <w:rPr>
          <w:rFonts w:ascii="Calibri" w:hAnsi="Calibri" w:eastAsia="Calibri" w:cs="Calibri"/>
          <w:b w:val="0"/>
          <w:i w:val="0"/>
          <w:sz w:val="22"/>
        </w:rPr>
        <w:t>2WW communication: 'I'd like to refer you urgently — this is a precaution, not a diagnosis of cancer'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160"/>
        <w:jc w:val="center"/>
      </w:pPr>
      <w:r>
        <w:rPr>
          <w:rFonts w:ascii="Calibri" w:hAnsi="Calibri" w:eastAsia="Calibri" w:cs="Calibri"/>
          <w:b w:val="0"/>
          <w:i/>
          <w:color w:val="787878"/>
          <w:sz w:val="18"/>
        </w:rPr>
        <w:t>Bradford VTS — Women's Health Educational Resource  |  www.bradfordvts.co.uk</w:t>
      </w:r>
    </w:p>
    <w:p>
      <w:pPr>
        <w:jc w:val="center"/>
      </w:pPr>
      <w:r>
        <w:rPr>
          <w:rFonts w:ascii="Calibri" w:hAnsi="Calibri" w:eastAsia="Calibri" w:cs="Calibri"/>
          <w:b w:val="0"/>
          <w:i/>
          <w:color w:val="969696"/>
          <w:sz w:val="18"/>
        </w:rPr>
        <w:t>Original checklist: Angela Laughton, Midwife/Lead Clinical Educator, Bradford Teaching Hospitals NHS Trust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