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5529C7" w14:paraId="6FA395E7" w14:textId="77777777">
        <w:trPr>
          <w:jc w:val="center"/>
        </w:trPr>
        <w:tc>
          <w:tcPr>
            <w:tcW w:w="9972" w:type="dxa"/>
            <w:shd w:val="clear" w:color="auto" w:fill="E86B2A"/>
            <w:tcMar>
              <w:top w:w="240" w:type="dxa"/>
              <w:left w:w="240" w:type="dxa"/>
              <w:bottom w:w="200" w:type="dxa"/>
              <w:right w:w="240" w:type="dxa"/>
            </w:tcMar>
          </w:tcPr>
          <w:p w14:paraId="0E24B113" w14:textId="77777777" w:rsidR="005529C7" w:rsidRDefault="009D5991">
            <w:pPr>
              <w:spacing w:after="120"/>
              <w:jc w:val="center"/>
            </w:pPr>
            <w:r>
              <w:rPr>
                <w:rFonts w:ascii="Calibri" w:hAnsi="Calibri" w:cs="Calibri"/>
                <w:b/>
                <w:color w:val="FFFFFF"/>
                <w:sz w:val="19"/>
              </w:rPr>
              <w:t xml:space="preserve">BRADFORD VTS TEACHING </w:t>
            </w:r>
            <w:r w:rsidR="00155D38">
              <w:rPr>
                <w:rFonts w:ascii="Calibri" w:hAnsi="Calibri" w:cs="Calibri"/>
                <w:b/>
                <w:color w:val="FFFFFF"/>
                <w:sz w:val="19"/>
              </w:rPr>
              <w:t>AIDS</w:t>
            </w:r>
          </w:p>
          <w:p w14:paraId="30A9CF30" w14:textId="77777777" w:rsidR="005529C7" w:rsidRDefault="009D5991">
            <w:pPr>
              <w:spacing w:after="160"/>
              <w:jc w:val="center"/>
            </w:pPr>
            <w:r>
              <w:rPr>
                <w:rFonts w:ascii="Calibri" w:hAnsi="Calibri" w:cs="Calibri"/>
                <w:b/>
                <w:color w:val="FFFFFF"/>
                <w:sz w:val="56"/>
              </w:rPr>
              <w:t>HRT — What to Prescribe</w:t>
            </w:r>
          </w:p>
          <w:p w14:paraId="7D7E417F" w14:textId="77777777" w:rsidR="005529C7" w:rsidRDefault="009D5991">
            <w:pPr>
              <w:spacing w:after="0"/>
              <w:jc w:val="center"/>
            </w:pPr>
            <w:r>
              <w:rPr>
                <w:rFonts w:ascii="Calibri" w:hAnsi="Calibri" w:cs="Calibri"/>
                <w:i/>
                <w:color w:val="FFFFFF"/>
              </w:rPr>
              <w:t>An Easy-Peasy Clinical Guid</w:t>
            </w:r>
            <w:r w:rsidR="00155D38">
              <w:rPr>
                <w:rFonts w:ascii="Calibri" w:hAnsi="Calibri" w:cs="Calibri"/>
                <w:i/>
                <w:color w:val="FFFFFF"/>
              </w:rPr>
              <w:t>e  ·  Bradford VTS  ·  May 2026</w:t>
            </w:r>
          </w:p>
        </w:tc>
      </w:tr>
    </w:tbl>
    <w:p w14:paraId="71BAA6FE" w14:textId="77777777" w:rsidR="005529C7" w:rsidRDefault="009D5991">
      <w:pPr>
        <w:spacing w:after="80"/>
        <w:jc w:val="center"/>
      </w:pPr>
      <w:r>
        <w:rPr>
          <w:noProof/>
          <w:lang w:val="en-GB" w:eastAsia="en-GB"/>
        </w:rPr>
        <w:drawing>
          <wp:inline distT="0" distB="0" distL="0" distR="0" wp14:anchorId="3D6CCC8E" wp14:editId="11F03111">
            <wp:extent cx="6317615" cy="2600325"/>
            <wp:effectExtent l="0" t="0" r="698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3718" cy="26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543A7" w14:textId="77777777" w:rsidR="005529C7" w:rsidRDefault="009D5991">
      <w:pPr>
        <w:jc w:val="center"/>
      </w:pPr>
      <w:r>
        <w:rPr>
          <w:rFonts w:ascii="Calibri" w:hAnsi="Calibri" w:cs="Calibri"/>
          <w:i/>
          <w:color w:val="555555"/>
          <w:sz w:val="21"/>
        </w:rPr>
        <w:t>A practical prescribing-focused guide for GP trainees and clinicians — covering body-identical HRT, oestrogen preparations, progesterone choices, and who gets what.</w:t>
      </w:r>
      <w:r>
        <w:rPr>
          <w:rFonts w:ascii="Calibri" w:hAnsi="Calibri" w:cs="Calibri"/>
          <w:i/>
          <w:color w:val="555555"/>
          <w:sz w:val="21"/>
        </w:rPr>
        <w:br/>
        <w:t>Always check current NICE/BNF guidance before prescribing.</w:t>
      </w:r>
    </w:p>
    <w:p w14:paraId="7F212E5D" w14:textId="77777777" w:rsidR="005529C7" w:rsidRDefault="009D5991">
      <w:pPr>
        <w:pBdr>
          <w:bottom w:val="single" w:sz="8" w:space="0" w:color="00878A"/>
        </w:pBdr>
        <w:spacing w:before="280" w:after="120"/>
      </w:pPr>
      <w:r>
        <w:rPr>
          <w:rFonts w:ascii="Calibri" w:hAnsi="Calibri" w:cs="Calibri"/>
          <w:b/>
          <w:color w:val="005F61"/>
          <w:sz w:val="32"/>
        </w:rPr>
        <w:t>In a Nutshell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37"/>
      </w:tblGrid>
      <w:tr w:rsidR="005529C7" w14:paraId="59D18119" w14:textId="77777777">
        <w:trPr>
          <w:jc w:val="center"/>
        </w:trPr>
        <w:tc>
          <w:tcPr>
            <w:tcW w:w="9972" w:type="dxa"/>
            <w:tcBorders>
              <w:left w:val="single" w:sz="24" w:space="0" w:color="00878A"/>
            </w:tcBorders>
            <w:shd w:val="clear" w:color="auto" w:fill="E0F4F4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36FC97AD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b/>
                <w:color w:val="00878A"/>
              </w:rPr>
              <w:t>The Golden Rule</w:t>
            </w:r>
          </w:p>
          <w:p w14:paraId="1353A549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</w:rPr>
              <w:t>The safest HRT is BODY-IDENTICAL HRT — plant-derived oestrogen that is chemically identical to human oestrogen, combined with oral micronised progesterone (Utrogestan).</w:t>
            </w:r>
          </w:p>
          <w:p w14:paraId="0AF8A868" w14:textId="77777777" w:rsidR="005529C7" w:rsidRDefault="005529C7">
            <w:pPr>
              <w:spacing w:before="20" w:after="40"/>
            </w:pPr>
          </w:p>
          <w:p w14:paraId="00614AD1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</w:rPr>
              <w:t>Prefer TRANSDERMAL oestrogen (patch, gel, or spray) over oral oestrogen — it avoids first-pass liver metabolism, meaning lower risk of blood clots, stroke, and VTE.</w:t>
            </w:r>
          </w:p>
          <w:p w14:paraId="2F7FEDC6" w14:textId="77777777" w:rsidR="005529C7" w:rsidRDefault="005529C7"/>
        </w:tc>
      </w:tr>
    </w:tbl>
    <w:p w14:paraId="55527ED6" w14:textId="77777777" w:rsidR="005529C7" w:rsidRDefault="005529C7"/>
    <w:p w14:paraId="58D8C104" w14:textId="77777777" w:rsidR="00155D38" w:rsidRDefault="00155D38" w:rsidP="00155D38">
      <w:pPr>
        <w:spacing w:before="80" w:after="80"/>
      </w:pPr>
      <w:r>
        <w:rPr>
          <w:rFonts w:ascii="Calibri" w:hAnsi="Calibri" w:cs="Calibri"/>
          <w:b/>
          <w:color w:val="005F61"/>
        </w:rPr>
        <w:t>Quick Reference — Key Points</w:t>
      </w:r>
    </w:p>
    <w:p w14:paraId="0E71982A" w14:textId="77777777" w:rsidR="00155D38" w:rsidRDefault="00155D38" w:rsidP="00155D38">
      <w:pPr>
        <w:pStyle w:val="ListParagraph"/>
        <w:numPr>
          <w:ilvl w:val="0"/>
          <w:numId w:val="10"/>
        </w:numPr>
        <w:spacing w:before="20" w:after="40"/>
      </w:pPr>
      <w:r w:rsidRPr="00155D38">
        <w:rPr>
          <w:rFonts w:ascii="Calibri" w:hAnsi="Calibri" w:cs="Calibri"/>
          <w:color w:val="1A1A2E"/>
          <w:sz w:val="21"/>
        </w:rPr>
        <w:t xml:space="preserve">Body-identical HRT = transdermal </w:t>
      </w:r>
      <w:proofErr w:type="spellStart"/>
      <w:r w:rsidRPr="00155D38">
        <w:rPr>
          <w:rFonts w:ascii="Calibri" w:hAnsi="Calibri" w:cs="Calibri"/>
          <w:color w:val="1A1A2E"/>
          <w:sz w:val="21"/>
        </w:rPr>
        <w:t>oestrogen</w:t>
      </w:r>
      <w:proofErr w:type="spellEnd"/>
      <w:r w:rsidRPr="00155D38">
        <w:rPr>
          <w:rFonts w:ascii="Calibri" w:hAnsi="Calibri" w:cs="Calibri"/>
          <w:color w:val="1A1A2E"/>
          <w:sz w:val="21"/>
        </w:rPr>
        <w:t xml:space="preserve"> + oral </w:t>
      </w:r>
      <w:proofErr w:type="spellStart"/>
      <w:r w:rsidRPr="00155D38">
        <w:rPr>
          <w:rFonts w:ascii="Calibri" w:hAnsi="Calibri" w:cs="Calibri"/>
          <w:color w:val="1A1A2E"/>
          <w:sz w:val="21"/>
        </w:rPr>
        <w:t>micronised</w:t>
      </w:r>
      <w:proofErr w:type="spellEnd"/>
      <w:r w:rsidRPr="00155D38">
        <w:rPr>
          <w:rFonts w:ascii="Calibri" w:hAnsi="Calibri" w:cs="Calibri"/>
          <w:color w:val="1A1A2E"/>
          <w:sz w:val="21"/>
        </w:rPr>
        <w:t xml:space="preserve"> progesterone (</w:t>
      </w:r>
      <w:proofErr w:type="spellStart"/>
      <w:r w:rsidRPr="00155D38">
        <w:rPr>
          <w:rFonts w:ascii="Calibri" w:hAnsi="Calibri" w:cs="Calibri"/>
          <w:color w:val="1A1A2E"/>
          <w:sz w:val="21"/>
        </w:rPr>
        <w:t>Utrogestan</w:t>
      </w:r>
      <w:proofErr w:type="spellEnd"/>
      <w:r w:rsidRPr="00155D38">
        <w:rPr>
          <w:rFonts w:ascii="Calibri" w:hAnsi="Calibri" w:cs="Calibri"/>
          <w:color w:val="1A1A2E"/>
          <w:sz w:val="21"/>
        </w:rPr>
        <w:t>).</w:t>
      </w:r>
    </w:p>
    <w:p w14:paraId="36E73157" w14:textId="77777777" w:rsidR="00155D38" w:rsidRDefault="00155D38" w:rsidP="00155D38">
      <w:pPr>
        <w:pStyle w:val="ListParagraph"/>
        <w:numPr>
          <w:ilvl w:val="0"/>
          <w:numId w:val="10"/>
        </w:numPr>
        <w:spacing w:before="20" w:after="40"/>
      </w:pPr>
      <w:r w:rsidRPr="00155D38">
        <w:rPr>
          <w:rFonts w:ascii="Calibri" w:hAnsi="Calibri" w:cs="Calibri"/>
          <w:color w:val="1A1A2E"/>
          <w:sz w:val="21"/>
        </w:rPr>
        <w:t>Continuous combined (cc) = post-menopausal / &gt;55 / &gt;1 year since last period.</w:t>
      </w:r>
    </w:p>
    <w:p w14:paraId="5E5CA547" w14:textId="77777777" w:rsidR="00155D38" w:rsidRDefault="00155D38" w:rsidP="00155D38">
      <w:pPr>
        <w:pStyle w:val="ListParagraph"/>
        <w:numPr>
          <w:ilvl w:val="0"/>
          <w:numId w:val="10"/>
        </w:numPr>
        <w:spacing w:before="20" w:after="40"/>
      </w:pPr>
      <w:r w:rsidRPr="00155D38">
        <w:rPr>
          <w:rFonts w:ascii="Calibri" w:hAnsi="Calibri" w:cs="Calibri"/>
          <w:color w:val="1A1A2E"/>
          <w:sz w:val="21"/>
        </w:rPr>
        <w:t>Sequential combined (</w:t>
      </w:r>
      <w:proofErr w:type="spellStart"/>
      <w:r w:rsidRPr="00155D38">
        <w:rPr>
          <w:rFonts w:ascii="Calibri" w:hAnsi="Calibri" w:cs="Calibri"/>
          <w:color w:val="1A1A2E"/>
          <w:sz w:val="21"/>
        </w:rPr>
        <w:t>sc</w:t>
      </w:r>
      <w:proofErr w:type="spellEnd"/>
      <w:r w:rsidRPr="00155D38">
        <w:rPr>
          <w:rFonts w:ascii="Calibri" w:hAnsi="Calibri" w:cs="Calibri"/>
          <w:color w:val="1A1A2E"/>
          <w:sz w:val="21"/>
        </w:rPr>
        <w:t>) = perimenopausal / still having periods.</w:t>
      </w:r>
    </w:p>
    <w:p w14:paraId="233D8A5C" w14:textId="77777777" w:rsidR="00155D38" w:rsidRDefault="00155D38" w:rsidP="00155D38">
      <w:pPr>
        <w:pStyle w:val="ListParagraph"/>
        <w:numPr>
          <w:ilvl w:val="0"/>
          <w:numId w:val="10"/>
        </w:numPr>
        <w:spacing w:before="20" w:after="40"/>
      </w:pPr>
      <w:r w:rsidRPr="00155D38">
        <w:rPr>
          <w:rFonts w:ascii="Calibri" w:hAnsi="Calibri" w:cs="Calibri"/>
          <w:color w:val="1A1A2E"/>
          <w:sz w:val="21"/>
        </w:rPr>
        <w:t xml:space="preserve">No uterus → </w:t>
      </w:r>
      <w:proofErr w:type="spellStart"/>
      <w:r w:rsidRPr="00155D38">
        <w:rPr>
          <w:rFonts w:ascii="Calibri" w:hAnsi="Calibri" w:cs="Calibri"/>
          <w:color w:val="1A1A2E"/>
          <w:sz w:val="21"/>
        </w:rPr>
        <w:t>oestrogen</w:t>
      </w:r>
      <w:proofErr w:type="spellEnd"/>
      <w:r w:rsidRPr="00155D38">
        <w:rPr>
          <w:rFonts w:ascii="Calibri" w:hAnsi="Calibri" w:cs="Calibri"/>
          <w:color w:val="1A1A2E"/>
          <w:sz w:val="21"/>
        </w:rPr>
        <w:t xml:space="preserve"> only (exception: subtotal hysterectomy → still needs progesterone).</w:t>
      </w:r>
    </w:p>
    <w:p w14:paraId="0AF19EAD" w14:textId="77777777" w:rsidR="00155D38" w:rsidRDefault="00155D38" w:rsidP="00155D38">
      <w:pPr>
        <w:pStyle w:val="ListParagraph"/>
        <w:numPr>
          <w:ilvl w:val="0"/>
          <w:numId w:val="10"/>
        </w:numPr>
        <w:spacing w:before="20" w:after="40"/>
      </w:pPr>
      <w:r w:rsidRPr="00155D38">
        <w:rPr>
          <w:rFonts w:ascii="Calibri" w:hAnsi="Calibri" w:cs="Calibri"/>
          <w:color w:val="1A1A2E"/>
          <w:sz w:val="21"/>
        </w:rPr>
        <w:t xml:space="preserve">Always add topical vaginal </w:t>
      </w:r>
      <w:proofErr w:type="spellStart"/>
      <w:r w:rsidRPr="00155D38">
        <w:rPr>
          <w:rFonts w:ascii="Calibri" w:hAnsi="Calibri" w:cs="Calibri"/>
          <w:color w:val="1A1A2E"/>
          <w:sz w:val="21"/>
        </w:rPr>
        <w:t>oestrogen</w:t>
      </w:r>
      <w:proofErr w:type="spellEnd"/>
      <w:r w:rsidRPr="00155D38">
        <w:rPr>
          <w:rFonts w:ascii="Calibri" w:hAnsi="Calibri" w:cs="Calibri"/>
          <w:color w:val="1A1A2E"/>
          <w:sz w:val="21"/>
        </w:rPr>
        <w:t xml:space="preserve"> for vaginal symptoms, even alongside systemic HRT.</w:t>
      </w:r>
    </w:p>
    <w:p w14:paraId="72610F9D" w14:textId="77777777" w:rsidR="00155D38" w:rsidRDefault="00155D38" w:rsidP="00155D38">
      <w:pPr>
        <w:pStyle w:val="ListParagraph"/>
        <w:numPr>
          <w:ilvl w:val="0"/>
          <w:numId w:val="10"/>
        </w:numPr>
        <w:spacing w:before="20" w:after="40"/>
      </w:pPr>
      <w:r w:rsidRPr="00155D38">
        <w:rPr>
          <w:rFonts w:ascii="Calibri" w:hAnsi="Calibri" w:cs="Calibri"/>
          <w:color w:val="1A1A2E"/>
          <w:sz w:val="21"/>
        </w:rPr>
        <w:t>HRT is NOT contraception — add it separately in perimenopausal women.</w:t>
      </w:r>
    </w:p>
    <w:p w14:paraId="10A0DFCA" w14:textId="77777777" w:rsidR="00155D38" w:rsidRDefault="00155D38">
      <w:pPr>
        <w:rPr>
          <w:rFonts w:ascii="Calibri" w:hAnsi="Calibri" w:cs="Calibri"/>
          <w:b/>
          <w:color w:val="005F61"/>
          <w:sz w:val="32"/>
        </w:rPr>
      </w:pPr>
      <w:r>
        <w:rPr>
          <w:rFonts w:ascii="Calibri" w:hAnsi="Calibri" w:cs="Calibri"/>
          <w:b/>
          <w:color w:val="005F61"/>
          <w:sz w:val="32"/>
        </w:rPr>
        <w:br w:type="page"/>
      </w:r>
    </w:p>
    <w:p w14:paraId="06B615A3" w14:textId="77777777" w:rsidR="005529C7" w:rsidRDefault="009D5991">
      <w:pPr>
        <w:pBdr>
          <w:bottom w:val="single" w:sz="8" w:space="0" w:color="00878A"/>
        </w:pBdr>
        <w:spacing w:before="280" w:after="120"/>
      </w:pPr>
      <w:r>
        <w:rPr>
          <w:rFonts w:ascii="Calibri" w:hAnsi="Calibri" w:cs="Calibri"/>
          <w:b/>
          <w:color w:val="005F61"/>
          <w:sz w:val="32"/>
        </w:rPr>
        <w:lastRenderedPageBreak/>
        <w:t>Preparations at a Glance</w:t>
      </w:r>
    </w:p>
    <w:p w14:paraId="1268CC1C" w14:textId="77777777" w:rsidR="00155D38" w:rsidRDefault="00155D38">
      <w:pPr>
        <w:spacing w:before="80" w:after="80"/>
        <w:rPr>
          <w:rFonts w:ascii="Calibri" w:hAnsi="Calibri" w:cs="Calibri"/>
          <w:b/>
          <w:color w:val="00878A"/>
          <w:sz w:val="25"/>
        </w:rPr>
      </w:pPr>
    </w:p>
    <w:p w14:paraId="596B02FF" w14:textId="77777777" w:rsidR="005529C7" w:rsidRDefault="009D5991">
      <w:pPr>
        <w:spacing w:before="80" w:after="80"/>
      </w:pPr>
      <w:r>
        <w:rPr>
          <w:rFonts w:ascii="Calibri" w:hAnsi="Calibri" w:cs="Calibri"/>
          <w:b/>
          <w:color w:val="00878A"/>
          <w:sz w:val="25"/>
        </w:rPr>
        <w:t xml:space="preserve">Body-Identical </w:t>
      </w:r>
      <w:proofErr w:type="spellStart"/>
      <w:r w:rsidRPr="00155D38">
        <w:rPr>
          <w:rFonts w:ascii="Calibri" w:hAnsi="Calibri" w:cs="Calibri"/>
          <w:b/>
          <w:color w:val="00878A"/>
          <w:sz w:val="25"/>
          <w:highlight w:val="yellow"/>
        </w:rPr>
        <w:t>Oestrogen</w:t>
      </w:r>
      <w:proofErr w:type="spellEnd"/>
      <w:r>
        <w:rPr>
          <w:rFonts w:ascii="Calibri" w:hAnsi="Calibri" w:cs="Calibri"/>
          <w:b/>
          <w:color w:val="00878A"/>
          <w:sz w:val="25"/>
        </w:rPr>
        <w:t xml:space="preserve"> Preparations</w:t>
      </w:r>
    </w:p>
    <w:tbl>
      <w:tblPr>
        <w:tblW w:w="0" w:type="auto"/>
        <w:jc w:val="center"/>
        <w:tblBorders>
          <w:top w:val="single" w:sz="4" w:space="0" w:color="B2DFDB"/>
          <w:left w:val="single" w:sz="4" w:space="0" w:color="B2DFDB"/>
          <w:bottom w:val="single" w:sz="4" w:space="0" w:color="B2DFDB"/>
          <w:right w:val="single" w:sz="4" w:space="0" w:color="B2DFDB"/>
          <w:insideH w:val="single" w:sz="4" w:space="0" w:color="B2DFDB"/>
          <w:insideV w:val="single" w:sz="4" w:space="0" w:color="B2DFDB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5529C7" w14:paraId="0DBD9792" w14:textId="77777777">
        <w:trPr>
          <w:jc w:val="center"/>
        </w:trPr>
        <w:tc>
          <w:tcPr>
            <w:tcW w:w="4986" w:type="dxa"/>
            <w:shd w:val="clear" w:color="auto" w:fill="005F61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95ECCA5" w14:textId="77777777" w:rsidR="005529C7" w:rsidRDefault="009D5991">
            <w:pPr>
              <w:spacing w:before="40" w:after="40"/>
            </w:pPr>
            <w:r>
              <w:rPr>
                <w:rFonts w:ascii="Calibri" w:hAnsi="Calibri" w:cs="Calibri"/>
                <w:b/>
                <w:color w:val="FFFFFF"/>
                <w:sz w:val="21"/>
              </w:rPr>
              <w:t>Preparation</w:t>
            </w:r>
          </w:p>
        </w:tc>
        <w:tc>
          <w:tcPr>
            <w:tcW w:w="4986" w:type="dxa"/>
            <w:shd w:val="clear" w:color="auto" w:fill="005F61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4DDD83E" w14:textId="77777777" w:rsidR="005529C7" w:rsidRDefault="009D5991">
            <w:pPr>
              <w:spacing w:before="40" w:after="40"/>
            </w:pPr>
            <w:r>
              <w:rPr>
                <w:rFonts w:ascii="Calibri" w:hAnsi="Calibri" w:cs="Calibri"/>
                <w:b/>
                <w:color w:val="FFFFFF"/>
                <w:sz w:val="21"/>
              </w:rPr>
              <w:t>Notes</w:t>
            </w:r>
          </w:p>
        </w:tc>
      </w:tr>
      <w:tr w:rsidR="005529C7" w14:paraId="269CE471" w14:textId="77777777">
        <w:trPr>
          <w:jc w:val="center"/>
        </w:trPr>
        <w:tc>
          <w:tcPr>
            <w:tcW w:w="4986" w:type="dxa"/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3D6C75BC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Estradot patch</w:t>
            </w:r>
          </w:p>
        </w:tc>
        <w:tc>
          <w:tcPr>
            <w:tcW w:w="4986" w:type="dxa"/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04ED81E5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Small, discreet patch — good adherence</w:t>
            </w:r>
          </w:p>
        </w:tc>
      </w:tr>
      <w:tr w:rsidR="005529C7" w14:paraId="2583D398" w14:textId="77777777">
        <w:trPr>
          <w:jc w:val="center"/>
        </w:trPr>
        <w:tc>
          <w:tcPr>
            <w:tcW w:w="4986" w:type="dxa"/>
            <w:shd w:val="clear" w:color="auto" w:fill="E0F4F4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6BF48A01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Estraderm / Climara patches</w:t>
            </w:r>
          </w:p>
        </w:tc>
        <w:tc>
          <w:tcPr>
            <w:tcW w:w="4986" w:type="dxa"/>
            <w:shd w:val="clear" w:color="auto" w:fill="E0F4F4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1F5F4918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Available; adhesion can be variable</w:t>
            </w:r>
          </w:p>
        </w:tc>
      </w:tr>
      <w:tr w:rsidR="005529C7" w14:paraId="3AEF6811" w14:textId="77777777">
        <w:trPr>
          <w:jc w:val="center"/>
        </w:trPr>
        <w:tc>
          <w:tcPr>
            <w:tcW w:w="4986" w:type="dxa"/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4D5938B2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Sandrena gel (sachet)</w:t>
            </w:r>
          </w:p>
        </w:tc>
        <w:tc>
          <w:tcPr>
            <w:tcW w:w="4986" w:type="dxa"/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72E0F3A1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0.5–1.5 mg standard dose; 2 mg high dose</w:t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(1.5 mg sachet = 75 mcg oestrogen; 2 mg = 100 mcg oestrogen)</w:t>
            </w:r>
          </w:p>
        </w:tc>
      </w:tr>
      <w:tr w:rsidR="005529C7" w14:paraId="593D1B12" w14:textId="77777777">
        <w:trPr>
          <w:jc w:val="center"/>
        </w:trPr>
        <w:tc>
          <w:tcPr>
            <w:tcW w:w="4986" w:type="dxa"/>
            <w:shd w:val="clear" w:color="auto" w:fill="E0F4F4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0D782254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Estragel (pump)</w:t>
            </w:r>
          </w:p>
        </w:tc>
        <w:tc>
          <w:tcPr>
            <w:tcW w:w="4986" w:type="dxa"/>
            <w:shd w:val="clear" w:color="auto" w:fill="E0F4F4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54C9B54D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Standard 1–3 pumps/day; high dose 4 pumps</w:t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1 pump = 25 mcg oestrogen</w:t>
            </w:r>
          </w:p>
        </w:tc>
      </w:tr>
      <w:tr w:rsidR="005529C7" w14:paraId="43D0B94E" w14:textId="77777777">
        <w:trPr>
          <w:jc w:val="center"/>
        </w:trPr>
        <w:tc>
          <w:tcPr>
            <w:tcW w:w="4986" w:type="dxa"/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1844620D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Lenzetto spray</w:t>
            </w:r>
          </w:p>
        </w:tc>
        <w:tc>
          <w:tcPr>
            <w:tcW w:w="4986" w:type="dxa"/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12723E67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1–3 sprays/day; max 3 sprays = 40 mcg oestrogen</w:t>
            </w:r>
          </w:p>
        </w:tc>
      </w:tr>
    </w:tbl>
    <w:p w14:paraId="3961AE8B" w14:textId="77777777" w:rsidR="005529C7" w:rsidRDefault="005529C7">
      <w:pPr>
        <w:spacing w:after="120"/>
      </w:pPr>
    </w:p>
    <w:p w14:paraId="7371CFBA" w14:textId="77777777" w:rsidR="00155D38" w:rsidRDefault="00155D38">
      <w:pPr>
        <w:spacing w:before="160" w:after="80"/>
        <w:rPr>
          <w:rFonts w:ascii="Calibri" w:hAnsi="Calibri" w:cs="Calibri"/>
          <w:b/>
          <w:color w:val="00878A"/>
          <w:sz w:val="25"/>
          <w:highlight w:val="yellow"/>
        </w:rPr>
      </w:pPr>
    </w:p>
    <w:p w14:paraId="703B0C7A" w14:textId="77777777" w:rsidR="005529C7" w:rsidRDefault="009D5991">
      <w:pPr>
        <w:spacing w:before="160" w:after="80"/>
      </w:pPr>
      <w:r w:rsidRPr="00155D38">
        <w:rPr>
          <w:rFonts w:ascii="Calibri" w:hAnsi="Calibri" w:cs="Calibri"/>
          <w:b/>
          <w:color w:val="00878A"/>
          <w:sz w:val="25"/>
          <w:highlight w:val="yellow"/>
        </w:rPr>
        <w:t>Progesterone</w:t>
      </w:r>
      <w:r>
        <w:rPr>
          <w:rFonts w:ascii="Calibri" w:hAnsi="Calibri" w:cs="Calibri"/>
          <w:b/>
          <w:color w:val="00878A"/>
          <w:sz w:val="25"/>
        </w:rPr>
        <w:t xml:space="preserve"> Preparations</w:t>
      </w:r>
    </w:p>
    <w:p w14:paraId="245A928B" w14:textId="77777777" w:rsidR="005529C7" w:rsidRDefault="009D5991">
      <w:pPr>
        <w:spacing w:after="80"/>
        <w:rPr>
          <w:rFonts w:ascii="Calibri" w:hAnsi="Calibri" w:cs="Calibri"/>
          <w:color w:val="555555"/>
          <w:sz w:val="21"/>
        </w:rPr>
      </w:pPr>
      <w:r>
        <w:rPr>
          <w:rFonts w:ascii="Calibri" w:hAnsi="Calibri" w:cs="Calibri"/>
          <w:color w:val="555555"/>
          <w:sz w:val="21"/>
        </w:rPr>
        <w:t>Use with oestrogen only if the patient has an intact uterus.</w:t>
      </w:r>
    </w:p>
    <w:p w14:paraId="56CE6288" w14:textId="0DF36F57" w:rsidR="005E5C52" w:rsidRDefault="005E5C52">
      <w:pPr>
        <w:spacing w:after="80"/>
      </w:pPr>
      <w:r>
        <w:rPr>
          <w:rFonts w:ascii="Calibri" w:hAnsi="Calibri" w:cs="Calibri"/>
          <w:color w:val="555555"/>
          <w:sz w:val="21"/>
        </w:rPr>
        <w:t xml:space="preserve">Only add progesterone if </w:t>
      </w:r>
      <w:proofErr w:type="spellStart"/>
      <w:r>
        <w:rPr>
          <w:rFonts w:ascii="Calibri" w:hAnsi="Calibri" w:cs="Calibri"/>
          <w:color w:val="555555"/>
          <w:sz w:val="21"/>
        </w:rPr>
        <w:t>hysterectomised</w:t>
      </w:r>
      <w:proofErr w:type="spellEnd"/>
      <w:r>
        <w:rPr>
          <w:rFonts w:ascii="Calibri" w:hAnsi="Calibri" w:cs="Calibri"/>
          <w:color w:val="555555"/>
          <w:sz w:val="21"/>
        </w:rPr>
        <w:t>.</w:t>
      </w:r>
    </w:p>
    <w:p w14:paraId="41B49977" w14:textId="77777777" w:rsidR="005529C7" w:rsidRDefault="009D5991">
      <w:pPr>
        <w:pStyle w:val="ListBullet"/>
        <w:spacing w:before="20" w:after="60"/>
      </w:pPr>
      <w:r>
        <w:rPr>
          <w:rFonts w:ascii="Calibri" w:hAnsi="Calibri" w:cs="Calibri"/>
          <w:b/>
          <w:color w:val="005F61"/>
          <w:sz w:val="21"/>
        </w:rPr>
        <w:t>Utrogestan 100 mg OD:</w:t>
      </w:r>
      <w:r>
        <w:rPr>
          <w:rFonts w:ascii="Calibri" w:hAnsi="Calibri" w:cs="Calibri"/>
          <w:color w:val="1A1A2E"/>
          <w:sz w:val="21"/>
        </w:rPr>
        <w:t xml:space="preserve"> Continuous combined (cc) regimen — one tablet every day.</w:t>
      </w:r>
    </w:p>
    <w:p w14:paraId="48704232" w14:textId="77777777" w:rsidR="005529C7" w:rsidRDefault="009D5991">
      <w:pPr>
        <w:pStyle w:val="ListBullet"/>
        <w:spacing w:before="20" w:after="60"/>
      </w:pPr>
      <w:r>
        <w:rPr>
          <w:rFonts w:ascii="Calibri" w:hAnsi="Calibri" w:cs="Calibri"/>
          <w:b/>
          <w:color w:val="005F61"/>
          <w:sz w:val="21"/>
        </w:rPr>
        <w:t>Utrogestan 200 mg OD:</w:t>
      </w:r>
      <w:r>
        <w:rPr>
          <w:rFonts w:ascii="Calibri" w:hAnsi="Calibri" w:cs="Calibri"/>
          <w:color w:val="1A1A2E"/>
          <w:sz w:val="21"/>
        </w:rPr>
        <w:t xml:space="preserve"> Sequential combined (sc) regimen — 2 weeks on, 2 weeks off. Also used for high-dose oestrogen (≥100 mcg; e.g. ≥4 pumps of gel or 2 mg Sandrena sachet).</w:t>
      </w:r>
    </w:p>
    <w:p w14:paraId="15A85B72" w14:textId="77777777" w:rsidR="005529C7" w:rsidRDefault="009D5991">
      <w:pPr>
        <w:pStyle w:val="ListBullet"/>
        <w:spacing w:before="20" w:after="60"/>
      </w:pPr>
      <w:r>
        <w:rPr>
          <w:rFonts w:ascii="Calibri" w:hAnsi="Calibri" w:cs="Calibri"/>
          <w:b/>
          <w:color w:val="005F61"/>
          <w:sz w:val="21"/>
        </w:rPr>
        <w:t>Provera (medroxyprogesterone acetate):</w:t>
      </w:r>
      <w:r>
        <w:rPr>
          <w:rFonts w:ascii="Calibri" w:hAnsi="Calibri" w:cs="Calibri"/>
          <w:color w:val="1A1A2E"/>
          <w:sz w:val="21"/>
        </w:rPr>
        <w:t xml:space="preserve"> Synthetic alternative if Utrogestan is not tolerated — less preferred.</w:t>
      </w:r>
    </w:p>
    <w:p w14:paraId="76C8F1BD" w14:textId="77777777" w:rsidR="005529C7" w:rsidRDefault="009D5991">
      <w:pPr>
        <w:pStyle w:val="ListBullet"/>
        <w:spacing w:before="20" w:after="60"/>
      </w:pPr>
      <w:r>
        <w:rPr>
          <w:rFonts w:ascii="Calibri" w:hAnsi="Calibri" w:cs="Calibri"/>
          <w:b/>
          <w:color w:val="005F61"/>
          <w:sz w:val="21"/>
        </w:rPr>
        <w:t>Mirena IUS:</w:t>
      </w:r>
      <w:r>
        <w:rPr>
          <w:rFonts w:ascii="Calibri" w:hAnsi="Calibri" w:cs="Calibri"/>
          <w:color w:val="1A1A2E"/>
          <w:sz w:val="21"/>
        </w:rPr>
        <w:t xml:space="preserve"> Best endometrial protection. Preferred for women with high endometrial cancer risk (family history, obesity, prior hyperplasia).</w:t>
      </w:r>
    </w:p>
    <w:p w14:paraId="15EECAE3" w14:textId="77777777" w:rsidR="005529C7" w:rsidRDefault="005529C7">
      <w:pPr>
        <w:spacing w:after="80"/>
      </w:pPr>
    </w:p>
    <w:p w14:paraId="04EA173F" w14:textId="77777777" w:rsidR="00155D38" w:rsidRDefault="00155D38">
      <w:pPr>
        <w:spacing w:before="160" w:after="80"/>
        <w:rPr>
          <w:rFonts w:ascii="Calibri" w:hAnsi="Calibri" w:cs="Calibri"/>
          <w:b/>
          <w:color w:val="00878A"/>
          <w:sz w:val="25"/>
          <w:highlight w:val="yellow"/>
        </w:rPr>
      </w:pPr>
    </w:p>
    <w:p w14:paraId="238A88E1" w14:textId="77777777" w:rsidR="005529C7" w:rsidRDefault="009D5991">
      <w:pPr>
        <w:spacing w:before="160" w:after="80"/>
        <w:rPr>
          <w:rFonts w:ascii="Calibri" w:hAnsi="Calibri" w:cs="Calibri"/>
          <w:b/>
          <w:color w:val="00878A"/>
          <w:sz w:val="25"/>
        </w:rPr>
      </w:pPr>
      <w:r w:rsidRPr="00155D38">
        <w:rPr>
          <w:rFonts w:ascii="Calibri" w:hAnsi="Calibri" w:cs="Calibri"/>
          <w:b/>
          <w:color w:val="00878A"/>
          <w:sz w:val="25"/>
          <w:highlight w:val="yellow"/>
        </w:rPr>
        <w:t>Combined</w:t>
      </w:r>
      <w:r>
        <w:rPr>
          <w:rFonts w:ascii="Calibri" w:hAnsi="Calibri" w:cs="Calibri"/>
          <w:b/>
          <w:color w:val="00878A"/>
          <w:sz w:val="25"/>
        </w:rPr>
        <w:t xml:space="preserve"> Preparations (</w:t>
      </w:r>
      <w:proofErr w:type="spellStart"/>
      <w:r>
        <w:rPr>
          <w:rFonts w:ascii="Calibri" w:hAnsi="Calibri" w:cs="Calibri"/>
          <w:b/>
          <w:color w:val="00878A"/>
          <w:sz w:val="25"/>
        </w:rPr>
        <w:t>Oestrogen</w:t>
      </w:r>
      <w:proofErr w:type="spellEnd"/>
      <w:r>
        <w:rPr>
          <w:rFonts w:ascii="Calibri" w:hAnsi="Calibri" w:cs="Calibri"/>
          <w:b/>
          <w:color w:val="00878A"/>
          <w:sz w:val="25"/>
        </w:rPr>
        <w:t xml:space="preserve"> + Progesterone in One)</w:t>
      </w:r>
    </w:p>
    <w:p w14:paraId="1855349A" w14:textId="1BB9C195" w:rsidR="005E5C52" w:rsidRDefault="005E5C52" w:rsidP="005E5C52">
      <w:pPr>
        <w:spacing w:after="80"/>
      </w:pPr>
      <w:r>
        <w:rPr>
          <w:rFonts w:ascii="Calibri" w:hAnsi="Calibri" w:cs="Calibri"/>
          <w:color w:val="555555"/>
          <w:sz w:val="21"/>
        </w:rPr>
        <w:t xml:space="preserve">Only </w:t>
      </w:r>
      <w:r>
        <w:rPr>
          <w:rFonts w:ascii="Calibri" w:hAnsi="Calibri" w:cs="Calibri"/>
          <w:color w:val="555555"/>
          <w:sz w:val="21"/>
        </w:rPr>
        <w:t xml:space="preserve">use </w:t>
      </w:r>
      <w:r>
        <w:rPr>
          <w:rFonts w:ascii="Calibri" w:hAnsi="Calibri" w:cs="Calibri"/>
          <w:color w:val="555555"/>
          <w:sz w:val="21"/>
        </w:rPr>
        <w:t xml:space="preserve">if </w:t>
      </w:r>
      <w:proofErr w:type="spellStart"/>
      <w:r>
        <w:rPr>
          <w:rFonts w:ascii="Calibri" w:hAnsi="Calibri" w:cs="Calibri"/>
          <w:color w:val="555555"/>
          <w:sz w:val="21"/>
        </w:rPr>
        <w:t>hysterectomised</w:t>
      </w:r>
      <w:proofErr w:type="spellEnd"/>
      <w:r>
        <w:rPr>
          <w:rFonts w:ascii="Calibri" w:hAnsi="Calibri" w:cs="Calibri"/>
          <w:color w:val="555555"/>
          <w:sz w:val="21"/>
        </w:rPr>
        <w:t>.</w:t>
      </w:r>
    </w:p>
    <w:p w14:paraId="14B1F409" w14:textId="77777777" w:rsidR="005529C7" w:rsidRDefault="009D5991">
      <w:pPr>
        <w:pStyle w:val="ListBullet"/>
        <w:spacing w:before="20" w:after="60"/>
      </w:pPr>
      <w:r>
        <w:rPr>
          <w:rFonts w:ascii="Calibri" w:hAnsi="Calibri" w:cs="Calibri"/>
          <w:b/>
          <w:color w:val="005F61"/>
          <w:sz w:val="21"/>
        </w:rPr>
        <w:t>Evorel Conti patches:</w:t>
      </w:r>
      <w:r>
        <w:rPr>
          <w:rFonts w:ascii="Calibri" w:hAnsi="Calibri" w:cs="Calibri"/>
          <w:color w:val="1A1A2E"/>
          <w:sz w:val="21"/>
        </w:rPr>
        <w:t xml:space="preserve"> Continuous combined — for post-menopausal women (&gt;55, or ≥1 year after last period).</w:t>
      </w:r>
    </w:p>
    <w:p w14:paraId="09EBBE03" w14:textId="77777777" w:rsidR="005529C7" w:rsidRDefault="009D5991">
      <w:pPr>
        <w:pStyle w:val="ListBullet"/>
        <w:spacing w:before="20" w:after="60"/>
      </w:pPr>
      <w:r>
        <w:rPr>
          <w:rFonts w:ascii="Calibri" w:hAnsi="Calibri" w:cs="Calibri"/>
          <w:b/>
          <w:color w:val="005F61"/>
          <w:sz w:val="21"/>
        </w:rPr>
        <w:t>Evorel Sequi patches:</w:t>
      </w:r>
      <w:r>
        <w:rPr>
          <w:rFonts w:ascii="Calibri" w:hAnsi="Calibri" w:cs="Calibri"/>
          <w:color w:val="1A1A2E"/>
          <w:sz w:val="21"/>
        </w:rPr>
        <w:t xml:space="preserve"> Sequential combined — </w:t>
      </w:r>
      <w:r w:rsidRPr="00155D38">
        <w:rPr>
          <w:rFonts w:ascii="Calibri" w:hAnsi="Calibri" w:cs="Calibri"/>
          <w:color w:val="FF0000"/>
          <w:sz w:val="21"/>
        </w:rPr>
        <w:t>for perimenopausal women still having periods.</w:t>
      </w:r>
    </w:p>
    <w:p w14:paraId="33E52A2B" w14:textId="77777777" w:rsidR="005529C7" w:rsidRDefault="009D5991">
      <w:pPr>
        <w:pStyle w:val="ListBullet"/>
        <w:spacing w:before="20" w:after="60"/>
      </w:pPr>
      <w:r>
        <w:rPr>
          <w:rFonts w:ascii="Calibri" w:hAnsi="Calibri" w:cs="Calibri"/>
          <w:b/>
          <w:color w:val="005F61"/>
          <w:sz w:val="21"/>
        </w:rPr>
        <w:t>Bijuve oral tablet:</w:t>
      </w:r>
      <w:r>
        <w:rPr>
          <w:rFonts w:ascii="Calibri" w:hAnsi="Calibri" w:cs="Calibri"/>
          <w:color w:val="1A1A2E"/>
          <w:sz w:val="21"/>
        </w:rPr>
        <w:t xml:space="preserve"> New oral body-identical HRT containing oestradiol + micronised progesterone in one capsule — for women with intact uterus who prefer oral route.</w:t>
      </w:r>
    </w:p>
    <w:p w14:paraId="798F8C7C" w14:textId="77777777" w:rsidR="005529C7" w:rsidRDefault="005529C7">
      <w:pPr>
        <w:spacing w:after="160"/>
      </w:pPr>
    </w:p>
    <w:p w14:paraId="130D5B39" w14:textId="77777777" w:rsidR="005529C7" w:rsidRPr="004110BC" w:rsidRDefault="00155D38">
      <w:pPr>
        <w:rPr>
          <w:rFonts w:ascii="Calibri" w:hAnsi="Calibri" w:cs="Calibri"/>
          <w:b/>
          <w:color w:val="005F61"/>
          <w:sz w:val="32"/>
        </w:rPr>
      </w:pPr>
      <w:r>
        <w:rPr>
          <w:rFonts w:ascii="Calibri" w:hAnsi="Calibri" w:cs="Calibri"/>
          <w:b/>
          <w:color w:val="005F61"/>
          <w:sz w:val="32"/>
        </w:rPr>
        <w:br w:type="page"/>
      </w:r>
    </w:p>
    <w:p w14:paraId="02715C06" w14:textId="77777777" w:rsidR="005529C7" w:rsidRDefault="009D5991">
      <w:pPr>
        <w:pBdr>
          <w:bottom w:val="single" w:sz="8" w:space="0" w:color="00878A"/>
        </w:pBdr>
        <w:spacing w:before="280" w:after="120"/>
      </w:pPr>
      <w:r>
        <w:rPr>
          <w:rFonts w:ascii="Calibri" w:hAnsi="Calibri" w:cs="Calibri"/>
          <w:b/>
          <w:color w:val="005F61"/>
          <w:sz w:val="32"/>
        </w:rPr>
        <w:lastRenderedPageBreak/>
        <w:t>What to Prescribe for Whom?</w:t>
      </w:r>
    </w:p>
    <w:tbl>
      <w:tblPr>
        <w:tblW w:w="0" w:type="auto"/>
        <w:jc w:val="center"/>
        <w:tblBorders>
          <w:top w:val="single" w:sz="4" w:space="0" w:color="B2DFDB"/>
          <w:left w:val="single" w:sz="4" w:space="0" w:color="B2DFDB"/>
          <w:bottom w:val="single" w:sz="4" w:space="0" w:color="B2DFDB"/>
          <w:right w:val="single" w:sz="4" w:space="0" w:color="B2DFDB"/>
          <w:insideH w:val="single" w:sz="4" w:space="0" w:color="B2DFDB"/>
          <w:insideV w:val="single" w:sz="4" w:space="0" w:color="B2DFDB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5529C7" w14:paraId="457394AB" w14:textId="77777777">
        <w:trPr>
          <w:jc w:val="center"/>
        </w:trPr>
        <w:tc>
          <w:tcPr>
            <w:tcW w:w="4986" w:type="dxa"/>
            <w:shd w:val="clear" w:color="auto" w:fill="5E35B1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1E3FC24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b/>
                <w:color w:val="FFFFFF"/>
                <w:sz w:val="21"/>
              </w:rPr>
              <w:t>Clinical Situation</w:t>
            </w:r>
          </w:p>
        </w:tc>
        <w:tc>
          <w:tcPr>
            <w:tcW w:w="4986" w:type="dxa"/>
            <w:shd w:val="clear" w:color="auto" w:fill="5E35B1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24CC022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b/>
                <w:color w:val="FFFFFF"/>
                <w:sz w:val="21"/>
              </w:rPr>
              <w:t>What to Prescribe</w:t>
            </w:r>
          </w:p>
        </w:tc>
      </w:tr>
      <w:tr w:rsidR="005529C7" w14:paraId="2B958EBE" w14:textId="77777777">
        <w:trPr>
          <w:jc w:val="center"/>
        </w:trPr>
        <w:tc>
          <w:tcPr>
            <w:tcW w:w="4986" w:type="dxa"/>
            <w:shd w:val="clear" w:color="auto" w:fill="F3E5F5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E1B466C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Period-free + uterus intact</w:t>
            </w:r>
          </w:p>
        </w:tc>
        <w:tc>
          <w:tcPr>
            <w:tcW w:w="4986" w:type="dxa"/>
            <w:shd w:val="clear" w:color="auto" w:fill="F3E5F5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769A96C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Transdermal oestrogen + Utrogestan 100 mg OD (continuous combined)</w:t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OR: Bijuve tablet (combined oral body-identical)</w:t>
            </w:r>
          </w:p>
        </w:tc>
      </w:tr>
      <w:tr w:rsidR="005529C7" w14:paraId="17FF3C45" w14:textId="77777777">
        <w:trPr>
          <w:jc w:val="center"/>
        </w:trPr>
        <w:tc>
          <w:tcPr>
            <w:tcW w:w="4986" w:type="dxa"/>
            <w:shd w:val="clear" w:color="auto" w:fill="EDE7F6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391E844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Perimenopausal (still having periods) + menopausal symptoms</w:t>
            </w:r>
          </w:p>
        </w:tc>
        <w:tc>
          <w:tcPr>
            <w:tcW w:w="4986" w:type="dxa"/>
            <w:shd w:val="clear" w:color="auto" w:fill="EDE7F6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F8838FE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Age &lt;55: Sequential HRT (e.g. Evorel Sequi)</w:t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Age &gt;55: Continuous HRT (e.g. Evorel Conti)</w:t>
            </w:r>
            <w:r>
              <w:rPr>
                <w:rFonts w:ascii="Calibri" w:hAnsi="Calibri" w:cs="Calibri"/>
                <w:color w:val="1A1A2E"/>
                <w:sz w:val="21"/>
              </w:rPr>
              <w:br/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REMEMBER: HRT is NOT contraceptive — add contraception (e.g. Mirena, Depo-Provera)</w:t>
            </w:r>
          </w:p>
        </w:tc>
      </w:tr>
      <w:tr w:rsidR="005529C7" w14:paraId="1276BE5B" w14:textId="77777777">
        <w:trPr>
          <w:jc w:val="center"/>
        </w:trPr>
        <w:tc>
          <w:tcPr>
            <w:tcW w:w="4986" w:type="dxa"/>
            <w:shd w:val="clear" w:color="auto" w:fill="F3E5F5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5B7EE4C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No uterus (hysterectomy)</w:t>
            </w:r>
          </w:p>
        </w:tc>
        <w:tc>
          <w:tcPr>
            <w:tcW w:w="4986" w:type="dxa"/>
            <w:shd w:val="clear" w:color="auto" w:fill="F3E5F5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C3D9B2B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Oestrogen-only transdermal HRT — no progesterone needed</w:t>
            </w:r>
            <w:r>
              <w:rPr>
                <w:rFonts w:ascii="Calibri" w:hAnsi="Calibri" w:cs="Calibri"/>
                <w:color w:val="1A1A2E"/>
                <w:sz w:val="21"/>
              </w:rPr>
              <w:br/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EXCEPTION: Subtotal hysterectomy (cervix retained) — still needs progesterone</w:t>
            </w:r>
          </w:p>
        </w:tc>
      </w:tr>
      <w:tr w:rsidR="005529C7" w14:paraId="3AC354F6" w14:textId="77777777">
        <w:trPr>
          <w:jc w:val="center"/>
        </w:trPr>
        <w:tc>
          <w:tcPr>
            <w:tcW w:w="4986" w:type="dxa"/>
            <w:shd w:val="clear" w:color="auto" w:fill="EDE7F6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07154BD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Vaginal symptoms (dryness, dyspareunia, recurrent UTIs)</w:t>
            </w:r>
          </w:p>
        </w:tc>
        <w:tc>
          <w:tcPr>
            <w:tcW w:w="4986" w:type="dxa"/>
            <w:shd w:val="clear" w:color="auto" w:fill="EDE7F6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6CCD2E4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ADD topical vaginal oestrogen (Vagifem, Ovestin) — even if already on systemic HRT</w:t>
            </w:r>
          </w:p>
        </w:tc>
      </w:tr>
    </w:tbl>
    <w:p w14:paraId="729F3CED" w14:textId="77777777" w:rsidR="005529C7" w:rsidRDefault="005529C7"/>
    <w:p w14:paraId="61F14EF3" w14:textId="77777777" w:rsidR="004110BC" w:rsidRDefault="004110BC" w:rsidP="004110BC">
      <w:pPr>
        <w:pBdr>
          <w:bottom w:val="single" w:sz="8" w:space="0" w:color="00878A"/>
        </w:pBdr>
        <w:spacing w:before="280" w:after="120"/>
      </w:pPr>
      <w:r>
        <w:rPr>
          <w:rFonts w:ascii="Calibri" w:hAnsi="Calibri" w:cs="Calibri"/>
          <w:b/>
          <w:color w:val="005F61"/>
          <w:sz w:val="32"/>
        </w:rPr>
        <w:t>Sequential vs Continuous Combined — Which to Use?</w:t>
      </w:r>
    </w:p>
    <w:tbl>
      <w:tblPr>
        <w:tblW w:w="0" w:type="auto"/>
        <w:jc w:val="center"/>
        <w:tblBorders>
          <w:top w:val="single" w:sz="4" w:space="0" w:color="B2DFDB"/>
          <w:left w:val="single" w:sz="4" w:space="0" w:color="B2DFDB"/>
          <w:bottom w:val="single" w:sz="4" w:space="0" w:color="B2DFDB"/>
          <w:right w:val="single" w:sz="4" w:space="0" w:color="B2DFDB"/>
          <w:insideH w:val="single" w:sz="4" w:space="0" w:color="B2DFDB"/>
          <w:insideV w:val="single" w:sz="4" w:space="0" w:color="B2DFDB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110BC" w14:paraId="44FFBB59" w14:textId="77777777" w:rsidTr="007B2109">
        <w:trPr>
          <w:jc w:val="center"/>
        </w:trPr>
        <w:tc>
          <w:tcPr>
            <w:tcW w:w="4986" w:type="dxa"/>
            <w:shd w:val="clear" w:color="auto" w:fill="005F61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16EAE0D" w14:textId="77777777" w:rsidR="004110BC" w:rsidRDefault="004110BC" w:rsidP="007B2109">
            <w:pPr>
              <w:spacing w:before="80" w:after="80"/>
              <w:jc w:val="center"/>
            </w:pPr>
            <w:r>
              <w:rPr>
                <w:rFonts w:ascii="Calibri" w:hAnsi="Calibri" w:cs="Calibri"/>
                <w:b/>
                <w:color w:val="FFFFFF"/>
              </w:rPr>
              <w:t>Continuous Combined (cc)</w:t>
            </w:r>
          </w:p>
        </w:tc>
        <w:tc>
          <w:tcPr>
            <w:tcW w:w="4986" w:type="dxa"/>
            <w:shd w:val="clear" w:color="auto" w:fill="005F61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E17E02C" w14:textId="77777777" w:rsidR="004110BC" w:rsidRDefault="004110BC" w:rsidP="007B2109">
            <w:pPr>
              <w:spacing w:before="80" w:after="80"/>
              <w:jc w:val="center"/>
            </w:pPr>
            <w:r>
              <w:rPr>
                <w:rFonts w:ascii="Calibri" w:hAnsi="Calibri" w:cs="Calibri"/>
                <w:b/>
                <w:color w:val="FFFFFF"/>
              </w:rPr>
              <w:t>Sequential Combined (</w:t>
            </w:r>
            <w:proofErr w:type="spellStart"/>
            <w:r>
              <w:rPr>
                <w:rFonts w:ascii="Calibri" w:hAnsi="Calibri" w:cs="Calibri"/>
                <w:b/>
                <w:color w:val="FFFFFF"/>
              </w:rPr>
              <w:t>sc</w:t>
            </w:r>
            <w:proofErr w:type="spellEnd"/>
            <w:r>
              <w:rPr>
                <w:rFonts w:ascii="Calibri" w:hAnsi="Calibri" w:cs="Calibri"/>
                <w:b/>
                <w:color w:val="FFFFFF"/>
              </w:rPr>
              <w:t>)</w:t>
            </w:r>
          </w:p>
        </w:tc>
      </w:tr>
      <w:tr w:rsidR="004110BC" w14:paraId="21CB3E2D" w14:textId="77777777" w:rsidTr="007B2109">
        <w:trPr>
          <w:jc w:val="center"/>
        </w:trPr>
        <w:tc>
          <w:tcPr>
            <w:tcW w:w="4986" w:type="dxa"/>
            <w:shd w:val="clear" w:color="auto" w:fill="E0F4F4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1C30FA0" w14:textId="77777777" w:rsidR="004110BC" w:rsidRDefault="004110BC" w:rsidP="007B2109">
            <w:pPr>
              <w:spacing w:before="80" w:after="80"/>
              <w:jc w:val="center"/>
            </w:pPr>
            <w:proofErr w:type="spellStart"/>
            <w:r>
              <w:rPr>
                <w:rFonts w:ascii="Calibri" w:hAnsi="Calibri" w:cs="Calibri"/>
                <w:color w:val="1A1A2E"/>
                <w:sz w:val="21"/>
              </w:rPr>
              <w:t>Oestrogen</w:t>
            </w:r>
            <w:proofErr w:type="spellEnd"/>
            <w:r>
              <w:rPr>
                <w:rFonts w:ascii="Calibri" w:hAnsi="Calibri" w:cs="Calibri"/>
                <w:color w:val="1A1A2E"/>
                <w:sz w:val="21"/>
              </w:rPr>
              <w:t xml:space="preserve"> + progesterone EVERY DAY</w:t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(no hormone-free interval)</w:t>
            </w:r>
          </w:p>
        </w:tc>
        <w:tc>
          <w:tcPr>
            <w:tcW w:w="4986" w:type="dxa"/>
            <w:shd w:val="clear" w:color="auto" w:fill="FFF8E1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33B3774" w14:textId="77777777" w:rsidR="004110BC" w:rsidRDefault="004110BC" w:rsidP="007B2109">
            <w:pPr>
              <w:spacing w:before="80" w:after="80"/>
              <w:jc w:val="center"/>
            </w:pPr>
            <w:proofErr w:type="spellStart"/>
            <w:r>
              <w:rPr>
                <w:rFonts w:ascii="Calibri" w:hAnsi="Calibri" w:cs="Calibri"/>
                <w:color w:val="1A1A2E"/>
                <w:sz w:val="21"/>
              </w:rPr>
              <w:t>Oestrogen</w:t>
            </w:r>
            <w:proofErr w:type="spellEnd"/>
            <w:r>
              <w:rPr>
                <w:rFonts w:ascii="Calibri" w:hAnsi="Calibri" w:cs="Calibri"/>
                <w:color w:val="1A1A2E"/>
                <w:sz w:val="21"/>
              </w:rPr>
              <w:t xml:space="preserve"> DAILY</w:t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Progesterone 2 weeks on, 2 weeks off</w:t>
            </w:r>
          </w:p>
        </w:tc>
      </w:tr>
      <w:tr w:rsidR="004110BC" w14:paraId="139879F9" w14:textId="77777777" w:rsidTr="007B2109">
        <w:trPr>
          <w:jc w:val="center"/>
        </w:trPr>
        <w:tc>
          <w:tcPr>
            <w:tcW w:w="4986" w:type="dxa"/>
            <w:shd w:val="clear" w:color="auto" w:fill="E0F4F4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D1D0072" w14:textId="77777777" w:rsidR="004110BC" w:rsidRDefault="004110BC" w:rsidP="007B2109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Use when: Post-menopausal women — typically &gt;55, or ≥1 year after last period.</w:t>
            </w:r>
            <w:r>
              <w:rPr>
                <w:rFonts w:ascii="Calibri" w:hAnsi="Calibri" w:cs="Calibri"/>
                <w:color w:val="1A1A2E"/>
                <w:sz w:val="21"/>
              </w:rPr>
              <w:br/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Avoids cyclical bleeds. Progesterone-free intervals in sequential HRT create windows of endometrial cancer risk — continuous HRT closes those windows.</w:t>
            </w:r>
          </w:p>
        </w:tc>
        <w:tc>
          <w:tcPr>
            <w:tcW w:w="4986" w:type="dxa"/>
            <w:shd w:val="clear" w:color="auto" w:fill="FFF8E1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CA6BC74" w14:textId="77777777" w:rsidR="004110BC" w:rsidRDefault="004110BC" w:rsidP="007B2109">
            <w:pPr>
              <w:spacing w:before="80" w:after="80"/>
            </w:pPr>
            <w:r>
              <w:rPr>
                <w:rFonts w:ascii="Calibri" w:hAnsi="Calibri" w:cs="Calibri"/>
                <w:color w:val="1A1A2E"/>
                <w:sz w:val="21"/>
              </w:rPr>
              <w:t>Use when: Perimenopausal women still having periods.</w:t>
            </w:r>
            <w:r>
              <w:rPr>
                <w:rFonts w:ascii="Calibri" w:hAnsi="Calibri" w:cs="Calibri"/>
                <w:color w:val="1A1A2E"/>
                <w:sz w:val="21"/>
              </w:rPr>
              <w:br/>
            </w:r>
            <w:r>
              <w:rPr>
                <w:rFonts w:ascii="Calibri" w:hAnsi="Calibri" w:cs="Calibri"/>
                <w:color w:val="1A1A2E"/>
                <w:sz w:val="21"/>
              </w:rPr>
              <w:br/>
              <w:t>Starting continuous HRT in perimenopause causes erratic breakthrough bleeding, which then requires cancer investigation. Sequential HRT mimics the natural cycle.</w:t>
            </w:r>
          </w:p>
        </w:tc>
      </w:tr>
    </w:tbl>
    <w:p w14:paraId="5B8BF20A" w14:textId="77777777" w:rsidR="00155D38" w:rsidRDefault="00155D38">
      <w:pPr>
        <w:rPr>
          <w:rFonts w:ascii="Calibri" w:hAnsi="Calibri" w:cs="Calibri"/>
          <w:b/>
          <w:color w:val="005F61"/>
          <w:sz w:val="32"/>
        </w:rPr>
      </w:pPr>
      <w:r>
        <w:rPr>
          <w:rFonts w:ascii="Calibri" w:hAnsi="Calibri" w:cs="Calibri"/>
          <w:b/>
          <w:color w:val="005F61"/>
          <w:sz w:val="32"/>
        </w:rPr>
        <w:br w:type="page"/>
      </w:r>
    </w:p>
    <w:p w14:paraId="22D14665" w14:textId="77777777" w:rsidR="005529C7" w:rsidRDefault="009D5991">
      <w:pPr>
        <w:pBdr>
          <w:bottom w:val="single" w:sz="8" w:space="0" w:color="00878A"/>
        </w:pBdr>
        <w:spacing w:before="280" w:after="120"/>
      </w:pPr>
      <w:r>
        <w:rPr>
          <w:rFonts w:ascii="Calibri" w:hAnsi="Calibri" w:cs="Calibri"/>
          <w:b/>
          <w:color w:val="005F61"/>
          <w:sz w:val="32"/>
        </w:rPr>
        <w:lastRenderedPageBreak/>
        <w:t>Key Things to Remember</w:t>
      </w:r>
    </w:p>
    <w:p w14:paraId="51866596" w14:textId="77777777" w:rsidR="005529C7" w:rsidRDefault="009D5991">
      <w:pPr>
        <w:pStyle w:val="ListBullet"/>
        <w:spacing w:before="40" w:after="80"/>
      </w:pPr>
      <w:r>
        <w:rPr>
          <w:rFonts w:ascii="Calibri" w:hAnsi="Calibri" w:cs="Calibri"/>
          <w:b/>
          <w:color w:val="005F61"/>
          <w:sz w:val="21"/>
        </w:rPr>
        <w:t>Switch to patches/gel:</w:t>
      </w:r>
      <w:r>
        <w:rPr>
          <w:rFonts w:ascii="Calibri" w:hAnsi="Calibri" w:cs="Calibri"/>
          <w:color w:val="1A1A2E"/>
          <w:sz w:val="21"/>
        </w:rPr>
        <w:t xml:space="preserve"> Move patients on ORAL HRT to TRANSDERMAL — lower risk of stroke, PE, and DVT. (Oral oestrogen → first-pass hepatic effect → increased clotting factors.) Always respect patient choice.</w:t>
      </w:r>
    </w:p>
    <w:p w14:paraId="2BF3FD9D" w14:textId="77777777" w:rsidR="005529C7" w:rsidRDefault="009D5991">
      <w:pPr>
        <w:pStyle w:val="ListBullet"/>
        <w:spacing w:before="40" w:after="80"/>
      </w:pPr>
      <w:r>
        <w:rPr>
          <w:rFonts w:ascii="Calibri" w:hAnsi="Calibri" w:cs="Calibri"/>
          <w:b/>
          <w:color w:val="005F61"/>
          <w:sz w:val="21"/>
        </w:rPr>
        <w:t>Switch to continuous at age 55:</w:t>
      </w:r>
      <w:r>
        <w:rPr>
          <w:rFonts w:ascii="Calibri" w:hAnsi="Calibri" w:cs="Calibri"/>
          <w:color w:val="1A1A2E"/>
          <w:sz w:val="21"/>
        </w:rPr>
        <w:t xml:space="preserve"> Move patients on SEQUENTIAL HRT who are over 55 to CONTINUOUS HRT — reduces endometrial cancer risk from progesterone-free intervals.</w:t>
      </w:r>
    </w:p>
    <w:p w14:paraId="4A554CDF" w14:textId="77777777" w:rsidR="005529C7" w:rsidRDefault="009D5991">
      <w:pPr>
        <w:pStyle w:val="ListBullet"/>
        <w:spacing w:before="40" w:after="80"/>
      </w:pPr>
      <w:r>
        <w:rPr>
          <w:rFonts w:ascii="Calibri" w:hAnsi="Calibri" w:cs="Calibri"/>
          <w:b/>
          <w:color w:val="005F61"/>
          <w:sz w:val="21"/>
        </w:rPr>
        <w:t>Utrogestan 200 mg for:</w:t>
      </w:r>
      <w:r>
        <w:rPr>
          <w:rFonts w:ascii="Calibri" w:hAnsi="Calibri" w:cs="Calibri"/>
          <w:color w:val="1A1A2E"/>
          <w:sz w:val="21"/>
        </w:rPr>
        <w:t xml:space="preserve"> (a) Sequential regimen (2 weeks on / 2 weeks off), AND (b) High-dose oestrogen (≥100 mcg = ≥4 pumps of gel or 2 mg Sandrena sachet).</w:t>
      </w:r>
    </w:p>
    <w:p w14:paraId="4572E2E0" w14:textId="77777777" w:rsidR="005529C7" w:rsidRDefault="009D5991">
      <w:pPr>
        <w:pStyle w:val="ListBullet"/>
        <w:spacing w:before="40" w:after="80"/>
      </w:pPr>
      <w:r>
        <w:rPr>
          <w:rFonts w:ascii="Calibri" w:hAnsi="Calibri" w:cs="Calibri"/>
          <w:b/>
          <w:color w:val="005F61"/>
          <w:sz w:val="21"/>
        </w:rPr>
        <w:t>Standard norethisterone 350 mcg (POP dose):</w:t>
      </w:r>
      <w:r>
        <w:rPr>
          <w:rFonts w:ascii="Calibri" w:hAnsi="Calibri" w:cs="Calibri"/>
          <w:color w:val="1A1A2E"/>
          <w:sz w:val="21"/>
        </w:rPr>
        <w:t xml:space="preserve"> Does NOT provide adequate endometrial protection — need 5 mg norethisterone, or use Mirena.</w:t>
      </w:r>
    </w:p>
    <w:p w14:paraId="63767960" w14:textId="77777777" w:rsidR="005529C7" w:rsidRDefault="009D5991">
      <w:pPr>
        <w:pStyle w:val="ListBullet"/>
        <w:spacing w:before="40" w:after="80"/>
      </w:pPr>
      <w:r>
        <w:rPr>
          <w:rFonts w:ascii="Calibri" w:hAnsi="Calibri" w:cs="Calibri"/>
          <w:b/>
          <w:color w:val="005F61"/>
          <w:sz w:val="21"/>
        </w:rPr>
        <w:t>Depo-Provera injection:</w:t>
      </w:r>
      <w:r>
        <w:rPr>
          <w:rFonts w:ascii="Calibri" w:hAnsi="Calibri" w:cs="Calibri"/>
          <w:color w:val="1A1A2E"/>
          <w:sz w:val="21"/>
        </w:rPr>
        <w:t xml:space="preserve"> Does NOT provide adequate endometrial protection.</w:t>
      </w:r>
    </w:p>
    <w:p w14:paraId="531B3516" w14:textId="77777777" w:rsidR="005529C7" w:rsidRDefault="009D5991">
      <w:pPr>
        <w:pStyle w:val="ListBullet"/>
        <w:spacing w:before="40" w:after="80"/>
      </w:pPr>
      <w:r>
        <w:rPr>
          <w:rFonts w:ascii="Calibri" w:hAnsi="Calibri" w:cs="Calibri"/>
          <w:b/>
          <w:color w:val="005F61"/>
          <w:sz w:val="21"/>
        </w:rPr>
        <w:t>Allow 3 months before changing:</w:t>
      </w:r>
      <w:r>
        <w:rPr>
          <w:rFonts w:ascii="Calibri" w:hAnsi="Calibri" w:cs="Calibri"/>
          <w:color w:val="1A1A2E"/>
          <w:sz w:val="21"/>
        </w:rPr>
        <w:t xml:space="preserve"> Do not adjust dose or preparation for at least 3 months — allow time for full effect.</w:t>
      </w:r>
    </w:p>
    <w:p w14:paraId="55D06555" w14:textId="77777777" w:rsidR="005529C7" w:rsidRDefault="009D5991">
      <w:pPr>
        <w:pStyle w:val="ListBullet"/>
        <w:spacing w:before="40" w:after="80"/>
      </w:pPr>
      <w:r>
        <w:rPr>
          <w:rFonts w:ascii="Calibri" w:hAnsi="Calibri" w:cs="Calibri"/>
          <w:b/>
          <w:color w:val="005F61"/>
          <w:sz w:val="21"/>
        </w:rPr>
        <w:t>No upper age limit:</w:t>
      </w:r>
      <w:r>
        <w:rPr>
          <w:rFonts w:ascii="Calibri" w:hAnsi="Calibri" w:cs="Calibri"/>
          <w:color w:val="1A1A2E"/>
          <w:sz w:val="21"/>
        </w:rPr>
        <w:t xml:space="preserve"> There is no age at which HRT must be stopped. Women can continue for life if they wish, provided they are reviewed regularly.</w:t>
      </w:r>
    </w:p>
    <w:p w14:paraId="36CC4DA3" w14:textId="77777777" w:rsidR="005529C7" w:rsidRDefault="005529C7">
      <w:pPr>
        <w:spacing w:after="1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37"/>
      </w:tblGrid>
      <w:tr w:rsidR="005529C7" w14:paraId="7CAA092B" w14:textId="77777777">
        <w:trPr>
          <w:jc w:val="center"/>
        </w:trPr>
        <w:tc>
          <w:tcPr>
            <w:tcW w:w="9972" w:type="dxa"/>
            <w:tcBorders>
              <w:left w:val="single" w:sz="24" w:space="0" w:color="E86B2A"/>
            </w:tcBorders>
            <w:shd w:val="clear" w:color="auto" w:fill="FFEEEA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56CB454C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b/>
                <w:color w:val="E86B2A"/>
              </w:rPr>
              <w:t>Common Pitfalls — Avoid These!</w:t>
            </w:r>
          </w:p>
          <w:p w14:paraId="4F2E61B4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Using standard POP-dose norethisterone 350 mcg — not enough for endometrial protection.</w:t>
            </w:r>
          </w:p>
          <w:p w14:paraId="41672236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Using Depo-Provera thinking it protects the endometrium — it does not.</w:t>
            </w:r>
          </w:p>
          <w:p w14:paraId="2C985A12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Starting continuous HRT in a perimenopausal woman — causes erratic bleeding and unnecessary investigation.</w:t>
            </w:r>
          </w:p>
          <w:p w14:paraId="6BC41FF4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Forgetting to add contraception when starting HRT in a perimenopausal woman.</w:t>
            </w:r>
          </w:p>
          <w:p w14:paraId="5E0AD56A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Stopping HRT at an arbitrary age — there is no mandatory stopping point.</w:t>
            </w:r>
          </w:p>
          <w:p w14:paraId="60AA346C" w14:textId="77777777" w:rsidR="005529C7" w:rsidRDefault="005529C7"/>
        </w:tc>
      </w:tr>
    </w:tbl>
    <w:p w14:paraId="222EB314" w14:textId="77777777" w:rsidR="005529C7" w:rsidRDefault="005529C7">
      <w:pPr>
        <w:spacing w:after="1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37"/>
      </w:tblGrid>
      <w:tr w:rsidR="005529C7" w14:paraId="7CF39227" w14:textId="77777777">
        <w:trPr>
          <w:jc w:val="center"/>
        </w:trPr>
        <w:tc>
          <w:tcPr>
            <w:tcW w:w="9972" w:type="dxa"/>
            <w:tcBorders>
              <w:left w:val="single" w:sz="24" w:space="0" w:color="D48A00"/>
            </w:tcBorders>
            <w:shd w:val="clear" w:color="auto" w:fill="FFF8E1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7498D4DD" w14:textId="77777777" w:rsidR="005529C7" w:rsidRDefault="009D5991">
            <w:pPr>
              <w:spacing w:before="80" w:after="80"/>
            </w:pPr>
            <w:r>
              <w:rPr>
                <w:rFonts w:ascii="Calibri" w:hAnsi="Calibri" w:cs="Calibri"/>
                <w:b/>
                <w:color w:val="D48A00"/>
              </w:rPr>
              <w:t>In the Exam (AKT &amp; SCA)</w:t>
            </w:r>
          </w:p>
          <w:p w14:paraId="262B10E2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AKT: Know the dose thresholds — Utrogestan 200 mg for sc regime AND high-dose oestrogen (≥100 mcg / ≥4 gel pumps).</w:t>
            </w:r>
          </w:p>
          <w:p w14:paraId="5D336579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AKT: Transdermal oestrogen = no first-pass effect = no VTE risk increase. Oral oestrogen = first-pass = VTE risk.</w:t>
            </w:r>
          </w:p>
          <w:p w14:paraId="17C8B5B7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SCA: A patient on sequential HRT turning 55? Time to discuss switching to continuous — frame it as "reducing a small long-term cancer risk."</w:t>
            </w:r>
          </w:p>
          <w:p w14:paraId="09EFF065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SCA: Vaginal dryness unresolved on systemic HRT? Topical oestrogen can be added safely — many patients don't know this.</w:t>
            </w:r>
          </w:p>
          <w:p w14:paraId="54E60E09" w14:textId="77777777" w:rsidR="005529C7" w:rsidRDefault="009D5991">
            <w:pPr>
              <w:spacing w:before="20" w:after="40"/>
            </w:pPr>
            <w:r>
              <w:rPr>
                <w:rFonts w:ascii="Calibri" w:hAnsi="Calibri" w:cs="Calibri"/>
                <w:color w:val="1A1A2E"/>
                <w:sz w:val="21"/>
              </w:rPr>
              <w:t>SCA: A patient worried about "not being allowed" HRT after a certain age? Reassure — no arbitrary age limit exists.</w:t>
            </w:r>
          </w:p>
          <w:p w14:paraId="18B543B7" w14:textId="77777777" w:rsidR="005529C7" w:rsidRDefault="005529C7"/>
        </w:tc>
      </w:tr>
    </w:tbl>
    <w:p w14:paraId="273AD7BB" w14:textId="77777777" w:rsidR="005529C7" w:rsidRDefault="005529C7">
      <w:pPr>
        <w:spacing w:after="160"/>
      </w:pPr>
    </w:p>
    <w:p w14:paraId="1772FAA0" w14:textId="77777777" w:rsidR="005529C7" w:rsidRDefault="005529C7"/>
    <w:p w14:paraId="31058FDD" w14:textId="77777777" w:rsidR="005529C7" w:rsidRDefault="009D5991">
      <w:pPr>
        <w:spacing w:after="0"/>
        <w:jc w:val="center"/>
      </w:pPr>
      <w:r>
        <w:rPr>
          <w:rFonts w:ascii="Calibri" w:hAnsi="Calibri" w:cs="Calibri"/>
          <w:i/>
          <w:color w:val="555555"/>
          <w:sz w:val="18"/>
        </w:rPr>
        <w:t xml:space="preserve">Always </w:t>
      </w:r>
      <w:r w:rsidR="00155D38">
        <w:rPr>
          <w:rFonts w:ascii="Calibri" w:hAnsi="Calibri" w:cs="Calibri"/>
          <w:i/>
          <w:color w:val="555555"/>
          <w:sz w:val="18"/>
        </w:rPr>
        <w:t xml:space="preserve">double </w:t>
      </w:r>
      <w:r>
        <w:rPr>
          <w:rFonts w:ascii="Calibri" w:hAnsi="Calibri" w:cs="Calibri"/>
          <w:i/>
          <w:color w:val="555555"/>
          <w:sz w:val="18"/>
        </w:rPr>
        <w:t xml:space="preserve">check </w:t>
      </w:r>
      <w:r w:rsidR="00155D38">
        <w:rPr>
          <w:rFonts w:ascii="Calibri" w:hAnsi="Calibri" w:cs="Calibri"/>
          <w:i/>
          <w:color w:val="555555"/>
          <w:sz w:val="18"/>
        </w:rPr>
        <w:t xml:space="preserve">this advice and drug doses with </w:t>
      </w:r>
      <w:r>
        <w:rPr>
          <w:rFonts w:ascii="Calibri" w:hAnsi="Calibri" w:cs="Calibri"/>
          <w:i/>
          <w:color w:val="555555"/>
          <w:sz w:val="18"/>
        </w:rPr>
        <w:t>the latest NICE/BNF guidance. This document is for educational purposes only.</w:t>
      </w:r>
    </w:p>
    <w:sectPr w:rsidR="005529C7" w:rsidSect="00034616">
      <w:footerReference w:type="default" r:id="rId9"/>
      <w:pgSz w:w="12240" w:h="15840"/>
      <w:pgMar w:top="102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12BE" w14:textId="77777777" w:rsidR="004361B9" w:rsidRDefault="004361B9">
      <w:pPr>
        <w:spacing w:after="0" w:line="240" w:lineRule="auto"/>
      </w:pPr>
      <w:r>
        <w:separator/>
      </w:r>
    </w:p>
  </w:endnote>
  <w:endnote w:type="continuationSeparator" w:id="0">
    <w:p w14:paraId="123B63C7" w14:textId="77777777" w:rsidR="004361B9" w:rsidRDefault="0043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1B57" w14:textId="77777777" w:rsidR="005529C7" w:rsidRDefault="009D5991">
    <w:pPr>
      <w:pStyle w:val="Footer"/>
      <w:pBdr>
        <w:top w:val="single" w:sz="4" w:space="0" w:color="00878A"/>
      </w:pBdr>
      <w:jc w:val="center"/>
    </w:pPr>
    <w:r>
      <w:rPr>
        <w:rFonts w:ascii="Calibri" w:hAnsi="Calibri" w:cs="Calibri"/>
        <w:i/>
        <w:color w:val="555555"/>
        <w:sz w:val="16"/>
      </w:rPr>
      <w:t xml:space="preserve">A free resource provided by </w:t>
    </w:r>
    <w:proofErr w:type="gramStart"/>
    <w:r>
      <w:rPr>
        <w:rFonts w:ascii="Calibri" w:hAnsi="Calibri" w:cs="Calibri"/>
        <w:i/>
        <w:color w:val="555555"/>
        <w:sz w:val="16"/>
      </w:rPr>
      <w:t>www.bradfordvts.co.uk  ·</w:t>
    </w:r>
    <w:proofErr w:type="gramEnd"/>
    <w:r>
      <w:rPr>
        <w:rFonts w:ascii="Calibri" w:hAnsi="Calibri" w:cs="Calibri"/>
        <w:i/>
        <w:color w:val="555555"/>
        <w:sz w:val="16"/>
      </w:rPr>
      <w:t xml:space="preserve">  Dr Ramesh </w:t>
    </w:r>
    <w:proofErr w:type="gramStart"/>
    <w:r>
      <w:rPr>
        <w:rFonts w:ascii="Calibri" w:hAnsi="Calibri" w:cs="Calibri"/>
        <w:i/>
        <w:color w:val="555555"/>
        <w:sz w:val="16"/>
      </w:rPr>
      <w:t>Mehay  ·</w:t>
    </w:r>
    <w:proofErr w:type="gramEnd"/>
    <w:r>
      <w:rPr>
        <w:rFonts w:ascii="Calibri" w:hAnsi="Calibri" w:cs="Calibri"/>
        <w:i/>
        <w:color w:val="555555"/>
        <w:sz w:val="16"/>
      </w:rPr>
      <w:t xml:space="preserve">  July </w:t>
    </w:r>
    <w:proofErr w:type="gramStart"/>
    <w:r>
      <w:rPr>
        <w:rFonts w:ascii="Calibri" w:hAnsi="Calibri" w:cs="Calibri"/>
        <w:i/>
        <w:color w:val="555555"/>
        <w:sz w:val="16"/>
      </w:rPr>
      <w:t>2024  ·</w:t>
    </w:r>
    <w:proofErr w:type="gramEnd"/>
    <w:r>
      <w:rPr>
        <w:rFonts w:ascii="Calibri" w:hAnsi="Calibri" w:cs="Calibri"/>
        <w:i/>
        <w:color w:val="555555"/>
        <w:sz w:val="16"/>
      </w:rPr>
      <w:t xml:space="preserve"> 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A6A19" w14:textId="77777777" w:rsidR="004361B9" w:rsidRDefault="004361B9">
      <w:pPr>
        <w:spacing w:after="0" w:line="240" w:lineRule="auto"/>
      </w:pPr>
      <w:r>
        <w:separator/>
      </w:r>
    </w:p>
  </w:footnote>
  <w:footnote w:type="continuationSeparator" w:id="0">
    <w:p w14:paraId="0862E9E4" w14:textId="77777777" w:rsidR="004361B9" w:rsidRDefault="00436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433AB8"/>
    <w:multiLevelType w:val="hybridMultilevel"/>
    <w:tmpl w:val="D34A6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640508">
    <w:abstractNumId w:val="8"/>
  </w:num>
  <w:num w:numId="2" w16cid:durableId="1844052692">
    <w:abstractNumId w:val="6"/>
  </w:num>
  <w:num w:numId="3" w16cid:durableId="759911452">
    <w:abstractNumId w:val="5"/>
  </w:num>
  <w:num w:numId="4" w16cid:durableId="28535125">
    <w:abstractNumId w:val="4"/>
  </w:num>
  <w:num w:numId="5" w16cid:durableId="464394394">
    <w:abstractNumId w:val="7"/>
  </w:num>
  <w:num w:numId="6" w16cid:durableId="1152991855">
    <w:abstractNumId w:val="3"/>
  </w:num>
  <w:num w:numId="7" w16cid:durableId="507839933">
    <w:abstractNumId w:val="2"/>
  </w:num>
  <w:num w:numId="8" w16cid:durableId="365910756">
    <w:abstractNumId w:val="1"/>
  </w:num>
  <w:num w:numId="9" w16cid:durableId="1776751287">
    <w:abstractNumId w:val="0"/>
  </w:num>
  <w:num w:numId="10" w16cid:durableId="21275796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5D38"/>
    <w:rsid w:val="0029639D"/>
    <w:rsid w:val="00326F90"/>
    <w:rsid w:val="004110BC"/>
    <w:rsid w:val="004361B9"/>
    <w:rsid w:val="005529C7"/>
    <w:rsid w:val="005B5E29"/>
    <w:rsid w:val="005E5C52"/>
    <w:rsid w:val="009D599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8B07B0"/>
  <w14:defaultImageDpi w14:val="300"/>
  <w15:docId w15:val="{C70BDC5F-0719-4299-A09C-69C57BEC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54E3B6-616C-48B9-855B-08945E76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5497</Characters>
  <Application>Microsoft Office Word</Application>
  <DocSecurity>0</DocSecurity>
  <Lines>148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2026-05-05T09:58:00Z</dcterms:created>
  <dcterms:modified xsi:type="dcterms:W3CDTF">2026-05-06T14:19:00Z</dcterms:modified>
  <cp:category/>
</cp:coreProperties>
</file>