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E51" w:rsidRDefault="008C3A65">
      <w:pPr>
        <w:shd w:val="clear" w:color="auto" w:fill="F07D26"/>
        <w:spacing w:after="40"/>
        <w:jc w:val="center"/>
      </w:pPr>
      <w:r>
        <w:rPr>
          <w:rFonts w:ascii="Aptos" w:eastAsia="Aptos" w:hAnsi="Aptos" w:cs="Aptos"/>
          <w:b/>
          <w:color w:val="FFFFFF"/>
        </w:rPr>
        <w:t xml:space="preserve">BRADFORD VTS TEACHING </w:t>
      </w:r>
      <w:r w:rsidR="00B82B81">
        <w:rPr>
          <w:rFonts w:ascii="Aptos" w:eastAsia="Aptos" w:hAnsi="Aptos" w:cs="Aptos"/>
          <w:b/>
          <w:color w:val="FFFFFF"/>
        </w:rPr>
        <w:t>AIDS</w:t>
      </w:r>
    </w:p>
    <w:p w:rsidR="00452E51" w:rsidRDefault="008C3A65">
      <w:pPr>
        <w:spacing w:before="80" w:after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2209800" cy="1473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_im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5295" cy="148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E51" w:rsidRDefault="008C3A65">
      <w:pPr>
        <w:spacing w:before="240" w:after="40"/>
        <w:jc w:val="center"/>
      </w:pPr>
      <w:r>
        <w:rPr>
          <w:rFonts w:ascii="Aptos" w:eastAsia="Aptos" w:hAnsi="Aptos" w:cs="Aptos"/>
          <w:b/>
          <w:color w:val="2E868E"/>
          <w:sz w:val="56"/>
        </w:rPr>
        <w:t>Women's Health OSCE Day</w:t>
      </w:r>
    </w:p>
    <w:p w:rsidR="00452E51" w:rsidRDefault="008C3A65">
      <w:pPr>
        <w:spacing w:after="80"/>
        <w:jc w:val="center"/>
      </w:pPr>
      <w:r>
        <w:rPr>
          <w:rFonts w:ascii="Aptos" w:eastAsia="Aptos" w:hAnsi="Aptos" w:cs="Aptos"/>
          <w:color w:val="55556E"/>
          <w:sz w:val="26"/>
        </w:rPr>
        <w:t>6 Stations  ·  15 Minutes Each  ·  Bradford VTS GP Trainees</w:t>
      </w:r>
    </w:p>
    <w:p w:rsidR="00452E51" w:rsidRDefault="00452E51">
      <w:pPr>
        <w:pBdr>
          <w:bottom w:val="single" w:sz="16" w:space="1" w:color="F07D26"/>
        </w:pBdr>
        <w:spacing w:before="40" w:after="40"/>
      </w:pPr>
    </w:p>
    <w:p w:rsidR="00452E51" w:rsidRDefault="008C3A65">
      <w:pPr>
        <w:spacing w:before="120" w:after="120"/>
        <w:jc w:val="center"/>
      </w:pPr>
      <w:r>
        <w:rPr>
          <w:rFonts w:ascii="Aptos" w:eastAsia="Aptos" w:hAnsi="Aptos" w:cs="Aptos"/>
          <w:color w:val="1A1A2E"/>
        </w:rPr>
        <w:t>6 OSCE stations, 15 minutes each. 3 stations before the break and 3 after.</w:t>
      </w:r>
      <w:r>
        <w:rPr>
          <w:rFonts w:ascii="Aptos" w:eastAsia="Aptos" w:hAnsi="Aptos" w:cs="Aptos"/>
          <w:color w:val="1A1A2E"/>
        </w:rPr>
        <w:br/>
        <w:t xml:space="preserve">At least one supervisor per station. Trainees rotate through all </w:t>
      </w:r>
      <w:r>
        <w:rPr>
          <w:rFonts w:ascii="Aptos" w:eastAsia="Aptos" w:hAnsi="Aptos" w:cs="Aptos"/>
          <w:color w:val="1A1A2E"/>
        </w:rPr>
        <w:t>stations.</w:t>
      </w:r>
    </w:p>
    <w:p w:rsidR="00452E51" w:rsidRDefault="00452E51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3315"/>
        <w:gridCol w:w="3310"/>
      </w:tblGrid>
      <w:tr w:rsidR="00452E51">
        <w:trPr>
          <w:jc w:val="center"/>
        </w:trPr>
        <w:tc>
          <w:tcPr>
            <w:tcW w:w="1440" w:type="dxa"/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Station</w:t>
            </w:r>
          </w:p>
        </w:tc>
        <w:tc>
          <w:tcPr>
            <w:tcW w:w="3600" w:type="dxa"/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Topic</w:t>
            </w:r>
          </w:p>
        </w:tc>
        <w:tc>
          <w:tcPr>
            <w:tcW w:w="3600" w:type="dxa"/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Key Theme</w:t>
            </w:r>
          </w:p>
        </w:tc>
      </w:tr>
      <w:tr w:rsidR="00452E51">
        <w:trPr>
          <w:jc w:val="center"/>
        </w:trPr>
        <w:tc>
          <w:tcPr>
            <w:tcW w:w="3154" w:type="dxa"/>
            <w:shd w:val="clear" w:color="auto" w:fill="E0F4F5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07D26"/>
                <w:sz w:val="20"/>
              </w:rPr>
              <w:t>1</w:t>
            </w:r>
          </w:p>
        </w:tc>
        <w:tc>
          <w:tcPr>
            <w:tcW w:w="3154" w:type="dxa"/>
            <w:shd w:val="clear" w:color="auto" w:fill="E0F4F5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1A1A2E"/>
                <w:sz w:val="20"/>
              </w:rPr>
              <w:t>Family Planning</w:t>
            </w:r>
          </w:p>
        </w:tc>
        <w:tc>
          <w:tcPr>
            <w:tcW w:w="3154" w:type="dxa"/>
            <w:shd w:val="clear" w:color="auto" w:fill="E0F4F5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color w:val="1A1A2E"/>
                <w:sz w:val="20"/>
              </w:rPr>
              <w:t>Contraception, LARC, emergency methods</w:t>
            </w:r>
          </w:p>
        </w:tc>
      </w:tr>
      <w:tr w:rsidR="00452E51">
        <w:trPr>
          <w:jc w:val="center"/>
        </w:trPr>
        <w:tc>
          <w:tcPr>
            <w:tcW w:w="3154" w:type="dxa"/>
            <w:shd w:val="clear" w:color="auto" w:fill="F4FBFC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07D26"/>
                <w:sz w:val="20"/>
              </w:rPr>
              <w:t>2</w:t>
            </w:r>
          </w:p>
        </w:tc>
        <w:tc>
          <w:tcPr>
            <w:tcW w:w="3154" w:type="dxa"/>
            <w:shd w:val="clear" w:color="auto" w:fill="F4FBFC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1A1A2E"/>
                <w:sz w:val="20"/>
              </w:rPr>
              <w:t>Gynaecological Examination</w:t>
            </w:r>
          </w:p>
        </w:tc>
        <w:tc>
          <w:tcPr>
            <w:tcW w:w="3154" w:type="dxa"/>
            <w:shd w:val="clear" w:color="auto" w:fill="F4FBFC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color w:val="1A1A2E"/>
                <w:sz w:val="20"/>
              </w:rPr>
              <w:t>PV/speculum exam, chaperone, cervical findings</w:t>
            </w:r>
          </w:p>
        </w:tc>
      </w:tr>
      <w:tr w:rsidR="00452E51">
        <w:trPr>
          <w:jc w:val="center"/>
        </w:trPr>
        <w:tc>
          <w:tcPr>
            <w:tcW w:w="3154" w:type="dxa"/>
            <w:shd w:val="clear" w:color="auto" w:fill="E0F4F5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07D26"/>
                <w:sz w:val="20"/>
              </w:rPr>
              <w:t>3</w:t>
            </w:r>
          </w:p>
        </w:tc>
        <w:tc>
          <w:tcPr>
            <w:tcW w:w="3154" w:type="dxa"/>
            <w:shd w:val="clear" w:color="auto" w:fill="E0F4F5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1A1A2E"/>
                <w:sz w:val="20"/>
              </w:rPr>
              <w:t>Antenatal Care</w:t>
            </w:r>
          </w:p>
        </w:tc>
        <w:tc>
          <w:tcPr>
            <w:tcW w:w="3154" w:type="dxa"/>
            <w:shd w:val="clear" w:color="auto" w:fill="E0F4F5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color w:val="1A1A2E"/>
                <w:sz w:val="20"/>
              </w:rPr>
              <w:t>Pregnancy monitoring, red flags, referral</w:t>
            </w:r>
          </w:p>
        </w:tc>
      </w:tr>
      <w:tr w:rsidR="00452E51">
        <w:trPr>
          <w:jc w:val="center"/>
        </w:trPr>
        <w:tc>
          <w:tcPr>
            <w:tcW w:w="3154" w:type="dxa"/>
            <w:shd w:val="clear" w:color="auto" w:fill="F4FBFC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07D26"/>
                <w:sz w:val="20"/>
              </w:rPr>
              <w:t>4</w:t>
            </w:r>
          </w:p>
        </w:tc>
        <w:tc>
          <w:tcPr>
            <w:tcW w:w="3154" w:type="dxa"/>
            <w:shd w:val="clear" w:color="auto" w:fill="F4FBFC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1A1A2E"/>
                <w:sz w:val="20"/>
              </w:rPr>
              <w:t xml:space="preserve">STIs &amp; Cervical </w:t>
            </w:r>
            <w:r>
              <w:rPr>
                <w:rFonts w:ascii="Aptos" w:eastAsia="Aptos" w:hAnsi="Aptos" w:cs="Aptos"/>
                <w:b/>
                <w:color w:val="1A1A2E"/>
                <w:sz w:val="20"/>
              </w:rPr>
              <w:t>Screening</w:t>
            </w:r>
          </w:p>
        </w:tc>
        <w:tc>
          <w:tcPr>
            <w:tcW w:w="3154" w:type="dxa"/>
            <w:shd w:val="clear" w:color="auto" w:fill="F4FBFC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color w:val="1A1A2E"/>
                <w:sz w:val="20"/>
              </w:rPr>
              <w:t>Sexual history, STI management, HPV testing</w:t>
            </w:r>
          </w:p>
        </w:tc>
      </w:tr>
      <w:tr w:rsidR="00452E51">
        <w:trPr>
          <w:jc w:val="center"/>
        </w:trPr>
        <w:tc>
          <w:tcPr>
            <w:tcW w:w="3154" w:type="dxa"/>
            <w:shd w:val="clear" w:color="auto" w:fill="E0F4F5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07D26"/>
                <w:sz w:val="20"/>
              </w:rPr>
              <w:t>5</w:t>
            </w:r>
          </w:p>
        </w:tc>
        <w:tc>
          <w:tcPr>
            <w:tcW w:w="3154" w:type="dxa"/>
            <w:shd w:val="clear" w:color="auto" w:fill="E0F4F5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1A1A2E"/>
                <w:sz w:val="20"/>
              </w:rPr>
              <w:t>Menstrual Problems</w:t>
            </w:r>
          </w:p>
        </w:tc>
        <w:tc>
          <w:tcPr>
            <w:tcW w:w="3154" w:type="dxa"/>
            <w:shd w:val="clear" w:color="auto" w:fill="E0F4F5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color w:val="1A1A2E"/>
                <w:sz w:val="20"/>
              </w:rPr>
              <w:t>DUB, menorrhagia, referral criteria (NICE NG88)</w:t>
            </w:r>
          </w:p>
        </w:tc>
      </w:tr>
      <w:tr w:rsidR="00452E51">
        <w:trPr>
          <w:jc w:val="center"/>
        </w:trPr>
        <w:tc>
          <w:tcPr>
            <w:tcW w:w="3154" w:type="dxa"/>
            <w:shd w:val="clear" w:color="auto" w:fill="F4FBFC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07D26"/>
                <w:sz w:val="20"/>
              </w:rPr>
              <w:t>6</w:t>
            </w:r>
          </w:p>
        </w:tc>
        <w:tc>
          <w:tcPr>
            <w:tcW w:w="3154" w:type="dxa"/>
            <w:shd w:val="clear" w:color="auto" w:fill="F4FBFC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1A1A2E"/>
                <w:sz w:val="20"/>
              </w:rPr>
              <w:t>Menopause &amp; HRT</w:t>
            </w:r>
          </w:p>
        </w:tc>
        <w:tc>
          <w:tcPr>
            <w:tcW w:w="3154" w:type="dxa"/>
            <w:shd w:val="clear" w:color="auto" w:fill="F4FBFC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color w:val="1A1A2E"/>
                <w:sz w:val="20"/>
              </w:rPr>
              <w:t>HRT options, risks/benefits, perimenopausal care</w:t>
            </w:r>
          </w:p>
        </w:tc>
      </w:tr>
    </w:tbl>
    <w:p w:rsidR="00452E51" w:rsidRDefault="008C3A65">
      <w:r>
        <w:br w:type="page"/>
      </w:r>
    </w:p>
    <w:p w:rsidR="00452E51" w:rsidRDefault="008C3A65">
      <w:pPr>
        <w:shd w:val="clear" w:color="auto" w:fill="2E868E"/>
        <w:spacing w:after="0"/>
      </w:pPr>
      <w:r w:rsidRPr="00B82B81">
        <w:rPr>
          <w:rFonts w:ascii="Aptos" w:eastAsia="Aptos" w:hAnsi="Aptos" w:cs="Aptos"/>
          <w:b/>
          <w:color w:val="FFC000"/>
          <w:sz w:val="26"/>
        </w:rPr>
        <w:lastRenderedPageBreak/>
        <w:t xml:space="preserve">  STATION 1   </w:t>
      </w:r>
      <w:r>
        <w:rPr>
          <w:rFonts w:ascii="Aptos" w:eastAsia="Aptos" w:hAnsi="Aptos" w:cs="Aptos"/>
          <w:b/>
          <w:color w:val="FFFFFF"/>
          <w:sz w:val="26"/>
        </w:rPr>
        <w:t>FAMILY PLANNING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1"/>
      </w:tblGrid>
      <w:tr w:rsidR="00452E51">
        <w:trPr>
          <w:jc w:val="center"/>
        </w:trPr>
        <w:tc>
          <w:tcPr>
            <w:tcW w:w="9461" w:type="dxa"/>
            <w:tcBorders>
              <w:top w:val="single" w:sz="8" w:space="0" w:color="F5C518"/>
              <w:left w:val="single" w:sz="8" w:space="0" w:color="F5C518"/>
              <w:bottom w:val="single" w:sz="8" w:space="0" w:color="F5C518"/>
              <w:right w:val="single" w:sz="8" w:space="0" w:color="F5C518"/>
            </w:tcBorders>
            <w:shd w:val="clear" w:color="auto" w:fill="F5C518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1A1A2E"/>
              </w:rPr>
              <w:t xml:space="preserve">  Learning Aims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Know the full range of contraceptive options — combined pill, POP, LARC, barrier methods, emergency contraception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Manage emergency scenarios: UPSI, missed pill, bridging contraception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Know when to start, switch, or stop contraception — inc</w:t>
            </w:r>
            <w:r>
              <w:rPr>
                <w:rFonts w:ascii="Aptos" w:eastAsia="Aptos" w:hAnsi="Aptos" w:cs="Aptos"/>
                <w:color w:val="1A1A2E"/>
                <w:sz w:val="21"/>
              </w:rPr>
              <w:t>luding contraindications and risk factors (UKMEC)</w:t>
            </w:r>
          </w:p>
        </w:tc>
      </w:tr>
    </w:tbl>
    <w:p w:rsidR="00452E51" w:rsidRDefault="00452E51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1"/>
      </w:tblGrid>
      <w:tr w:rsidR="00452E51">
        <w:trPr>
          <w:jc w:val="center"/>
        </w:trPr>
        <w:tc>
          <w:tcPr>
            <w:tcW w:w="9461" w:type="dxa"/>
            <w:shd w:val="clear" w:color="auto" w:fill="2E868E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FFFFFF"/>
              </w:rPr>
              <w:t xml:space="preserve">  Station Content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Case scenarios and knowledge quiz on contraception methods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Handouts: missed pill guidance; comparison chart of contraceptive methods and efficacy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Visual aids: actual pill packets, implant (Nexplanon), Mirena IUS, copper IUD, diaphragm</w:t>
            </w:r>
          </w:p>
        </w:tc>
      </w:tr>
    </w:tbl>
    <w:p w:rsidR="00452E51" w:rsidRDefault="00452E51"/>
    <w:p w:rsidR="00452E51" w:rsidRDefault="008C3A65">
      <w:pPr>
        <w:pBdr>
          <w:bottom w:val="single" w:sz="6" w:space="1" w:color="2EB4BE"/>
        </w:pBdr>
        <w:spacing w:before="160" w:after="40"/>
      </w:pPr>
      <w:r>
        <w:rPr>
          <w:rFonts w:ascii="Aptos" w:eastAsia="Aptos" w:hAnsi="Aptos" w:cs="Aptos"/>
          <w:b/>
          <w:color w:val="2E868E"/>
        </w:rPr>
        <w:t>At a Glance — Contraceptive Methods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9"/>
        <w:gridCol w:w="3147"/>
        <w:gridCol w:w="3149"/>
      </w:tblGrid>
      <w:tr w:rsidR="00452E51">
        <w:trPr>
          <w:jc w:val="center"/>
        </w:trPr>
        <w:tc>
          <w:tcPr>
            <w:tcW w:w="3154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Method</w:t>
            </w:r>
          </w:p>
        </w:tc>
        <w:tc>
          <w:tcPr>
            <w:tcW w:w="3154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Efficacy (typical use)</w:t>
            </w:r>
          </w:p>
        </w:tc>
        <w:tc>
          <w:tcPr>
            <w:tcW w:w="3154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Duration / Notes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Combined OCP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91%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Pill-free interval; UKMEC contraindications apply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Progestogen-only pill (POP)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91%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Must be taken within 3-hour window (Cerazette: 12 hrs)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Implant (Nexplanon)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&gt;99%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3 years; can cause irregular bleeding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Mirena IUS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&gt;99%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5–8 years; also treats menorrhagia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Copper IUD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&gt;99%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 xml:space="preserve">5–10 years; also used as emergency </w:t>
            </w:r>
            <w:r>
              <w:rPr>
                <w:rFonts w:ascii="Aptos" w:eastAsia="Aptos" w:hAnsi="Aptos" w:cs="Aptos"/>
                <w:color w:val="1A1A2E"/>
                <w:sz w:val="19"/>
              </w:rPr>
              <w:t>contraception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Injection (DMPA / Depo)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94%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Every 13 weeks; delayed return to fertility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Condom (male)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82%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Only method protecting against STIs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Emergency pill (Levonelle / ellaOne)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95% / 98%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72 hrs / 120 hrs after UPSI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Copper IUD (emergency)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&gt;99%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 xml:space="preserve">Up to 5 </w:t>
            </w:r>
            <w:r>
              <w:rPr>
                <w:rFonts w:ascii="Aptos" w:eastAsia="Aptos" w:hAnsi="Aptos" w:cs="Aptos"/>
                <w:color w:val="1A1A2E"/>
                <w:sz w:val="19"/>
              </w:rPr>
              <w:t>days after UPSI — most effective option</w:t>
            </w:r>
          </w:p>
        </w:tc>
      </w:tr>
    </w:tbl>
    <w:p w:rsidR="00452E51" w:rsidRDefault="00452E5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41"/>
      </w:tblGrid>
      <w:tr w:rsidR="00452E51">
        <w:trPr>
          <w:jc w:val="center"/>
        </w:trPr>
        <w:tc>
          <w:tcPr>
            <w:tcW w:w="9461" w:type="dxa"/>
            <w:tcBorders>
              <w:left w:val="single" w:sz="16" w:space="0" w:color="F07D26"/>
            </w:tcBorders>
            <w:shd w:val="clear" w:color="auto" w:fill="FFF0E0"/>
          </w:tcPr>
          <w:p w:rsidR="00452E51" w:rsidRDefault="008C3A65">
            <w:pPr>
              <w:spacing w:before="80" w:after="80"/>
              <w:ind w:left="144"/>
            </w:pPr>
            <w:r>
              <w:rPr>
                <w:rFonts w:ascii="Aptos" w:eastAsia="Aptos" w:hAnsi="Aptos" w:cs="Aptos"/>
                <w:b/>
                <w:color w:val="F07D26"/>
                <w:sz w:val="20"/>
              </w:rPr>
              <w:t xml:space="preserve">SCA TIP  </w:t>
            </w:r>
            <w:r>
              <w:rPr>
                <w:rFonts w:ascii="Aptos" w:eastAsia="Aptos" w:hAnsi="Aptos" w:cs="Aptos"/>
                <w:i/>
                <w:color w:val="1A1A2E"/>
                <w:sz w:val="20"/>
              </w:rPr>
              <w:t xml:space="preserve">In the SCA, opening with "What brings you in today about contraception?" rather than a menu of options lets the patient lead — examiners reward patient-centred openers. Remember UKMEC 3/4 = avoid/do not </w:t>
            </w:r>
            <w:r>
              <w:rPr>
                <w:rFonts w:ascii="Aptos" w:eastAsia="Aptos" w:hAnsi="Aptos" w:cs="Aptos"/>
                <w:i/>
                <w:color w:val="1A1A2E"/>
                <w:sz w:val="20"/>
              </w:rPr>
              <w:t>use.</w:t>
            </w:r>
          </w:p>
        </w:tc>
      </w:tr>
    </w:tbl>
    <w:p w:rsidR="00452E51" w:rsidRDefault="00452E5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61"/>
      </w:tblGrid>
      <w:tr w:rsidR="00452E51">
        <w:trPr>
          <w:jc w:val="center"/>
        </w:trPr>
        <w:tc>
          <w:tcPr>
            <w:tcW w:w="9461" w:type="dxa"/>
            <w:shd w:val="clear" w:color="auto" w:fill="E85D4A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 xml:space="preserve">  RED FLAGS — act urgently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Migraine with aura — UKMEC 4 for combined pill (increased stroke risk)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Personal/family history of DVT or PE — always check before prescribing oestrogen-containing contraception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Focal neurological symptoms on any hormonal contraceptive — refer urgently</w:t>
            </w:r>
          </w:p>
        </w:tc>
      </w:tr>
    </w:tbl>
    <w:p w:rsidR="00452E51" w:rsidRDefault="008C3A65">
      <w:pPr>
        <w:spacing w:before="120" w:after="40"/>
      </w:pPr>
      <w:r>
        <w:rPr>
          <w:rFonts w:ascii="Aptos" w:eastAsia="Aptos" w:hAnsi="Aptos" w:cs="Aptos"/>
          <w:b/>
          <w:color w:val="2E868E"/>
          <w:sz w:val="20"/>
        </w:rPr>
        <w:t xml:space="preserve">Supervisor Notes: </w:t>
      </w:r>
      <w:r>
        <w:rPr>
          <w:rFonts w:ascii="Aptos" w:eastAsia="Aptos" w:hAnsi="Aptos" w:cs="Aptos"/>
          <w:color w:val="55556E"/>
          <w:sz w:val="20"/>
        </w:rPr>
        <w:t>__________________________________________________________________________________________</w:t>
      </w:r>
      <w:r>
        <w:rPr>
          <w:rFonts w:ascii="Aptos" w:eastAsia="Aptos" w:hAnsi="Aptos" w:cs="Aptos"/>
          <w:color w:val="55556E"/>
          <w:sz w:val="20"/>
        </w:rPr>
        <w:br/>
        <w:t>_________________________________________________________________</w:t>
      </w:r>
      <w:r>
        <w:rPr>
          <w:rFonts w:ascii="Aptos" w:eastAsia="Aptos" w:hAnsi="Aptos" w:cs="Aptos"/>
          <w:color w:val="55556E"/>
          <w:sz w:val="20"/>
        </w:rPr>
        <w:t>_____________________________________________</w:t>
      </w:r>
    </w:p>
    <w:p w:rsidR="00452E51" w:rsidRDefault="008C3A65">
      <w:r>
        <w:br w:type="page"/>
      </w:r>
    </w:p>
    <w:p w:rsidR="00452E51" w:rsidRDefault="008C3A65">
      <w:pPr>
        <w:shd w:val="clear" w:color="auto" w:fill="2E868E"/>
        <w:spacing w:after="0"/>
      </w:pPr>
      <w:r>
        <w:rPr>
          <w:rFonts w:ascii="Aptos" w:eastAsia="Aptos" w:hAnsi="Aptos" w:cs="Aptos"/>
          <w:b/>
          <w:color w:val="F07D26"/>
          <w:sz w:val="26"/>
        </w:rPr>
        <w:lastRenderedPageBreak/>
        <w:t xml:space="preserve">  </w:t>
      </w:r>
      <w:r w:rsidRPr="00B82B81">
        <w:rPr>
          <w:rFonts w:ascii="Aptos" w:eastAsia="Aptos" w:hAnsi="Aptos" w:cs="Aptos"/>
          <w:b/>
          <w:color w:val="FFC000"/>
          <w:sz w:val="26"/>
        </w:rPr>
        <w:t xml:space="preserve">STATION 2   </w:t>
      </w:r>
      <w:r>
        <w:rPr>
          <w:rFonts w:ascii="Aptos" w:eastAsia="Aptos" w:hAnsi="Aptos" w:cs="Aptos"/>
          <w:b/>
          <w:color w:val="FFFFFF"/>
          <w:sz w:val="26"/>
        </w:rPr>
        <w:t>GYNAECOLOGICAL EXAMINATION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1"/>
      </w:tblGrid>
      <w:tr w:rsidR="00452E51">
        <w:trPr>
          <w:jc w:val="center"/>
        </w:trPr>
        <w:tc>
          <w:tcPr>
            <w:tcW w:w="9461" w:type="dxa"/>
            <w:tcBorders>
              <w:top w:val="single" w:sz="8" w:space="0" w:color="F5C518"/>
              <w:left w:val="single" w:sz="8" w:space="0" w:color="F5C518"/>
              <w:bottom w:val="single" w:sz="8" w:space="0" w:color="F5C518"/>
              <w:right w:val="single" w:sz="8" w:space="0" w:color="F5C518"/>
            </w:tcBorders>
            <w:shd w:val="clear" w:color="auto" w:fill="F5C518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1A1A2E"/>
              </w:rPr>
              <w:t xml:space="preserve">  Learning Aims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Perform a confident, competent PV examination, speculum examination, and take high vaginal/endocervical swabs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Recognise cervical abnormalities on speculum examination and know when to refer urgently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Apply current chaperone guidelines correctly and document appropriately</w:t>
            </w:r>
          </w:p>
        </w:tc>
      </w:tr>
    </w:tbl>
    <w:p w:rsidR="00452E51" w:rsidRDefault="00452E51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1"/>
      </w:tblGrid>
      <w:tr w:rsidR="00452E51">
        <w:trPr>
          <w:jc w:val="center"/>
        </w:trPr>
        <w:tc>
          <w:tcPr>
            <w:tcW w:w="9461" w:type="dxa"/>
            <w:shd w:val="clear" w:color="auto" w:fill="2E868E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FFFFFF"/>
              </w:rPr>
              <w:t xml:space="preserve">  Station Content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Practice: digital PV examination, speculum insertion and technique, swab-taking on a mannequin / phantom pelvis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Image quiz: normal and abnormal cervical findings (ectropion, polyp, tumour, warts)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Handout: current GMC/BMA chaperone guidelin</w:t>
            </w:r>
            <w:r>
              <w:rPr>
                <w:rFonts w:ascii="Aptos" w:eastAsia="Aptos" w:hAnsi="Aptos" w:cs="Aptos"/>
                <w:color w:val="1A1A2E"/>
                <w:sz w:val="21"/>
              </w:rPr>
              <w:t>es and documentation template</w:t>
            </w:r>
          </w:p>
        </w:tc>
      </w:tr>
    </w:tbl>
    <w:p w:rsidR="00452E51" w:rsidRDefault="00452E51"/>
    <w:p w:rsidR="00452E51" w:rsidRDefault="008C3A65">
      <w:pPr>
        <w:pBdr>
          <w:bottom w:val="single" w:sz="6" w:space="1" w:color="2EB4BE"/>
        </w:pBdr>
        <w:spacing w:before="160" w:after="40"/>
      </w:pPr>
      <w:r>
        <w:rPr>
          <w:rFonts w:ascii="Aptos" w:eastAsia="Aptos" w:hAnsi="Aptos" w:cs="Aptos"/>
          <w:b/>
          <w:color w:val="2E868E"/>
        </w:rPr>
        <w:t>Cervical Findings — What You Might See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8"/>
        <w:gridCol w:w="3148"/>
        <w:gridCol w:w="3149"/>
      </w:tblGrid>
      <w:tr w:rsidR="00452E51">
        <w:trPr>
          <w:jc w:val="center"/>
        </w:trPr>
        <w:tc>
          <w:tcPr>
            <w:tcW w:w="3154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Finding</w:t>
            </w:r>
          </w:p>
        </w:tc>
        <w:tc>
          <w:tcPr>
            <w:tcW w:w="3154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Appearance</w:t>
            </w:r>
          </w:p>
        </w:tc>
        <w:tc>
          <w:tcPr>
            <w:tcW w:w="3154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Action Required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Normal cervix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Smooth, pink, no discharge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Reassure; routine screening if due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Ectropion (erosion)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Red, granular-looking ring — NOT sinister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 xml:space="preserve">Reassure; </w:t>
            </w:r>
            <w:r>
              <w:rPr>
                <w:rFonts w:ascii="Aptos" w:eastAsia="Aptos" w:hAnsi="Aptos" w:cs="Aptos"/>
                <w:color w:val="1A1A2E"/>
                <w:sz w:val="19"/>
              </w:rPr>
              <w:t>refer if symptomatic (discharge, PCB)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Cervical polyp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Smooth, pedunculated projection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Refer to colposcopy / gynaecology for removal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Condylomata (HPV warts)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Warty, cauliflower-like growths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Refer to GUM/colposcopy; partner notification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Tumour / ulceration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Irregular, friable, bleeds on contact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2-WEEK WAIT gynaecology referral URGENTLY</w:t>
            </w:r>
          </w:p>
        </w:tc>
      </w:tr>
    </w:tbl>
    <w:p w:rsidR="00452E51" w:rsidRDefault="00452E5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41"/>
      </w:tblGrid>
      <w:tr w:rsidR="00452E51">
        <w:trPr>
          <w:jc w:val="center"/>
        </w:trPr>
        <w:tc>
          <w:tcPr>
            <w:tcW w:w="9461" w:type="dxa"/>
            <w:tcBorders>
              <w:left w:val="single" w:sz="16" w:space="0" w:color="F07D26"/>
            </w:tcBorders>
            <w:shd w:val="clear" w:color="auto" w:fill="FFF0E0"/>
          </w:tcPr>
          <w:p w:rsidR="00452E51" w:rsidRDefault="000E4846" w:rsidP="000E4846">
            <w:pPr>
              <w:spacing w:before="80" w:after="80"/>
              <w:ind w:left="144"/>
            </w:pPr>
            <w:r>
              <w:rPr>
                <w:rFonts w:ascii="Aptos" w:eastAsia="Aptos" w:hAnsi="Aptos" w:cs="Aptos"/>
                <w:b/>
                <w:color w:val="F07D26"/>
                <w:sz w:val="20"/>
              </w:rPr>
              <w:t>CONSULTATION</w:t>
            </w:r>
            <w:r w:rsidR="008C3A65">
              <w:rPr>
                <w:rFonts w:ascii="Aptos" w:eastAsia="Aptos" w:hAnsi="Aptos" w:cs="Aptos"/>
                <w:b/>
                <w:color w:val="F07D26"/>
                <w:sz w:val="20"/>
              </w:rPr>
              <w:t xml:space="preserve"> </w:t>
            </w:r>
            <w:proofErr w:type="gramStart"/>
            <w:r w:rsidR="008C3A65">
              <w:rPr>
                <w:rFonts w:ascii="Aptos" w:eastAsia="Aptos" w:hAnsi="Aptos" w:cs="Aptos"/>
                <w:b/>
                <w:color w:val="F07D26"/>
                <w:sz w:val="20"/>
              </w:rPr>
              <w:t xml:space="preserve">PHRASE  </w:t>
            </w:r>
            <w:r w:rsidR="008C3A65">
              <w:rPr>
                <w:rFonts w:ascii="Aptos" w:eastAsia="Aptos" w:hAnsi="Aptos" w:cs="Aptos"/>
                <w:i/>
                <w:color w:val="1A1A2E"/>
                <w:sz w:val="20"/>
              </w:rPr>
              <w:t>Always</w:t>
            </w:r>
            <w:proofErr w:type="gramEnd"/>
            <w:r w:rsidR="008C3A65">
              <w:rPr>
                <w:rFonts w:ascii="Aptos" w:eastAsia="Aptos" w:hAnsi="Aptos" w:cs="Aptos"/>
                <w:i/>
                <w:color w:val="1A1A2E"/>
                <w:sz w:val="20"/>
              </w:rPr>
              <w:t xml:space="preserve"> offer a chaperone BEFORE the examination — document that you offered, name the chaperone, and record their role. "I'd like to examine you internally today.</w:t>
            </w:r>
            <w:r w:rsidR="008C3A65">
              <w:rPr>
                <w:rFonts w:ascii="Aptos" w:eastAsia="Aptos" w:hAnsi="Aptos" w:cs="Aptos"/>
                <w:i/>
                <w:color w:val="1A1A2E"/>
                <w:sz w:val="20"/>
              </w:rPr>
              <w:t xml:space="preserve"> I always offer a chaperone —</w:t>
            </w:r>
            <w:r>
              <w:rPr>
                <w:rFonts w:ascii="Aptos" w:eastAsia="Aptos" w:hAnsi="Aptos" w:cs="Aptos"/>
                <w:i/>
                <w:color w:val="1A1A2E"/>
                <w:sz w:val="20"/>
              </w:rPr>
              <w:t xml:space="preserve"> is that something you'd like?</w:t>
            </w:r>
            <w:proofErr w:type="gramStart"/>
            <w:r>
              <w:rPr>
                <w:rFonts w:ascii="Aptos" w:eastAsia="Aptos" w:hAnsi="Aptos" w:cs="Aptos"/>
                <w:i/>
                <w:color w:val="1A1A2E"/>
                <w:sz w:val="20"/>
              </w:rPr>
              <w:t>".</w:t>
            </w:r>
            <w:proofErr w:type="gramEnd"/>
          </w:p>
        </w:tc>
      </w:tr>
    </w:tbl>
    <w:p w:rsidR="00452E51" w:rsidRDefault="00452E5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41"/>
      </w:tblGrid>
      <w:tr w:rsidR="00452E51">
        <w:trPr>
          <w:jc w:val="center"/>
        </w:trPr>
        <w:tc>
          <w:tcPr>
            <w:tcW w:w="9461" w:type="dxa"/>
            <w:tcBorders>
              <w:left w:val="single" w:sz="16" w:space="0" w:color="F07D26"/>
            </w:tcBorders>
            <w:shd w:val="clear" w:color="auto" w:fill="FFF0E0"/>
          </w:tcPr>
          <w:p w:rsidR="00452E51" w:rsidRDefault="008C3A65">
            <w:pPr>
              <w:spacing w:before="80" w:after="80"/>
              <w:ind w:left="144"/>
            </w:pPr>
            <w:r>
              <w:rPr>
                <w:rFonts w:ascii="Aptos" w:eastAsia="Aptos" w:hAnsi="Aptos" w:cs="Aptos"/>
                <w:b/>
                <w:color w:val="F07D26"/>
                <w:sz w:val="20"/>
              </w:rPr>
              <w:t xml:space="preserve">EXAM TIP  </w:t>
            </w:r>
            <w:r>
              <w:rPr>
                <w:rFonts w:ascii="Aptos" w:eastAsia="Aptos" w:hAnsi="Aptos" w:cs="Aptos"/>
                <w:i/>
                <w:color w:val="1A1A2E"/>
                <w:sz w:val="20"/>
              </w:rPr>
              <w:t>Speculum size matters — most adult women take a medium Cusco. Warm it before insertion. Rotate 90° on removal so you can fully inspect the os and ante</w:t>
            </w:r>
            <w:r>
              <w:rPr>
                <w:rFonts w:ascii="Aptos" w:eastAsia="Aptos" w:hAnsi="Aptos" w:cs="Aptos"/>
                <w:i/>
                <w:color w:val="1A1A2E"/>
                <w:sz w:val="20"/>
              </w:rPr>
              <w:t>rior/posterior walls.</w:t>
            </w:r>
          </w:p>
        </w:tc>
      </w:tr>
    </w:tbl>
    <w:p w:rsidR="00452E51" w:rsidRDefault="00452E5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61"/>
      </w:tblGrid>
      <w:tr w:rsidR="00452E51">
        <w:trPr>
          <w:jc w:val="center"/>
        </w:trPr>
        <w:tc>
          <w:tcPr>
            <w:tcW w:w="9461" w:type="dxa"/>
            <w:shd w:val="clear" w:color="auto" w:fill="E85D4A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 xml:space="preserve">  RED FLAGS — act urgently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Irregular, friable, or bleeding cervix on speculum examination — 2WW gynaecology referral same day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Haematuria + pelvic pain in a sexually active woman — consider gonorrhoea/chlamydia PID and refer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Suspicious vault lesion post-hysterectomy — urgent gynaecology review</w:t>
            </w:r>
          </w:p>
        </w:tc>
      </w:tr>
    </w:tbl>
    <w:p w:rsidR="00452E51" w:rsidRDefault="00452E51"/>
    <w:p w:rsidR="00452E51" w:rsidRDefault="008C3A65">
      <w:pPr>
        <w:spacing w:before="120" w:after="40"/>
      </w:pPr>
      <w:r>
        <w:rPr>
          <w:rFonts w:ascii="Aptos" w:eastAsia="Aptos" w:hAnsi="Aptos" w:cs="Aptos"/>
          <w:b/>
          <w:color w:val="2E868E"/>
          <w:sz w:val="20"/>
        </w:rPr>
        <w:t xml:space="preserve">Supervisor Notes: </w:t>
      </w:r>
      <w:r>
        <w:rPr>
          <w:rFonts w:ascii="Aptos" w:eastAsia="Aptos" w:hAnsi="Aptos" w:cs="Aptos"/>
          <w:color w:val="55556E"/>
          <w:sz w:val="20"/>
        </w:rPr>
        <w:t>_________________________________________________________</w:t>
      </w:r>
      <w:r>
        <w:rPr>
          <w:rFonts w:ascii="Aptos" w:eastAsia="Aptos" w:hAnsi="Aptos" w:cs="Aptos"/>
          <w:color w:val="55556E"/>
          <w:sz w:val="20"/>
        </w:rPr>
        <w:t>_________________________________</w:t>
      </w:r>
      <w:r>
        <w:rPr>
          <w:rFonts w:ascii="Aptos" w:eastAsia="Aptos" w:hAnsi="Aptos" w:cs="Aptos"/>
          <w:color w:val="55556E"/>
          <w:sz w:val="20"/>
        </w:rPr>
        <w:br/>
        <w:t>______________________________________________________________________________________________________________</w:t>
      </w:r>
    </w:p>
    <w:p w:rsidR="00452E51" w:rsidRDefault="008C3A65">
      <w:r>
        <w:br w:type="page"/>
      </w:r>
    </w:p>
    <w:p w:rsidR="00452E51" w:rsidRDefault="008C3A65">
      <w:pPr>
        <w:shd w:val="clear" w:color="auto" w:fill="2E868E"/>
        <w:spacing w:after="0"/>
      </w:pPr>
      <w:r>
        <w:rPr>
          <w:rFonts w:ascii="Aptos" w:eastAsia="Aptos" w:hAnsi="Aptos" w:cs="Aptos"/>
          <w:b/>
          <w:color w:val="F07D26"/>
          <w:sz w:val="26"/>
        </w:rPr>
        <w:lastRenderedPageBreak/>
        <w:t xml:space="preserve">  </w:t>
      </w:r>
      <w:r w:rsidRPr="00B82B81">
        <w:rPr>
          <w:rFonts w:ascii="Aptos" w:eastAsia="Aptos" w:hAnsi="Aptos" w:cs="Aptos"/>
          <w:b/>
          <w:color w:val="FFC000"/>
          <w:sz w:val="26"/>
        </w:rPr>
        <w:t xml:space="preserve">STATION 3   </w:t>
      </w:r>
      <w:r>
        <w:rPr>
          <w:rFonts w:ascii="Aptos" w:eastAsia="Aptos" w:hAnsi="Aptos" w:cs="Aptos"/>
          <w:b/>
          <w:color w:val="FFFFFF"/>
          <w:sz w:val="26"/>
        </w:rPr>
        <w:t>ANTENATAL CARE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1"/>
      </w:tblGrid>
      <w:tr w:rsidR="00452E51">
        <w:trPr>
          <w:jc w:val="center"/>
        </w:trPr>
        <w:tc>
          <w:tcPr>
            <w:tcW w:w="9461" w:type="dxa"/>
            <w:tcBorders>
              <w:top w:val="single" w:sz="8" w:space="0" w:color="F5C518"/>
              <w:left w:val="single" w:sz="8" w:space="0" w:color="F5C518"/>
              <w:bottom w:val="single" w:sz="8" w:space="0" w:color="F5C518"/>
              <w:right w:val="single" w:sz="8" w:space="0" w:color="F5C518"/>
            </w:tcBorders>
            <w:shd w:val="clear" w:color="auto" w:fill="F5C518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1A1A2E"/>
              </w:rPr>
              <w:t xml:space="preserve">  Learning Aims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Examine the pregnant abdomen confidently at different stages of pregnancy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Navigate the antenatal care pathway: booking bloods, BP monitoring, urinalysis, scans, growth assessments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Identify the unwell or high-risk pregnant woman — know when</w:t>
            </w:r>
            <w:r>
              <w:rPr>
                <w:rFonts w:ascii="Aptos" w:eastAsia="Aptos" w:hAnsi="Aptos" w:cs="Aptos"/>
                <w:color w:val="1A1A2E"/>
                <w:sz w:val="21"/>
              </w:rPr>
              <w:t xml:space="preserve"> to admit or refer urgently</w:t>
            </w:r>
          </w:p>
        </w:tc>
      </w:tr>
    </w:tbl>
    <w:p w:rsidR="00452E51" w:rsidRDefault="00452E51" w:rsidP="000E4846">
      <w:pPr>
        <w:spacing w:after="120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1"/>
      </w:tblGrid>
      <w:tr w:rsidR="00452E51">
        <w:trPr>
          <w:jc w:val="center"/>
        </w:trPr>
        <w:tc>
          <w:tcPr>
            <w:tcW w:w="9461" w:type="dxa"/>
            <w:shd w:val="clear" w:color="auto" w:fill="2E868E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FFFFFF"/>
              </w:rPr>
              <w:t xml:space="preserve">  Station Content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Walk through an antenatal consultation: history taking and abdominal examination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Practical: use of tape measure (symphysis-fundal height), Doppler, pregnancy wheel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Handout: NICE antenatal care schedule and red flags for urgent referral in pregnancy</w:t>
            </w:r>
          </w:p>
        </w:tc>
      </w:tr>
    </w:tbl>
    <w:p w:rsidR="00452E51" w:rsidRDefault="008C3A65">
      <w:pPr>
        <w:pBdr>
          <w:bottom w:val="single" w:sz="6" w:space="1" w:color="2EB4BE"/>
        </w:pBdr>
        <w:spacing w:before="160" w:after="40"/>
      </w:pPr>
      <w:r>
        <w:rPr>
          <w:rFonts w:ascii="Aptos" w:eastAsia="Aptos" w:hAnsi="Aptos" w:cs="Aptos"/>
          <w:b/>
          <w:color w:val="2E868E"/>
        </w:rPr>
        <w:t>NICE Antenatal Schedule — Key Contacts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2"/>
        <w:gridCol w:w="4723"/>
      </w:tblGrid>
      <w:tr w:rsidR="00452E51">
        <w:trPr>
          <w:jc w:val="center"/>
        </w:trPr>
        <w:tc>
          <w:tcPr>
            <w:tcW w:w="4730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Gestation</w:t>
            </w:r>
          </w:p>
        </w:tc>
        <w:tc>
          <w:tcPr>
            <w:tcW w:w="4730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Key Actions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8–12 weeks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Booking appointment: history, bloods (FBC, blood group, rubella, HIV, hepatitis B, syphilis, sickle/thalassaemia), dating scan, folic acid advice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11–14 weeks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Nuchal translucency + combined first-trimester screening (Down's, T18, T13)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16 weeks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 xml:space="preserve">Review </w:t>
            </w:r>
            <w:r>
              <w:rPr>
                <w:rFonts w:ascii="Aptos" w:eastAsia="Aptos" w:hAnsi="Aptos" w:cs="Aptos"/>
                <w:color w:val="1A1A2E"/>
                <w:sz w:val="19"/>
              </w:rPr>
              <w:t>screening results; iron supplementation if needed; blood pressure and urinalysis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18–21 weeks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Anomaly scan (FASP)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25 weeks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(Nulliparous only) Blood pressure, urinalysis, symphysis-fundal height (SFH)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28 weeks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 xml:space="preserve">Anti-D prophylaxis if Rh-negative; FBC; GTT </w:t>
            </w:r>
            <w:r>
              <w:rPr>
                <w:rFonts w:ascii="Aptos" w:eastAsia="Aptos" w:hAnsi="Aptos" w:cs="Aptos"/>
                <w:color w:val="1A1A2E"/>
                <w:sz w:val="19"/>
              </w:rPr>
              <w:t>if diabetic risk; BP + urine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34 weeks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Anti-D (second dose if Rh-neg); BP, urine, SFH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36 weeks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Presentation check; GBS discussion; birth plan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38–41 weeks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BP, urine, SFH; post-dates discussion at 41 wks; offer IOL by 42 weeks</w:t>
            </w:r>
          </w:p>
        </w:tc>
      </w:tr>
    </w:tbl>
    <w:p w:rsidR="00452E51" w:rsidRDefault="00452E5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41"/>
      </w:tblGrid>
      <w:tr w:rsidR="00452E51">
        <w:trPr>
          <w:jc w:val="center"/>
        </w:trPr>
        <w:tc>
          <w:tcPr>
            <w:tcW w:w="9461" w:type="dxa"/>
            <w:tcBorders>
              <w:left w:val="single" w:sz="16" w:space="0" w:color="F07D26"/>
            </w:tcBorders>
            <w:shd w:val="clear" w:color="auto" w:fill="FFF0E0"/>
          </w:tcPr>
          <w:p w:rsidR="00452E51" w:rsidRDefault="008C3A65">
            <w:pPr>
              <w:spacing w:before="80" w:after="80"/>
              <w:ind w:left="144"/>
            </w:pPr>
            <w:r>
              <w:rPr>
                <w:rFonts w:ascii="Aptos" w:eastAsia="Aptos" w:hAnsi="Aptos" w:cs="Aptos"/>
                <w:b/>
                <w:color w:val="F07D26"/>
                <w:sz w:val="20"/>
              </w:rPr>
              <w:t xml:space="preserve">SCA PHRASE  </w:t>
            </w:r>
            <w:r>
              <w:rPr>
                <w:rFonts w:ascii="Aptos" w:eastAsia="Aptos" w:hAnsi="Aptos" w:cs="Aptos"/>
                <w:i/>
                <w:color w:val="1A1A2E"/>
                <w:sz w:val="20"/>
              </w:rPr>
              <w:t>Always plot SFH</w:t>
            </w:r>
            <w:r>
              <w:rPr>
                <w:rFonts w:ascii="Aptos" w:eastAsia="Aptos" w:hAnsi="Aptos" w:cs="Aptos"/>
                <w:i/>
                <w:color w:val="1A1A2E"/>
                <w:sz w:val="20"/>
              </w:rPr>
              <w:t xml:space="preserve"> on a centile chart (GROW chart). A measurement &gt;3 cm from expected = refer same day for growth scan. "I'd like to measure your bump today to check baby is growing well — it's a simple tape measure from here to here." — demystify for patients.</w:t>
            </w:r>
          </w:p>
        </w:tc>
      </w:tr>
    </w:tbl>
    <w:p w:rsidR="00452E51" w:rsidRDefault="00452E5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61"/>
      </w:tblGrid>
      <w:tr w:rsidR="00452E51">
        <w:trPr>
          <w:jc w:val="center"/>
        </w:trPr>
        <w:tc>
          <w:tcPr>
            <w:tcW w:w="9461" w:type="dxa"/>
            <w:shd w:val="clear" w:color="auto" w:fill="E85D4A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 xml:space="preserve">  RED FLAGS — act urgently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BP ≥ 140/90 + proteinuria — pre-eclampsia: urgent same-day assessment / hospital admission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Reduced fetal movements — send to DAU for CTG and assessment same day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Antepartum haemorrhage (any bleeding in pregnancy)</w:t>
            </w:r>
            <w:r>
              <w:rPr>
                <w:rFonts w:ascii="Aptos" w:eastAsia="Aptos" w:hAnsi="Aptos" w:cs="Aptos"/>
                <w:color w:val="1A1A2E"/>
                <w:sz w:val="20"/>
              </w:rPr>
              <w:t xml:space="preserve"> — blue-light if heavy, urgent if light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Epigastric pain / headache / visual disturbance in pregnancy — pre-eclampsia until proven otherwise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Decreased SFH / suspected IUGR — urgent growth scan (same week)</w:t>
            </w:r>
          </w:p>
        </w:tc>
      </w:tr>
    </w:tbl>
    <w:p w:rsidR="00452E51" w:rsidRDefault="008C3A65">
      <w:pPr>
        <w:spacing w:before="120" w:after="40"/>
      </w:pPr>
      <w:r>
        <w:rPr>
          <w:rFonts w:ascii="Aptos" w:eastAsia="Aptos" w:hAnsi="Aptos" w:cs="Aptos"/>
          <w:b/>
          <w:color w:val="2E868E"/>
          <w:sz w:val="20"/>
        </w:rPr>
        <w:t xml:space="preserve">Supervisor Notes: </w:t>
      </w:r>
      <w:r>
        <w:rPr>
          <w:rFonts w:ascii="Aptos" w:eastAsia="Aptos" w:hAnsi="Aptos" w:cs="Aptos"/>
          <w:color w:val="55556E"/>
          <w:sz w:val="20"/>
        </w:rPr>
        <w:t>__________________________________________________________________________________________</w:t>
      </w:r>
      <w:r>
        <w:rPr>
          <w:rFonts w:ascii="Aptos" w:eastAsia="Aptos" w:hAnsi="Aptos" w:cs="Aptos"/>
          <w:color w:val="55556E"/>
          <w:sz w:val="20"/>
        </w:rPr>
        <w:br/>
        <w:t>______________________________________________________________________________________________________________</w:t>
      </w:r>
    </w:p>
    <w:p w:rsidR="00452E51" w:rsidRDefault="008C3A65">
      <w:r>
        <w:br w:type="page"/>
      </w:r>
    </w:p>
    <w:p w:rsidR="00452E51" w:rsidRDefault="008C3A65">
      <w:pPr>
        <w:shd w:val="clear" w:color="auto" w:fill="2E868E"/>
        <w:spacing w:after="0"/>
      </w:pPr>
      <w:r>
        <w:rPr>
          <w:rFonts w:ascii="Aptos" w:eastAsia="Aptos" w:hAnsi="Aptos" w:cs="Aptos"/>
          <w:b/>
          <w:color w:val="F07D26"/>
          <w:sz w:val="26"/>
        </w:rPr>
        <w:lastRenderedPageBreak/>
        <w:t xml:space="preserve">  </w:t>
      </w:r>
      <w:r w:rsidRPr="00B82B81">
        <w:rPr>
          <w:rFonts w:ascii="Aptos" w:eastAsia="Aptos" w:hAnsi="Aptos" w:cs="Aptos"/>
          <w:b/>
          <w:color w:val="FFC000"/>
          <w:sz w:val="26"/>
        </w:rPr>
        <w:t xml:space="preserve">STATION 4   </w:t>
      </w:r>
      <w:r>
        <w:rPr>
          <w:rFonts w:ascii="Aptos" w:eastAsia="Aptos" w:hAnsi="Aptos" w:cs="Aptos"/>
          <w:b/>
          <w:color w:val="FFFFFF"/>
          <w:sz w:val="26"/>
        </w:rPr>
        <w:t>STIS &amp; CERVICAL SCREENING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1"/>
      </w:tblGrid>
      <w:tr w:rsidR="00452E51">
        <w:trPr>
          <w:jc w:val="center"/>
        </w:trPr>
        <w:tc>
          <w:tcPr>
            <w:tcW w:w="9461" w:type="dxa"/>
            <w:tcBorders>
              <w:top w:val="single" w:sz="8" w:space="0" w:color="F5C518"/>
              <w:left w:val="single" w:sz="8" w:space="0" w:color="F5C518"/>
              <w:bottom w:val="single" w:sz="8" w:space="0" w:color="F5C518"/>
              <w:right w:val="single" w:sz="8" w:space="0" w:color="F5C518"/>
            </w:tcBorders>
            <w:shd w:val="clear" w:color="auto" w:fill="F5C518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1A1A2E"/>
              </w:rPr>
              <w:t xml:space="preserve">  Learning A</w:t>
            </w:r>
            <w:r>
              <w:rPr>
                <w:rFonts w:ascii="Aptos" w:eastAsia="Aptos" w:hAnsi="Aptos" w:cs="Aptos"/>
                <w:b/>
                <w:color w:val="1A1A2E"/>
              </w:rPr>
              <w:t>ims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Take a sexual history sensitively and systematically (BASHH principles)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Recognise common STIs and their complications; know first-line management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Know local sexual health services in Bradford and current NHS cervical screening guidelines</w:t>
            </w:r>
          </w:p>
        </w:tc>
      </w:tr>
    </w:tbl>
    <w:p w:rsidR="00452E51" w:rsidRDefault="00452E51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1"/>
      </w:tblGrid>
      <w:tr w:rsidR="00452E51">
        <w:trPr>
          <w:jc w:val="center"/>
        </w:trPr>
        <w:tc>
          <w:tcPr>
            <w:tcW w:w="9461" w:type="dxa"/>
            <w:shd w:val="clear" w:color="auto" w:fill="2E868E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FFFFFF"/>
              </w:rPr>
              <w:t xml:space="preserve">  Station Content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Discussion: how to take a sexual history (BASHH principles: 5 Ps — Partners, Practices, Protection, Past STI history, Pregnancy intentions)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Picture quiz: clinical presentations of STIs (chlamydia, gonorrhoea, herpes, syphilis, trichomonas)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</w:t>
            </w:r>
            <w:r>
              <w:rPr>
                <w:rFonts w:ascii="Aptos" w:eastAsia="Aptos" w:hAnsi="Aptos" w:cs="Aptos"/>
                <w:color w:val="1A1A2E"/>
                <w:sz w:val="21"/>
              </w:rPr>
              <w:t xml:space="preserve"> Handout: NHS Cervical Screening Programme update (primary HPV testing); local GUM/CASH referral pathways</w:t>
            </w:r>
          </w:p>
        </w:tc>
      </w:tr>
    </w:tbl>
    <w:p w:rsidR="00452E51" w:rsidRDefault="00452E51"/>
    <w:p w:rsidR="00452E51" w:rsidRDefault="008C3A65">
      <w:pPr>
        <w:pBdr>
          <w:bottom w:val="single" w:sz="6" w:space="1" w:color="2EB4BE"/>
        </w:pBdr>
        <w:spacing w:before="160" w:after="40"/>
      </w:pPr>
      <w:r>
        <w:rPr>
          <w:rFonts w:ascii="Aptos" w:eastAsia="Aptos" w:hAnsi="Aptos" w:cs="Aptos"/>
          <w:b/>
          <w:color w:val="2E868E"/>
        </w:rPr>
        <w:t>The 5 Ps — Sexual History Framework (BASHH)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2"/>
        <w:gridCol w:w="4723"/>
      </w:tblGrid>
      <w:tr w:rsidR="00452E51">
        <w:trPr>
          <w:jc w:val="center"/>
        </w:trPr>
        <w:tc>
          <w:tcPr>
            <w:tcW w:w="4730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The "P"</w:t>
            </w:r>
          </w:p>
        </w:tc>
        <w:tc>
          <w:tcPr>
            <w:tcW w:w="4730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What to Ask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Partners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Number of partners in last 3 months; gender(s); relationship type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Practices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Vaginal / anal / oral sex? Any condom use? Penetrative or non-penetrative?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Protection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Contraception method? Condom use — consistent or inconsistent?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Past STI history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Previous STIs? HIV test? Hepatitis B vaccination? Partner notification done?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Pregnancy intentions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Currently trying to conceive? Any risk of pregnancy? Contraception adequate?</w:t>
            </w:r>
          </w:p>
        </w:tc>
      </w:tr>
    </w:tbl>
    <w:p w:rsidR="00452E51" w:rsidRDefault="00452E51"/>
    <w:p w:rsidR="00452E51" w:rsidRDefault="008C3A65">
      <w:pPr>
        <w:pBdr>
          <w:bottom w:val="single" w:sz="6" w:space="1" w:color="2EB4BE"/>
        </w:pBdr>
        <w:spacing w:before="160" w:after="40"/>
      </w:pPr>
      <w:r>
        <w:rPr>
          <w:rFonts w:ascii="Aptos" w:eastAsia="Aptos" w:hAnsi="Aptos" w:cs="Aptos"/>
          <w:b/>
          <w:color w:val="2E868E"/>
        </w:rPr>
        <w:t>Common STIs at a Glance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9"/>
        <w:gridCol w:w="3148"/>
        <w:gridCol w:w="3148"/>
      </w:tblGrid>
      <w:tr w:rsidR="00452E51">
        <w:trPr>
          <w:jc w:val="center"/>
        </w:trPr>
        <w:tc>
          <w:tcPr>
            <w:tcW w:w="3154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STI</w:t>
            </w:r>
          </w:p>
        </w:tc>
        <w:tc>
          <w:tcPr>
            <w:tcW w:w="3154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Typical Presentation</w:t>
            </w:r>
          </w:p>
        </w:tc>
        <w:tc>
          <w:tcPr>
            <w:tcW w:w="3154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First-Line Treatment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Chlamydia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Often asymptomatic; discharge, dysuria, pelvic pain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 xml:space="preserve">Doxycycline 100mg BD x </w:t>
            </w:r>
            <w:r>
              <w:rPr>
                <w:rFonts w:ascii="Aptos" w:eastAsia="Aptos" w:hAnsi="Aptos" w:cs="Aptos"/>
                <w:color w:val="1A1A2E"/>
                <w:sz w:val="19"/>
              </w:rPr>
              <w:t>7 days (or azithromycin 1g stat if compliance risk)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Gonorrhoea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Purulent discharge, dysuria; often asymptomatic in women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Ceftriaxone 500mg IM stat (check local resistance — no oral first line now)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Genital herpes (HSV)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 xml:space="preserve">Painful ulcers; flu-like prodrome; </w:t>
            </w:r>
            <w:r>
              <w:rPr>
                <w:rFonts w:ascii="Aptos" w:eastAsia="Aptos" w:hAnsi="Aptos" w:cs="Aptos"/>
                <w:color w:val="1A1A2E"/>
                <w:sz w:val="19"/>
              </w:rPr>
              <w:t>first episode very painful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Aciclovir 400mg TDS x 5 days for primary episode; manage recurrences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Syphilis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Painless ulcer (primary); rash on palms/soles (secondary)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Benzathine penicillin IM (refer GUM); partner notification essential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Trichomonas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Offensive,</w:t>
            </w:r>
            <w:r>
              <w:rPr>
                <w:rFonts w:ascii="Aptos" w:eastAsia="Aptos" w:hAnsi="Aptos" w:cs="Aptos"/>
                <w:color w:val="1A1A2E"/>
                <w:sz w:val="19"/>
              </w:rPr>
              <w:t xml:space="preserve"> frothy, yellow-green discharge; itching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Metronidazole 400mg BD x 5–7 days; treat partner simultaneously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BV (not an STI)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Thin, grey, fishy-smelling discharge; no itching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Metronidazole 400mg BD x 5–7 days; no partner treatment needed</w:t>
            </w:r>
          </w:p>
        </w:tc>
      </w:tr>
    </w:tbl>
    <w:p w:rsidR="00452E51" w:rsidRDefault="00452E51"/>
    <w:p w:rsidR="00452E51" w:rsidRDefault="008C3A65">
      <w:pPr>
        <w:pBdr>
          <w:bottom w:val="single" w:sz="6" w:space="1" w:color="2EB4BE"/>
        </w:pBdr>
        <w:spacing w:before="160" w:after="40"/>
      </w:pPr>
      <w:r>
        <w:rPr>
          <w:rFonts w:ascii="Aptos" w:eastAsia="Aptos" w:hAnsi="Aptos" w:cs="Aptos"/>
          <w:b/>
          <w:color w:val="2E868E"/>
        </w:rPr>
        <w:t>Cervical Screening —</w:t>
      </w:r>
      <w:r>
        <w:rPr>
          <w:rFonts w:ascii="Aptos" w:eastAsia="Aptos" w:hAnsi="Aptos" w:cs="Aptos"/>
          <w:b/>
          <w:color w:val="2E868E"/>
        </w:rPr>
        <w:t xml:space="preserve"> Key Updates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3"/>
        <w:gridCol w:w="4722"/>
      </w:tblGrid>
      <w:tr w:rsidR="00452E51">
        <w:trPr>
          <w:jc w:val="center"/>
        </w:trPr>
        <w:tc>
          <w:tcPr>
            <w:tcW w:w="4730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Detail</w:t>
            </w:r>
          </w:p>
        </w:tc>
        <w:tc>
          <w:tcPr>
            <w:tcW w:w="4730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Current Guidance (NHS England)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Screening age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25–49 years: every 3 years. 50–64 years: every 5 years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lastRenderedPageBreak/>
              <w:t>Primary test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Primary HPV testing (replaced LBC as first test from 2020)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If HPV positive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 xml:space="preserve">Reflex cytology (LBC): normal cytology → </w:t>
            </w:r>
            <w:r>
              <w:rPr>
                <w:rFonts w:ascii="Aptos" w:eastAsia="Aptos" w:hAnsi="Aptos" w:cs="Aptos"/>
                <w:color w:val="1A1A2E"/>
                <w:sz w:val="19"/>
              </w:rPr>
              <w:t>repeat HPV test in 12 months; abnormal → colposcopy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If HPV negative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Routine recall — next routine screen (3 or 5 years)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Colposcopy referral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HPV+ with abnormal cytology, or HPV+ on 2 consecutive screens</w:t>
            </w:r>
          </w:p>
        </w:tc>
      </w:tr>
    </w:tbl>
    <w:p w:rsidR="00452E51" w:rsidRDefault="00452E5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41"/>
      </w:tblGrid>
      <w:tr w:rsidR="00452E51">
        <w:trPr>
          <w:jc w:val="center"/>
        </w:trPr>
        <w:tc>
          <w:tcPr>
            <w:tcW w:w="9461" w:type="dxa"/>
            <w:tcBorders>
              <w:left w:val="single" w:sz="16" w:space="0" w:color="F07D26"/>
            </w:tcBorders>
            <w:shd w:val="clear" w:color="auto" w:fill="FFF0E0"/>
          </w:tcPr>
          <w:p w:rsidR="00452E51" w:rsidRDefault="008C3A65">
            <w:pPr>
              <w:spacing w:before="80" w:after="80"/>
              <w:ind w:left="144"/>
            </w:pPr>
            <w:r>
              <w:rPr>
                <w:rFonts w:ascii="Aptos" w:eastAsia="Aptos" w:hAnsi="Aptos" w:cs="Aptos"/>
                <w:b/>
                <w:color w:val="F07D26"/>
                <w:sz w:val="20"/>
              </w:rPr>
              <w:t xml:space="preserve">SCA + AKT TIP  </w:t>
            </w:r>
            <w:r>
              <w:rPr>
                <w:rFonts w:ascii="Aptos" w:eastAsia="Aptos" w:hAnsi="Aptos" w:cs="Aptos"/>
                <w:i/>
                <w:color w:val="1A1A2E"/>
                <w:sz w:val="20"/>
              </w:rPr>
              <w:t xml:space="preserve">Normalise the sexual history: "I </w:t>
            </w:r>
            <w:r>
              <w:rPr>
                <w:rFonts w:ascii="Aptos" w:eastAsia="Aptos" w:hAnsi="Aptos" w:cs="Aptos"/>
                <w:i/>
                <w:color w:val="1A1A2E"/>
                <w:sz w:val="20"/>
              </w:rPr>
              <w:t>ask everyone these questions as part of a routine check." Use gender-neutral language until you know who the patient is attracted to. AKT loves to test primary HPV testing pathways — know what "HPV positive / cytology negative" means!</w:t>
            </w:r>
          </w:p>
        </w:tc>
      </w:tr>
    </w:tbl>
    <w:p w:rsidR="00452E51" w:rsidRDefault="00452E5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61"/>
      </w:tblGrid>
      <w:tr w:rsidR="00452E51">
        <w:trPr>
          <w:jc w:val="center"/>
        </w:trPr>
        <w:tc>
          <w:tcPr>
            <w:tcW w:w="9461" w:type="dxa"/>
            <w:shd w:val="clear" w:color="auto" w:fill="E85D4A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 xml:space="preserve">  RED FLAGS — act urgently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Pelvic inflammatory disease (PID): pelvic pain + fever + cervical excitation — start antibiotics and refer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Suspected syphilis (painless genital ulcer) — urgent GUM referral; contact trace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HIV risk exposure — pos</w:t>
            </w:r>
            <w:r>
              <w:rPr>
                <w:rFonts w:ascii="Aptos" w:eastAsia="Aptos" w:hAnsi="Aptos" w:cs="Aptos"/>
                <w:color w:val="1A1A2E"/>
                <w:sz w:val="20"/>
              </w:rPr>
              <w:t>t-exposure prophylaxis (PEP) must be started within 72 hours</w:t>
            </w:r>
          </w:p>
        </w:tc>
      </w:tr>
    </w:tbl>
    <w:p w:rsidR="00452E51" w:rsidRDefault="00452E51"/>
    <w:p w:rsidR="00452E51" w:rsidRDefault="008C3A65">
      <w:pPr>
        <w:spacing w:before="120" w:after="40"/>
      </w:pPr>
      <w:r>
        <w:rPr>
          <w:rFonts w:ascii="Aptos" w:eastAsia="Aptos" w:hAnsi="Aptos" w:cs="Aptos"/>
          <w:b/>
          <w:color w:val="2E868E"/>
          <w:sz w:val="20"/>
        </w:rPr>
        <w:t xml:space="preserve">Supervisor Notes: </w:t>
      </w:r>
      <w:r>
        <w:rPr>
          <w:rFonts w:ascii="Aptos" w:eastAsia="Aptos" w:hAnsi="Aptos" w:cs="Aptos"/>
          <w:color w:val="55556E"/>
          <w:sz w:val="20"/>
        </w:rPr>
        <w:t>__________________________________________________________________________________________</w:t>
      </w:r>
      <w:r>
        <w:rPr>
          <w:rFonts w:ascii="Aptos" w:eastAsia="Aptos" w:hAnsi="Aptos" w:cs="Aptos"/>
          <w:color w:val="55556E"/>
          <w:sz w:val="20"/>
        </w:rPr>
        <w:br/>
      </w:r>
      <w:r>
        <w:rPr>
          <w:rFonts w:ascii="Aptos" w:eastAsia="Aptos" w:hAnsi="Aptos" w:cs="Aptos"/>
          <w:color w:val="55556E"/>
          <w:sz w:val="20"/>
        </w:rPr>
        <w:t>______________________________________________________________________________________________________________</w:t>
      </w:r>
    </w:p>
    <w:p w:rsidR="00452E51" w:rsidRDefault="008C3A65">
      <w:r>
        <w:br w:type="page"/>
      </w:r>
    </w:p>
    <w:p w:rsidR="00452E51" w:rsidRDefault="008C3A65">
      <w:pPr>
        <w:shd w:val="clear" w:color="auto" w:fill="2E868E"/>
        <w:spacing w:after="0"/>
      </w:pPr>
      <w:r>
        <w:rPr>
          <w:rFonts w:ascii="Aptos" w:eastAsia="Aptos" w:hAnsi="Aptos" w:cs="Aptos"/>
          <w:b/>
          <w:color w:val="F07D26"/>
          <w:sz w:val="26"/>
        </w:rPr>
        <w:lastRenderedPageBreak/>
        <w:t xml:space="preserve">  </w:t>
      </w:r>
      <w:r w:rsidRPr="00B82B81">
        <w:rPr>
          <w:rFonts w:ascii="Aptos" w:eastAsia="Aptos" w:hAnsi="Aptos" w:cs="Aptos"/>
          <w:b/>
          <w:color w:val="FFC000"/>
          <w:sz w:val="26"/>
        </w:rPr>
        <w:t xml:space="preserve">STATION 5   </w:t>
      </w:r>
      <w:r>
        <w:rPr>
          <w:rFonts w:ascii="Aptos" w:eastAsia="Aptos" w:hAnsi="Aptos" w:cs="Aptos"/>
          <w:b/>
          <w:color w:val="FFFFFF"/>
          <w:sz w:val="26"/>
        </w:rPr>
        <w:t>MENSTRUAL PROBLEMS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1"/>
      </w:tblGrid>
      <w:tr w:rsidR="00452E51">
        <w:trPr>
          <w:jc w:val="center"/>
        </w:trPr>
        <w:tc>
          <w:tcPr>
            <w:tcW w:w="9461" w:type="dxa"/>
            <w:tcBorders>
              <w:top w:val="single" w:sz="8" w:space="0" w:color="F5C518"/>
              <w:left w:val="single" w:sz="8" w:space="0" w:color="F5C518"/>
              <w:bottom w:val="single" w:sz="8" w:space="0" w:color="F5C518"/>
              <w:right w:val="single" w:sz="8" w:space="0" w:color="F5C518"/>
            </w:tcBorders>
            <w:shd w:val="clear" w:color="auto" w:fill="F5C518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1A1A2E"/>
              </w:rPr>
              <w:t xml:space="preserve">  Learning Aims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Distinguish dysfunctional uterine bleeding from potentially sinister causes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Manage common menstrual disorders — menorrhagia, irregular cycles, IMB/PCB — and know when to refer</w:t>
            </w:r>
          </w:p>
        </w:tc>
      </w:tr>
    </w:tbl>
    <w:p w:rsidR="00452E51" w:rsidRDefault="00452E51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1"/>
      </w:tblGrid>
      <w:tr w:rsidR="00452E51">
        <w:trPr>
          <w:jc w:val="center"/>
        </w:trPr>
        <w:tc>
          <w:tcPr>
            <w:tcW w:w="9461" w:type="dxa"/>
            <w:shd w:val="clear" w:color="auto" w:fill="2E868E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FFFFFF"/>
              </w:rPr>
              <w:t xml:space="preserve">  Station Content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Case scenarios: menorrhagia, amenorrhoea, post-coital bleeding, post-menopausal bleeding (PMB)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Algorithm exercise: fill-in-the-blanks management flowchart for menorrhagia (NICE NG88)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Handout: updated NICE menorrhagia guidelines and referral criteria</w:t>
            </w:r>
          </w:p>
        </w:tc>
      </w:tr>
    </w:tbl>
    <w:p w:rsidR="00452E51" w:rsidRDefault="00452E51"/>
    <w:p w:rsidR="00452E51" w:rsidRDefault="008C3A65">
      <w:pPr>
        <w:pBdr>
          <w:bottom w:val="single" w:sz="6" w:space="1" w:color="2EB4BE"/>
        </w:pBdr>
        <w:spacing w:before="160" w:after="40"/>
      </w:pPr>
      <w:r>
        <w:rPr>
          <w:rFonts w:ascii="Aptos" w:eastAsia="Aptos" w:hAnsi="Aptos" w:cs="Aptos"/>
          <w:b/>
          <w:color w:val="2E868E"/>
        </w:rPr>
        <w:t>Menstrual Patterns — Quick Definitions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3"/>
        <w:gridCol w:w="4722"/>
      </w:tblGrid>
      <w:tr w:rsidR="00452E51">
        <w:trPr>
          <w:jc w:val="center"/>
        </w:trPr>
        <w:tc>
          <w:tcPr>
            <w:tcW w:w="4730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Term</w:t>
            </w:r>
          </w:p>
        </w:tc>
        <w:tc>
          <w:tcPr>
            <w:tcW w:w="4730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Definition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Menorrhagia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 xml:space="preserve">Heavy regular </w:t>
            </w:r>
            <w:r>
              <w:rPr>
                <w:rFonts w:ascii="Aptos" w:eastAsia="Aptos" w:hAnsi="Aptos" w:cs="Aptos"/>
                <w:color w:val="1A1A2E"/>
                <w:sz w:val="19"/>
              </w:rPr>
              <w:t>periods — defined as &gt;80mL/cycle (use PBAC score in practice)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Dysmenorrhoea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Painful periods — primary (no pathology) vs secondary (e.g. endometriosis)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Amenorrhoea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No periods — primary (never menstruated) vs secondary (stopped for ≥3 months)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Oligomenorrhoea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Infrequent periods — cycle &gt; 35 days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IMB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Intermenstrual bleeding — bleeding between periods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PCB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Post-coital bleeding — bleeding after sex — always investigate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PMB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Post-menopausal bleeding — any bleeding &gt;12 months after last period — 2WW</w:t>
            </w:r>
          </w:p>
        </w:tc>
      </w:tr>
    </w:tbl>
    <w:p w:rsidR="00452E51" w:rsidRDefault="00452E51"/>
    <w:p w:rsidR="00452E51" w:rsidRDefault="008C3A65">
      <w:pPr>
        <w:pBdr>
          <w:bottom w:val="single" w:sz="6" w:space="1" w:color="2EB4BE"/>
        </w:pBdr>
        <w:spacing w:before="160" w:after="40"/>
      </w:pPr>
      <w:r>
        <w:rPr>
          <w:rFonts w:ascii="Aptos" w:eastAsia="Aptos" w:hAnsi="Aptos" w:cs="Aptos"/>
          <w:b/>
          <w:color w:val="2E868E"/>
        </w:rPr>
        <w:t>Management of Menorrhagia — NICE NG88 Pathway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41"/>
      </w:tblGrid>
      <w:tr w:rsidR="00452E51">
        <w:trPr>
          <w:jc w:val="center"/>
        </w:trPr>
        <w:tc>
          <w:tcPr>
            <w:tcW w:w="9461" w:type="dxa"/>
            <w:tcBorders>
              <w:top w:val="single" w:sz="8" w:space="0" w:color="2E868E"/>
              <w:left w:val="single" w:sz="8" w:space="0" w:color="2E868E"/>
              <w:bottom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144"/>
            </w:pPr>
            <w:r>
              <w:rPr>
                <w:rFonts w:ascii="Aptos" w:eastAsia="Aptos" w:hAnsi="Aptos" w:cs="Aptos"/>
                <w:b/>
                <w:color w:val="1A1A2E"/>
                <w:sz w:val="20"/>
              </w:rPr>
              <w:t>1.  EXCLUDE structural causes: examine (fibroids? polyps?); bloods: FBC, TSH, clotting; pelvic USS</w:t>
            </w:r>
          </w:p>
          <w:p w:rsidR="00452E51" w:rsidRDefault="008C3A65">
            <w:pPr>
              <w:spacing w:before="40" w:after="40"/>
              <w:ind w:left="144"/>
            </w:pPr>
            <w:r>
              <w:rPr>
                <w:rFonts w:ascii="Aptos" w:eastAsia="Aptos" w:hAnsi="Aptos" w:cs="Aptos"/>
                <w:b/>
                <w:color w:val="1A1A2E"/>
                <w:sz w:val="20"/>
              </w:rPr>
              <w:t>2.  If no structural cause found (dysfunctional uterine bleeding / HMB):</w:t>
            </w:r>
          </w:p>
          <w:p w:rsidR="00452E51" w:rsidRDefault="008C3A65">
            <w:pPr>
              <w:spacing w:before="40" w:after="40"/>
              <w:ind w:left="144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   First line:  Mirena IUS (most effective medical treatment; offer first)</w:t>
            </w:r>
          </w:p>
          <w:p w:rsidR="00452E51" w:rsidRDefault="008C3A65">
            <w:pPr>
              <w:spacing w:before="40" w:after="40"/>
              <w:ind w:left="144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   Alternatives: tranexamic acid 1g QDS (during period only); mefenamic acid 500mg TDS; combined OCP</w:t>
            </w:r>
          </w:p>
          <w:p w:rsidR="00452E51" w:rsidRDefault="008C3A65">
            <w:pPr>
              <w:spacing w:before="40" w:after="40"/>
              <w:ind w:left="144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   Second line:  norethisterone 5mg TDS days 5–26; or cyclical progestogen</w:t>
            </w:r>
            <w:r>
              <w:rPr>
                <w:rFonts w:ascii="Aptos" w:eastAsia="Aptos" w:hAnsi="Aptos" w:cs="Aptos"/>
                <w:color w:val="1A1A2E"/>
                <w:sz w:val="20"/>
              </w:rPr>
              <w:t>s</w:t>
            </w:r>
          </w:p>
          <w:p w:rsidR="00452E51" w:rsidRDefault="008C3A65">
            <w:pPr>
              <w:spacing w:before="40" w:after="40"/>
              <w:ind w:left="144"/>
            </w:pPr>
            <w:r>
              <w:rPr>
                <w:rFonts w:ascii="Aptos" w:eastAsia="Aptos" w:hAnsi="Aptos" w:cs="Aptos"/>
                <w:b/>
                <w:color w:val="1A1A2E"/>
                <w:sz w:val="20"/>
              </w:rPr>
              <w:t>3.  Refer to gynaecology if: treatment failure; structural cause found; fertility concerns; diagnostic uncertainty</w:t>
            </w:r>
          </w:p>
        </w:tc>
      </w:tr>
    </w:tbl>
    <w:p w:rsidR="00452E51" w:rsidRDefault="00452E51"/>
    <w:p w:rsidR="00452E51" w:rsidRDefault="008C3A65">
      <w:pPr>
        <w:pBdr>
          <w:bottom w:val="single" w:sz="6" w:space="1" w:color="2EB4BE"/>
        </w:pBdr>
        <w:spacing w:before="160" w:after="40"/>
      </w:pPr>
      <w:r>
        <w:rPr>
          <w:rFonts w:ascii="Aptos" w:eastAsia="Aptos" w:hAnsi="Aptos" w:cs="Aptos"/>
          <w:b/>
          <w:color w:val="2E868E"/>
        </w:rPr>
        <w:t>Red Flags by Symptom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9"/>
        <w:gridCol w:w="3148"/>
        <w:gridCol w:w="3148"/>
      </w:tblGrid>
      <w:tr w:rsidR="00452E51">
        <w:trPr>
          <w:jc w:val="center"/>
        </w:trPr>
        <w:tc>
          <w:tcPr>
            <w:tcW w:w="3154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Symptom</w:t>
            </w:r>
          </w:p>
        </w:tc>
        <w:tc>
          <w:tcPr>
            <w:tcW w:w="3154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Concern</w:t>
            </w:r>
          </w:p>
        </w:tc>
        <w:tc>
          <w:tcPr>
            <w:tcW w:w="3154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Action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PMB (post-menopausal bleeding)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Endometrial cancer until proven otherwise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 xml:space="preserve">2-week wait </w:t>
            </w:r>
            <w:r>
              <w:rPr>
                <w:rFonts w:ascii="Aptos" w:eastAsia="Aptos" w:hAnsi="Aptos" w:cs="Aptos"/>
                <w:color w:val="1A1A2E"/>
                <w:sz w:val="19"/>
              </w:rPr>
              <w:t>gynaecology referral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PCB (post-coital bleeding)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Cervical cancer / cervical pathology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2WW if aged ≥35; colposcopy / speculum exam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IMB + pelvic pain + discharge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PID, chlamydia, endometrial pathology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Swabs + pelvic USS + treat empirically if PID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 xml:space="preserve">Irregular </w:t>
            </w:r>
            <w:r>
              <w:rPr>
                <w:rFonts w:ascii="Aptos" w:eastAsia="Aptos" w:hAnsi="Aptos" w:cs="Aptos"/>
                <w:b/>
                <w:color w:val="1A1A2E"/>
                <w:sz w:val="19"/>
              </w:rPr>
              <w:t>heavy bleeding + weight gain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PCOS, thyroid disorder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TFTs, testosterone, LH/FSH ratio, pelvic USS</w:t>
            </w:r>
          </w:p>
        </w:tc>
      </w:tr>
    </w:tbl>
    <w:p w:rsidR="00452E51" w:rsidRDefault="00452E5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41"/>
      </w:tblGrid>
      <w:tr w:rsidR="00452E51">
        <w:trPr>
          <w:jc w:val="center"/>
        </w:trPr>
        <w:tc>
          <w:tcPr>
            <w:tcW w:w="9461" w:type="dxa"/>
            <w:tcBorders>
              <w:left w:val="single" w:sz="16" w:space="0" w:color="F07D26"/>
            </w:tcBorders>
            <w:shd w:val="clear" w:color="auto" w:fill="FFF0E0"/>
          </w:tcPr>
          <w:p w:rsidR="00452E51" w:rsidRDefault="008C3A65">
            <w:pPr>
              <w:spacing w:before="80" w:after="80"/>
              <w:ind w:left="144"/>
            </w:pPr>
            <w:r>
              <w:rPr>
                <w:rFonts w:ascii="Aptos" w:eastAsia="Aptos" w:hAnsi="Aptos" w:cs="Aptos"/>
                <w:b/>
                <w:color w:val="F07D26"/>
                <w:sz w:val="20"/>
              </w:rPr>
              <w:lastRenderedPageBreak/>
              <w:t xml:space="preserve">AKT + SCA TIP  </w:t>
            </w:r>
            <w:r>
              <w:rPr>
                <w:rFonts w:ascii="Aptos" w:eastAsia="Aptos" w:hAnsi="Aptos" w:cs="Aptos"/>
                <w:i/>
                <w:color w:val="1A1A2E"/>
                <w:sz w:val="20"/>
              </w:rPr>
              <w:t xml:space="preserve">The Mirena IUS is the NICE first-line recommendation for menorrhagia in women who don't want to conceive — not the combined pill. AKT loves </w:t>
            </w:r>
            <w:r>
              <w:rPr>
                <w:rFonts w:ascii="Aptos" w:eastAsia="Aptos" w:hAnsi="Aptos" w:cs="Aptos"/>
                <w:i/>
                <w:color w:val="1A1A2E"/>
                <w:sz w:val="20"/>
              </w:rPr>
              <w:t>this distinction. For SCA: "Some treatments work better for heavy periods than others. Can I tell you about a small device that fits inside the womb and cuts bleeding dramatically for most women?"</w:t>
            </w:r>
          </w:p>
        </w:tc>
      </w:tr>
    </w:tbl>
    <w:p w:rsidR="00452E51" w:rsidRDefault="00452E5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61"/>
      </w:tblGrid>
      <w:tr w:rsidR="00452E51">
        <w:trPr>
          <w:jc w:val="center"/>
        </w:trPr>
        <w:tc>
          <w:tcPr>
            <w:tcW w:w="9461" w:type="dxa"/>
            <w:shd w:val="clear" w:color="auto" w:fill="E85D4A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 xml:space="preserve">  RED FLAGS — act urgently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Post-menopausal bleeding — 2WW referral; always, no exceptions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Post-coital bleeding ≥35 years — 2WW; younger: colposcopy or speculum + swabs urgently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Rapidly enlarging uterus / pelvic mass — urgent USS + gynaecology referral</w:t>
            </w:r>
          </w:p>
        </w:tc>
      </w:tr>
    </w:tbl>
    <w:p w:rsidR="00452E51" w:rsidRDefault="00452E51"/>
    <w:p w:rsidR="00452E51" w:rsidRDefault="008C3A65">
      <w:pPr>
        <w:spacing w:before="120" w:after="40"/>
      </w:pPr>
      <w:r>
        <w:rPr>
          <w:rFonts w:ascii="Aptos" w:eastAsia="Aptos" w:hAnsi="Aptos" w:cs="Aptos"/>
          <w:b/>
          <w:color w:val="2E868E"/>
          <w:sz w:val="20"/>
        </w:rPr>
        <w:t>Supervisor N</w:t>
      </w:r>
      <w:r>
        <w:rPr>
          <w:rFonts w:ascii="Aptos" w:eastAsia="Aptos" w:hAnsi="Aptos" w:cs="Aptos"/>
          <w:b/>
          <w:color w:val="2E868E"/>
          <w:sz w:val="20"/>
        </w:rPr>
        <w:t xml:space="preserve">otes: </w:t>
      </w:r>
      <w:r>
        <w:rPr>
          <w:rFonts w:ascii="Aptos" w:eastAsia="Aptos" w:hAnsi="Aptos" w:cs="Aptos"/>
          <w:color w:val="55556E"/>
          <w:sz w:val="20"/>
        </w:rPr>
        <w:t>__________________________________________________________________________________________</w:t>
      </w:r>
      <w:r>
        <w:rPr>
          <w:rFonts w:ascii="Aptos" w:eastAsia="Aptos" w:hAnsi="Aptos" w:cs="Aptos"/>
          <w:color w:val="55556E"/>
          <w:sz w:val="20"/>
        </w:rPr>
        <w:br/>
        <w:t>______________________________________________________________________________________________________________</w:t>
      </w:r>
    </w:p>
    <w:p w:rsidR="00452E51" w:rsidRDefault="008C3A65">
      <w:r>
        <w:br w:type="page"/>
      </w:r>
    </w:p>
    <w:p w:rsidR="00452E51" w:rsidRDefault="008C3A65">
      <w:pPr>
        <w:shd w:val="clear" w:color="auto" w:fill="2E868E"/>
        <w:spacing w:after="0"/>
      </w:pPr>
      <w:r>
        <w:rPr>
          <w:rFonts w:ascii="Aptos" w:eastAsia="Aptos" w:hAnsi="Aptos" w:cs="Aptos"/>
          <w:b/>
          <w:color w:val="F07D26"/>
          <w:sz w:val="26"/>
        </w:rPr>
        <w:lastRenderedPageBreak/>
        <w:t xml:space="preserve">  </w:t>
      </w:r>
      <w:bookmarkStart w:id="0" w:name="_GoBack"/>
      <w:r w:rsidRPr="00B82B81">
        <w:rPr>
          <w:rFonts w:ascii="Aptos" w:eastAsia="Aptos" w:hAnsi="Aptos" w:cs="Aptos"/>
          <w:b/>
          <w:color w:val="FFC000"/>
          <w:sz w:val="26"/>
        </w:rPr>
        <w:t xml:space="preserve">STATION 6   </w:t>
      </w:r>
      <w:bookmarkEnd w:id="0"/>
      <w:r>
        <w:rPr>
          <w:rFonts w:ascii="Aptos" w:eastAsia="Aptos" w:hAnsi="Aptos" w:cs="Aptos"/>
          <w:b/>
          <w:color w:val="FFFFFF"/>
          <w:sz w:val="26"/>
        </w:rPr>
        <w:t>MENOPAUSE &amp; HRT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1"/>
      </w:tblGrid>
      <w:tr w:rsidR="00452E51">
        <w:trPr>
          <w:jc w:val="center"/>
        </w:trPr>
        <w:tc>
          <w:tcPr>
            <w:tcW w:w="9461" w:type="dxa"/>
            <w:tcBorders>
              <w:top w:val="single" w:sz="8" w:space="0" w:color="F5C518"/>
              <w:left w:val="single" w:sz="8" w:space="0" w:color="F5C518"/>
              <w:bottom w:val="single" w:sz="8" w:space="0" w:color="F5C518"/>
              <w:right w:val="single" w:sz="8" w:space="0" w:color="F5C518"/>
            </w:tcBorders>
            <w:shd w:val="clear" w:color="auto" w:fill="F5C518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1A1A2E"/>
              </w:rPr>
              <w:t xml:space="preserve">  Learning Aims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Recognise the symptoms and signs of perimenopause and menopause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Discuss contraception safely in the perimenopausal woman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top w:val="none" w:sz="8" w:space="0" w:color="F5C518"/>
              <w:left w:val="single" w:sz="8" w:space="0" w:color="F5C518"/>
              <w:bottom w:val="none" w:sz="8" w:space="0" w:color="F5C518"/>
              <w:right w:val="single" w:sz="8" w:space="0" w:color="F5C518"/>
            </w:tcBorders>
            <w:shd w:val="clear" w:color="auto" w:fill="FFFBE6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Understand HRT: types (oestrogen-only vs combined; oral vs patch vs gel vs spray), benefits, risks, and contraindicat</w:t>
            </w:r>
            <w:r>
              <w:rPr>
                <w:rFonts w:ascii="Aptos" w:eastAsia="Aptos" w:hAnsi="Aptos" w:cs="Aptos"/>
                <w:color w:val="1A1A2E"/>
                <w:sz w:val="21"/>
              </w:rPr>
              <w:t>ions</w:t>
            </w:r>
          </w:p>
        </w:tc>
      </w:tr>
    </w:tbl>
    <w:p w:rsidR="00452E51" w:rsidRDefault="00452E51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1"/>
      </w:tblGrid>
      <w:tr w:rsidR="00452E51">
        <w:trPr>
          <w:jc w:val="center"/>
        </w:trPr>
        <w:tc>
          <w:tcPr>
            <w:tcW w:w="9461" w:type="dxa"/>
            <w:shd w:val="clear" w:color="auto" w:fill="2E868E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FFFFFF"/>
              </w:rPr>
              <w:t xml:space="preserve">  Station Content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Consultation role-play: menopausal woman weighing up HRT options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Q&amp;A session using NICE CKS Menopause 2023 as reference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2E868E"/>
              <w:right w:val="single" w:sz="8" w:space="0" w:color="2E868E"/>
            </w:tcBorders>
            <w:shd w:val="clear" w:color="auto" w:fill="E0F4F5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1"/>
              </w:rPr>
              <w:t xml:space="preserve">  •  Handout: HRT benefits/risks overview; NICE CKS summary; absolute risk tables for breast cancer; non-HRT alternatives</w:t>
            </w:r>
          </w:p>
        </w:tc>
      </w:tr>
    </w:tbl>
    <w:p w:rsidR="00452E51" w:rsidRDefault="00452E51"/>
    <w:p w:rsidR="00452E51" w:rsidRDefault="008C3A65">
      <w:pPr>
        <w:pBdr>
          <w:bottom w:val="single" w:sz="6" w:space="1" w:color="2EB4BE"/>
        </w:pBdr>
        <w:spacing w:before="160" w:after="40"/>
      </w:pPr>
      <w:r>
        <w:rPr>
          <w:rFonts w:ascii="Aptos" w:eastAsia="Aptos" w:hAnsi="Aptos" w:cs="Aptos"/>
          <w:b/>
          <w:color w:val="2E868E"/>
        </w:rPr>
        <w:t>Symptoms of Perimenopause and Menopause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2"/>
        <w:gridCol w:w="4723"/>
      </w:tblGrid>
      <w:tr w:rsidR="00452E51">
        <w:trPr>
          <w:jc w:val="center"/>
        </w:trPr>
        <w:tc>
          <w:tcPr>
            <w:tcW w:w="4730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Vasomotor / Physical</w:t>
            </w:r>
          </w:p>
        </w:tc>
        <w:tc>
          <w:tcPr>
            <w:tcW w:w="4730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Psychological / Cognitive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Hot flushes and night sweats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 xml:space="preserve">Low mood, </w:t>
            </w:r>
            <w:r>
              <w:rPr>
                <w:rFonts w:ascii="Aptos" w:eastAsia="Aptos" w:hAnsi="Aptos" w:cs="Aptos"/>
                <w:color w:val="1A1A2E"/>
                <w:sz w:val="19"/>
              </w:rPr>
              <w:t>anxiety, irritability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Irregular periods (peri) / no periods (meno)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Brain fog, poor concentration and memory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Vaginal dryness, pain with sex (GSM)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Loss of libido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Urinary urgency, recurrent UTIs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Sleep disturbance and fatigue</w:t>
            </w:r>
          </w:p>
        </w:tc>
      </w:tr>
      <w:tr w:rsidR="00452E51">
        <w:trPr>
          <w:jc w:val="center"/>
        </w:trPr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 xml:space="preserve">Joint aches, palpitations, </w:t>
            </w:r>
            <w:r>
              <w:rPr>
                <w:rFonts w:ascii="Aptos" w:eastAsia="Aptos" w:hAnsi="Aptos" w:cs="Aptos"/>
                <w:b/>
                <w:color w:val="1A1A2E"/>
                <w:sz w:val="19"/>
              </w:rPr>
              <w:t>headaches</w:t>
            </w:r>
          </w:p>
        </w:tc>
        <w:tc>
          <w:tcPr>
            <w:tcW w:w="4730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Loss of confidence and motivation</w:t>
            </w:r>
          </w:p>
        </w:tc>
      </w:tr>
    </w:tbl>
    <w:p w:rsidR="00452E51" w:rsidRDefault="00452E51"/>
    <w:p w:rsidR="00452E51" w:rsidRDefault="008C3A65">
      <w:pPr>
        <w:pBdr>
          <w:bottom w:val="single" w:sz="6" w:space="1" w:color="2EB4BE"/>
        </w:pBdr>
        <w:spacing w:before="160" w:after="40"/>
      </w:pPr>
      <w:r>
        <w:rPr>
          <w:rFonts w:ascii="Aptos" w:eastAsia="Aptos" w:hAnsi="Aptos" w:cs="Aptos"/>
          <w:b/>
          <w:color w:val="2E868E"/>
        </w:rPr>
        <w:t>HRT Options — What to Offer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2"/>
        <w:gridCol w:w="2362"/>
        <w:gridCol w:w="2360"/>
        <w:gridCol w:w="2361"/>
      </w:tblGrid>
      <w:tr w:rsidR="00452E51">
        <w:trPr>
          <w:jc w:val="center"/>
        </w:trPr>
        <w:tc>
          <w:tcPr>
            <w:tcW w:w="2365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Type</w:t>
            </w:r>
          </w:p>
        </w:tc>
        <w:tc>
          <w:tcPr>
            <w:tcW w:w="2365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Who For?</w:t>
            </w:r>
          </w:p>
        </w:tc>
        <w:tc>
          <w:tcPr>
            <w:tcW w:w="2365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Route Options</w:t>
            </w:r>
          </w:p>
        </w:tc>
        <w:tc>
          <w:tcPr>
            <w:tcW w:w="2365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Key Points</w:t>
            </w:r>
          </w:p>
        </w:tc>
      </w:tr>
      <w:tr w:rsidR="00452E51">
        <w:trPr>
          <w:jc w:val="center"/>
        </w:trPr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Oestrogen-only HRT</w:t>
            </w:r>
          </w:p>
        </w:tc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Women post-hysterectomy (no uterus)</w:t>
            </w:r>
          </w:p>
        </w:tc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Oral / patch / gel / spray</w:t>
            </w:r>
          </w:p>
        </w:tc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No breast cancer risk increase at standard doses</w:t>
            </w:r>
          </w:p>
        </w:tc>
      </w:tr>
      <w:tr w:rsidR="00452E51">
        <w:trPr>
          <w:jc w:val="center"/>
        </w:trPr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 xml:space="preserve">Combined </w:t>
            </w:r>
            <w:r>
              <w:rPr>
                <w:rFonts w:ascii="Aptos" w:eastAsia="Aptos" w:hAnsi="Aptos" w:cs="Aptos"/>
                <w:b/>
                <w:color w:val="1A1A2E"/>
                <w:sz w:val="19"/>
              </w:rPr>
              <w:t>HRT (oestrogen + progestogen)</w:t>
            </w:r>
          </w:p>
        </w:tc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Women with intact uterus</w:t>
            </w:r>
          </w:p>
        </w:tc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Oral / patch + separate or combined patch</w:t>
            </w:r>
          </w:p>
        </w:tc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Progestogen protects endometrium; use body-identical progesterone (Utrogestan) where possible</w:t>
            </w:r>
          </w:p>
        </w:tc>
      </w:tr>
      <w:tr w:rsidR="00452E51">
        <w:trPr>
          <w:jc w:val="center"/>
        </w:trPr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Cyclical combined HRT</w:t>
            </w:r>
          </w:p>
        </w:tc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Perimenopausal (still having periods)</w:t>
            </w:r>
          </w:p>
        </w:tc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Oral</w:t>
            </w:r>
            <w:r>
              <w:rPr>
                <w:rFonts w:ascii="Aptos" w:eastAsia="Aptos" w:hAnsi="Aptos" w:cs="Aptos"/>
                <w:color w:val="1A1A2E"/>
                <w:sz w:val="19"/>
              </w:rPr>
              <w:t xml:space="preserve"> or patch</w:t>
            </w:r>
          </w:p>
        </w:tc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Monthly withdrawal bleed; switch to continuous when 1 yr post-menopause</w:t>
            </w:r>
          </w:p>
        </w:tc>
      </w:tr>
      <w:tr w:rsidR="00452E51">
        <w:trPr>
          <w:jc w:val="center"/>
        </w:trPr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Continuous combined HRT</w:t>
            </w:r>
          </w:p>
        </w:tc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Postmenopausal (&gt;12m after last period)</w:t>
            </w:r>
          </w:p>
        </w:tc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Oral or patch</w:t>
            </w:r>
          </w:p>
        </w:tc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No bleed; breakthrough bleeding in first 3–6 months is common</w:t>
            </w:r>
          </w:p>
        </w:tc>
      </w:tr>
      <w:tr w:rsidR="00452E51">
        <w:trPr>
          <w:jc w:val="center"/>
        </w:trPr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Local oestrogen (vaginal)</w:t>
            </w:r>
          </w:p>
        </w:tc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 xml:space="preserve">GSM </w:t>
            </w:r>
            <w:r>
              <w:rPr>
                <w:rFonts w:ascii="Aptos" w:eastAsia="Aptos" w:hAnsi="Aptos" w:cs="Aptos"/>
                <w:color w:val="1A1A2E"/>
                <w:sz w:val="19"/>
              </w:rPr>
              <w:t>(dryness, pain, UTIs) — any woman</w:t>
            </w:r>
          </w:p>
        </w:tc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Cream / pessary / ring</w:t>
            </w:r>
          </w:p>
        </w:tc>
        <w:tc>
          <w:tcPr>
            <w:tcW w:w="2365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Safe even in women who can't use systemic HRT; no systemic absorption</w:t>
            </w:r>
          </w:p>
        </w:tc>
      </w:tr>
    </w:tbl>
    <w:p w:rsidR="00452E51" w:rsidRDefault="00452E51"/>
    <w:p w:rsidR="00452E51" w:rsidRDefault="008C3A65">
      <w:pPr>
        <w:pBdr>
          <w:bottom w:val="single" w:sz="6" w:space="1" w:color="2EB4BE"/>
        </w:pBdr>
        <w:spacing w:before="160" w:after="40"/>
      </w:pPr>
      <w:r>
        <w:rPr>
          <w:rFonts w:ascii="Aptos" w:eastAsia="Aptos" w:hAnsi="Aptos" w:cs="Aptos"/>
          <w:b/>
          <w:color w:val="2E868E"/>
        </w:rPr>
        <w:t>HRT Benefits vs Risks — Absolute Risk in Context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9"/>
        <w:gridCol w:w="3148"/>
        <w:gridCol w:w="3148"/>
      </w:tblGrid>
      <w:tr w:rsidR="00452E51">
        <w:trPr>
          <w:jc w:val="center"/>
        </w:trPr>
        <w:tc>
          <w:tcPr>
            <w:tcW w:w="3154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452E51">
            <w:pPr>
              <w:spacing w:before="60" w:after="60"/>
              <w:jc w:val="center"/>
            </w:pPr>
          </w:p>
        </w:tc>
        <w:tc>
          <w:tcPr>
            <w:tcW w:w="3154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Benefits</w:t>
            </w:r>
          </w:p>
        </w:tc>
        <w:tc>
          <w:tcPr>
            <w:tcW w:w="3154" w:type="dxa"/>
            <w:tcBorders>
              <w:top w:val="single" w:sz="6" w:space="0" w:color="2E868E"/>
              <w:left w:val="single" w:sz="6" w:space="0" w:color="2E868E"/>
              <w:bottom w:val="single" w:sz="6" w:space="0" w:color="2E868E"/>
              <w:right w:val="single" w:sz="6" w:space="0" w:color="2E868E"/>
            </w:tcBorders>
            <w:shd w:val="clear" w:color="auto" w:fill="2E868E"/>
          </w:tcPr>
          <w:p w:rsidR="00452E51" w:rsidRDefault="008C3A65">
            <w:pPr>
              <w:spacing w:before="60" w:after="60"/>
              <w:jc w:val="center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>Risks (at standard doses)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Breast cancer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—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 xml:space="preserve">Combined HRT: approx 5 </w:t>
            </w:r>
            <w:r>
              <w:rPr>
                <w:rFonts w:ascii="Aptos" w:eastAsia="Aptos" w:hAnsi="Aptos" w:cs="Aptos"/>
                <w:color w:val="1A1A2E"/>
                <w:sz w:val="19"/>
              </w:rPr>
              <w:t>extra cases per 1,000 women over 5 years (similar to drinking 1–2 units alcohol/day or BMI &gt;30)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Bone health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Significantly reduces fracture risk (osteoporosis prevention)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—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lastRenderedPageBreak/>
              <w:t>Cardiovascular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Initiated &lt;60 or &lt;10 yrs post-menopause: may reduce CV disease risk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Started late: possible increased risk — "window of opportunity" concept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Endometrial cancer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No increased risk with adequate progestogen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FFFFF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Oestrogen alone (with uterus in situ) — increased risk; always add progestogen</w:t>
            </w:r>
          </w:p>
        </w:tc>
      </w:tr>
      <w:tr w:rsidR="00452E51">
        <w:trPr>
          <w:jc w:val="center"/>
        </w:trPr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b/>
                <w:color w:val="1A1A2E"/>
                <w:sz w:val="19"/>
              </w:rPr>
              <w:t>VTE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>—</w:t>
            </w:r>
          </w:p>
        </w:tc>
        <w:tc>
          <w:tcPr>
            <w:tcW w:w="3154" w:type="dxa"/>
            <w:tcBorders>
              <w:top w:val="single" w:sz="4" w:space="0" w:color="A8D8DC"/>
              <w:left w:val="single" w:sz="4" w:space="0" w:color="A8D8DC"/>
              <w:bottom w:val="single" w:sz="4" w:space="0" w:color="A8D8DC"/>
              <w:right w:val="single" w:sz="4" w:space="0" w:color="A8D8DC"/>
            </w:tcBorders>
            <w:shd w:val="clear" w:color="auto" w:fill="F4FBFC"/>
          </w:tcPr>
          <w:p w:rsidR="00452E51" w:rsidRDefault="008C3A65">
            <w:pPr>
              <w:spacing w:before="40" w:after="40"/>
            </w:pPr>
            <w:r>
              <w:rPr>
                <w:rFonts w:ascii="Aptos" w:eastAsia="Aptos" w:hAnsi="Aptos" w:cs="Aptos"/>
                <w:color w:val="1A1A2E"/>
                <w:sz w:val="19"/>
              </w:rPr>
              <w:t xml:space="preserve">Oral HRT: slightly increased VTE </w:t>
            </w:r>
            <w:r>
              <w:rPr>
                <w:rFonts w:ascii="Aptos" w:eastAsia="Aptos" w:hAnsi="Aptos" w:cs="Aptos"/>
                <w:color w:val="1A1A2E"/>
                <w:sz w:val="19"/>
              </w:rPr>
              <w:t>risk; transdermal (patch/gel) carries no increased VTE risk</w:t>
            </w:r>
          </w:p>
        </w:tc>
      </w:tr>
    </w:tbl>
    <w:p w:rsidR="00452E51" w:rsidRDefault="00452E5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41"/>
      </w:tblGrid>
      <w:tr w:rsidR="00452E51">
        <w:trPr>
          <w:jc w:val="center"/>
        </w:trPr>
        <w:tc>
          <w:tcPr>
            <w:tcW w:w="9461" w:type="dxa"/>
            <w:tcBorders>
              <w:left w:val="single" w:sz="16" w:space="0" w:color="F07D26"/>
            </w:tcBorders>
            <w:shd w:val="clear" w:color="auto" w:fill="FFF0E0"/>
          </w:tcPr>
          <w:p w:rsidR="00452E51" w:rsidRDefault="008C3A65">
            <w:pPr>
              <w:spacing w:before="80" w:after="80"/>
              <w:ind w:left="144"/>
            </w:pPr>
            <w:r>
              <w:rPr>
                <w:rFonts w:ascii="Aptos" w:eastAsia="Aptos" w:hAnsi="Aptos" w:cs="Aptos"/>
                <w:b/>
                <w:color w:val="F07D26"/>
                <w:sz w:val="20"/>
              </w:rPr>
              <w:t xml:space="preserve">SCA + AKT </w:t>
            </w:r>
            <w:proofErr w:type="gramStart"/>
            <w:r>
              <w:rPr>
                <w:rFonts w:ascii="Aptos" w:eastAsia="Aptos" w:hAnsi="Aptos" w:cs="Aptos"/>
                <w:b/>
                <w:color w:val="F07D26"/>
                <w:sz w:val="20"/>
              </w:rPr>
              <w:t xml:space="preserve">TIP  </w:t>
            </w:r>
            <w:r>
              <w:rPr>
                <w:rFonts w:ascii="Aptos" w:eastAsia="Aptos" w:hAnsi="Aptos" w:cs="Aptos"/>
                <w:i/>
                <w:color w:val="1A1A2E"/>
                <w:sz w:val="20"/>
              </w:rPr>
              <w:t>Key</w:t>
            </w:r>
            <w:proofErr w:type="gramEnd"/>
            <w:r>
              <w:rPr>
                <w:rFonts w:ascii="Aptos" w:eastAsia="Aptos" w:hAnsi="Aptos" w:cs="Aptos"/>
                <w:i/>
                <w:color w:val="1A1A2E"/>
                <w:sz w:val="20"/>
              </w:rPr>
              <w:t xml:space="preserve"> SCA phrase for HRT discussion: "For most healthy women under 60, the benefits of HRT outweigh the risks. Can I go through what that actually means in numbers for someone in </w:t>
            </w:r>
            <w:r>
              <w:rPr>
                <w:rFonts w:ascii="Aptos" w:eastAsia="Aptos" w:hAnsi="Aptos" w:cs="Aptos"/>
                <w:i/>
                <w:color w:val="1A1A2E"/>
                <w:sz w:val="20"/>
              </w:rPr>
              <w:t>your situation?" Transdermal HRT has no increased VTE risk — AKT classic. Mirena IUS can serve as the progestogen component of HRT — elegant and dual-purpose.</w:t>
            </w:r>
          </w:p>
        </w:tc>
      </w:tr>
    </w:tbl>
    <w:p w:rsidR="00452E51" w:rsidRDefault="00452E51"/>
    <w:p w:rsidR="00452E51" w:rsidRDefault="008C3A65">
      <w:pPr>
        <w:pBdr>
          <w:bottom w:val="single" w:sz="6" w:space="1" w:color="2EB4BE"/>
        </w:pBdr>
        <w:spacing w:before="160" w:after="40"/>
      </w:pPr>
      <w:r>
        <w:rPr>
          <w:rFonts w:ascii="Aptos" w:eastAsia="Aptos" w:hAnsi="Aptos" w:cs="Aptos"/>
          <w:b/>
          <w:color w:val="2E868E"/>
        </w:rPr>
        <w:t>Contraception in the Perimenopausal Woman</w:t>
      </w:r>
    </w:p>
    <w:p w:rsidR="00452E51" w:rsidRDefault="008C3A65">
      <w:pPr>
        <w:pStyle w:val="ListBullet"/>
        <w:spacing w:before="20" w:after="20"/>
        <w:ind w:left="288"/>
      </w:pPr>
      <w:r>
        <w:rPr>
          <w:rFonts w:ascii="Aptos" w:eastAsia="Aptos" w:hAnsi="Aptos" w:cs="Aptos"/>
          <w:color w:val="1A1A2E"/>
          <w:sz w:val="21"/>
        </w:rPr>
        <w:t>Women remain fertile until 1 year after last period (</w:t>
      </w:r>
      <w:r>
        <w:rPr>
          <w:rFonts w:ascii="Aptos" w:eastAsia="Aptos" w:hAnsi="Aptos" w:cs="Aptos"/>
          <w:color w:val="1A1A2E"/>
          <w:sz w:val="21"/>
        </w:rPr>
        <w:t>if &gt;50) or 2 years (if &lt;50) — contraception is needed</w:t>
      </w:r>
    </w:p>
    <w:p w:rsidR="00452E51" w:rsidRDefault="008C3A65">
      <w:pPr>
        <w:pStyle w:val="ListBullet"/>
        <w:spacing w:before="20" w:after="20"/>
        <w:ind w:left="288"/>
      </w:pPr>
      <w:r>
        <w:rPr>
          <w:rFonts w:ascii="Aptos" w:eastAsia="Aptos" w:hAnsi="Aptos" w:cs="Aptos"/>
          <w:color w:val="1A1A2E"/>
          <w:sz w:val="21"/>
        </w:rPr>
        <w:t>Mirena IUS: excellent choice — provides progestogen for HRT AND contraception simultaneously</w:t>
      </w:r>
    </w:p>
    <w:p w:rsidR="00452E51" w:rsidRDefault="008C3A65">
      <w:pPr>
        <w:pStyle w:val="ListBullet"/>
        <w:spacing w:before="20" w:after="20"/>
        <w:ind w:left="288"/>
      </w:pPr>
      <w:r>
        <w:rPr>
          <w:rFonts w:ascii="Aptos" w:eastAsia="Aptos" w:hAnsi="Aptos" w:cs="Aptos"/>
          <w:color w:val="1A1A2E"/>
          <w:sz w:val="21"/>
        </w:rPr>
        <w:t>Combined pill: can mask menopause; UKMEC 3 after age 50; stop at 50 and switch</w:t>
      </w:r>
    </w:p>
    <w:p w:rsidR="00452E51" w:rsidRDefault="008C3A65">
      <w:pPr>
        <w:pStyle w:val="ListBullet"/>
        <w:spacing w:before="20" w:after="20"/>
        <w:ind w:left="288"/>
      </w:pPr>
      <w:r>
        <w:rPr>
          <w:rFonts w:ascii="Aptos" w:eastAsia="Aptos" w:hAnsi="Aptos" w:cs="Aptos"/>
          <w:color w:val="1A1A2E"/>
          <w:sz w:val="21"/>
        </w:rPr>
        <w:t xml:space="preserve">POP: safe in perimenopause; </w:t>
      </w:r>
      <w:r>
        <w:rPr>
          <w:rFonts w:ascii="Aptos" w:eastAsia="Aptos" w:hAnsi="Aptos" w:cs="Aptos"/>
          <w:color w:val="1A1A2E"/>
          <w:sz w:val="21"/>
        </w:rPr>
        <w:t>but does not contain oestrogen for HRT benefit</w:t>
      </w:r>
    </w:p>
    <w:p w:rsidR="00452E51" w:rsidRDefault="008C3A65">
      <w:pPr>
        <w:pStyle w:val="ListBullet"/>
        <w:spacing w:before="20" w:after="20"/>
        <w:ind w:left="288"/>
      </w:pPr>
      <w:r>
        <w:rPr>
          <w:rFonts w:ascii="Aptos" w:eastAsia="Aptos" w:hAnsi="Aptos" w:cs="Aptos"/>
          <w:color w:val="1A1A2E"/>
          <w:sz w:val="21"/>
        </w:rPr>
        <w:t>Barrier methods: always safe; efficacy falls with less frequent sex</w:t>
      </w:r>
    </w:p>
    <w:p w:rsidR="00452E51" w:rsidRDefault="008C3A65">
      <w:pPr>
        <w:pStyle w:val="ListBullet"/>
        <w:spacing w:before="20" w:after="20"/>
        <w:ind w:left="288"/>
      </w:pPr>
      <w:r>
        <w:rPr>
          <w:rFonts w:ascii="Aptos" w:eastAsia="Aptos" w:hAnsi="Aptos" w:cs="Aptos"/>
          <w:color w:val="1A1A2E"/>
          <w:sz w:val="21"/>
        </w:rPr>
        <w:t>FSH testing: only reliable if woman not on hormonal contraception; FSH &gt;30 IU/L on two occasions 6 weeks apart = menopausal</w:t>
      </w:r>
    </w:p>
    <w:p w:rsidR="00452E51" w:rsidRDefault="00452E5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61"/>
      </w:tblGrid>
      <w:tr w:rsidR="00452E51">
        <w:trPr>
          <w:jc w:val="center"/>
        </w:trPr>
        <w:tc>
          <w:tcPr>
            <w:tcW w:w="9461" w:type="dxa"/>
            <w:shd w:val="clear" w:color="auto" w:fill="E85D4A"/>
          </w:tcPr>
          <w:p w:rsidR="00452E51" w:rsidRDefault="008C3A65">
            <w:pPr>
              <w:spacing w:before="60" w:after="60"/>
            </w:pPr>
            <w:r>
              <w:rPr>
                <w:rFonts w:ascii="Aptos" w:eastAsia="Aptos" w:hAnsi="Aptos" w:cs="Aptos"/>
                <w:b/>
                <w:color w:val="FFFFFF"/>
                <w:sz w:val="20"/>
              </w:rPr>
              <w:t xml:space="preserve">  RED FLAGS — ac</w:t>
            </w:r>
            <w:r>
              <w:rPr>
                <w:rFonts w:ascii="Aptos" w:eastAsia="Aptos" w:hAnsi="Aptos" w:cs="Aptos"/>
                <w:b/>
                <w:color w:val="FFFFFF"/>
                <w:sz w:val="20"/>
              </w:rPr>
              <w:t>t urgently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PMB in a woman who thought she was menopausal — 2WW endometrial cancer referral (always)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Unscheduled bleeding on continuous HRT after 6 months — investigate (hysteroscopy / USS)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New breast lump in a woman on HRT — urgent 2WW breast referral; do not delay</w:t>
            </w:r>
          </w:p>
        </w:tc>
      </w:tr>
      <w:tr w:rsidR="00452E51">
        <w:trPr>
          <w:jc w:val="center"/>
        </w:trPr>
        <w:tc>
          <w:tcPr>
            <w:tcW w:w="9461" w:type="dxa"/>
            <w:tcBorders>
              <w:left w:val="single" w:sz="8" w:space="0" w:color="E85D4A"/>
              <w:right w:val="single" w:sz="8" w:space="0" w:color="E85D4A"/>
            </w:tcBorders>
            <w:shd w:val="clear" w:color="auto" w:fill="FFECEB"/>
          </w:tcPr>
          <w:p w:rsidR="00452E51" w:rsidRDefault="008C3A65">
            <w:pPr>
              <w:spacing w:before="40" w:after="40"/>
              <w:ind w:left="216"/>
            </w:pPr>
            <w:r>
              <w:rPr>
                <w:rFonts w:ascii="Aptos" w:eastAsia="Aptos" w:hAnsi="Aptos" w:cs="Aptos"/>
                <w:color w:val="1A1A2E"/>
                <w:sz w:val="20"/>
              </w:rPr>
              <w:t xml:space="preserve">  ⚠  VTE symptoms in a woman on oral HRT — urgent assessment; consider switching to transdermal</w:t>
            </w:r>
          </w:p>
        </w:tc>
      </w:tr>
    </w:tbl>
    <w:p w:rsidR="00452E51" w:rsidRDefault="00452E51"/>
    <w:p w:rsidR="00452E51" w:rsidRDefault="008C3A65">
      <w:pPr>
        <w:spacing w:before="120" w:after="40"/>
      </w:pPr>
      <w:r>
        <w:rPr>
          <w:rFonts w:ascii="Aptos" w:eastAsia="Aptos" w:hAnsi="Aptos" w:cs="Aptos"/>
          <w:b/>
          <w:color w:val="2E868E"/>
          <w:sz w:val="20"/>
        </w:rPr>
        <w:t xml:space="preserve">Supervisor Notes: </w:t>
      </w:r>
      <w:r>
        <w:rPr>
          <w:rFonts w:ascii="Aptos" w:eastAsia="Aptos" w:hAnsi="Aptos" w:cs="Aptos"/>
          <w:color w:val="55556E"/>
          <w:sz w:val="20"/>
        </w:rPr>
        <w:t>__________________________________________________________________________________________</w:t>
      </w:r>
      <w:r>
        <w:rPr>
          <w:rFonts w:ascii="Aptos" w:eastAsia="Aptos" w:hAnsi="Aptos" w:cs="Aptos"/>
          <w:color w:val="55556E"/>
          <w:sz w:val="20"/>
        </w:rPr>
        <w:br/>
        <w:t>______________________________________________________________________________________________________________</w:t>
      </w:r>
    </w:p>
    <w:sectPr w:rsidR="00452E51" w:rsidSect="00034616">
      <w:headerReference w:type="default" r:id="rId9"/>
      <w:footerReference w:type="default" r:id="rId10"/>
      <w:pgSz w:w="11909" w:h="16834"/>
      <w:pgMar w:top="864" w:right="1224" w:bottom="1152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A65" w:rsidRDefault="008C3A65">
      <w:pPr>
        <w:spacing w:after="0" w:line="240" w:lineRule="auto"/>
      </w:pPr>
      <w:r>
        <w:separator/>
      </w:r>
    </w:p>
  </w:endnote>
  <w:endnote w:type="continuationSeparator" w:id="0">
    <w:p w:rsidR="008C3A65" w:rsidRDefault="008C3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E51" w:rsidRDefault="008C3A65">
    <w:pPr>
      <w:pStyle w:val="Footer"/>
      <w:pBdr>
        <w:top w:val="single" w:sz="4" w:space="1" w:color="2E868E"/>
      </w:pBdr>
      <w:jc w:val="center"/>
    </w:pPr>
    <w:r>
      <w:rPr>
        <w:rFonts w:ascii="Aptos" w:eastAsia="Aptos" w:hAnsi="Aptos" w:cs="Aptos"/>
        <w:i/>
        <w:color w:val="55556E"/>
        <w:sz w:val="16"/>
      </w:rPr>
      <w:t>A free resource provided by www.bradfordvts.co.uk, Dr Ramesh Mehay, May 2024,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A65" w:rsidRDefault="008C3A65">
      <w:pPr>
        <w:spacing w:after="0" w:line="240" w:lineRule="auto"/>
      </w:pPr>
      <w:r>
        <w:separator/>
      </w:r>
    </w:p>
  </w:footnote>
  <w:footnote w:type="continuationSeparator" w:id="0">
    <w:p w:rsidR="008C3A65" w:rsidRDefault="008C3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E51" w:rsidRDefault="008C3A65">
    <w:pPr>
      <w:pStyle w:val="Header"/>
      <w:pBdr>
        <w:bottom w:val="single" w:sz="4" w:space="1" w:color="2E868E"/>
      </w:pBdr>
      <w:jc w:val="right"/>
    </w:pPr>
    <w:r>
      <w:rPr>
        <w:rFonts w:ascii="Aptos" w:eastAsia="Aptos" w:hAnsi="Aptos" w:cs="Aptos"/>
        <w:color w:val="55556E"/>
        <w:sz w:val="16"/>
      </w:rPr>
      <w:t>BRADFORD VTS  |  Women's Health OSCE Day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E4846"/>
    <w:rsid w:val="0015074B"/>
    <w:rsid w:val="0029639D"/>
    <w:rsid w:val="00326F90"/>
    <w:rsid w:val="00452E51"/>
    <w:rsid w:val="008C3A65"/>
    <w:rsid w:val="00AA1D8D"/>
    <w:rsid w:val="00B47730"/>
    <w:rsid w:val="00B82B8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4A4F3D"/>
  <w14:defaultImageDpi w14:val="300"/>
  <w15:docId w15:val="{0852104D-BFB5-4373-B995-0A9B2BA3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51BE7A-531A-4E94-A1A0-D34571C59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2672</Words>
  <Characters>15232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Mehay Ramesh</cp:lastModifiedBy>
  <cp:revision>4</cp:revision>
  <dcterms:created xsi:type="dcterms:W3CDTF">2026-05-05T09:44:00Z</dcterms:created>
  <dcterms:modified xsi:type="dcterms:W3CDTF">2026-05-05T09:46:00Z</dcterms:modified>
  <cp:category/>
</cp:coreProperties>
</file>