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360"/>
            <w:shd w:val="clear" w:color="auto" w:fill="E0651F"/>
          </w:tcPr>
          <w:p>
            <w:pPr>
              <w:jc w:val="center"/>
            </w:pPr>
            <w:r>
              <w:rPr>
                <w:rFonts w:ascii="Calibri" w:hAnsi="Calibri"/>
                <w:b/>
                <w:caps/>
                <w:color w:val="FFFFFF"/>
                <w:sz w:val="22"/>
              </w:rPr>
              <w:t>BRADFORD VTS TEACHING AIDS</w:t>
            </w:r>
          </w:p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56"/>
              </w:rPr>
              <w:t>ACE Inhibitors: How to Start Them</w:t>
            </w:r>
          </w:p>
          <w:p>
            <w:pPr>
              <w:jc w:val="center"/>
            </w:pPr>
            <w:r>
              <w:rPr>
                <w:rFonts w:ascii="Calibri" w:hAnsi="Calibri"/>
                <w:i/>
                <w:color w:val="FFFFFF"/>
                <w:sz w:val="24"/>
              </w:rPr>
              <w:t>Clinical Guide · Bradford VTS · May 2026</w:t>
            </w:r>
          </w:p>
        </w:tc>
      </w:tr>
    </w:tbl>
    <w:p/>
    <w:p>
      <w:pPr>
        <w:spacing w:before="280" w:after="80"/>
      </w:pPr>
      <w:r>
        <w:rPr>
          <w:rFonts w:ascii="Calibri" w:hAnsi="Calibri"/>
          <w:b/>
          <w:color w:val="007A87"/>
          <w:sz w:val="28"/>
        </w:rPr>
        <w:t>What are ACE Inhibitors?</w:t>
      </w:r>
    </w:p>
    <w:p>
      <w:pPr>
        <w:spacing w:after="80"/>
      </w:pPr>
      <w:r>
        <w:rPr>
          <w:rFonts w:ascii="Calibri" w:hAnsi="Calibri"/>
          <w:b w:val="0"/>
          <w:i w:val="0"/>
          <w:color w:val="2C2C2C"/>
          <w:sz w:val="22"/>
        </w:rPr>
        <w:t>Angiotensin-Converting Enzyme (ACE) inhibitors block the conversion of angiotensin I to angiotensin II, reducing vasoconstriction and aldosterone release. They lower blood pressure, reduce cardiac workload, and have proven cardiovascular and renoprotective benefits beyond blood pressure lowering.</w:t>
      </w:r>
    </w:p>
    <w:p>
      <w:pPr>
        <w:spacing w:before="280" w:after="80"/>
      </w:pPr>
      <w:r>
        <w:rPr>
          <w:rFonts w:ascii="Calibri" w:hAnsi="Calibri"/>
          <w:b/>
          <w:color w:val="007A87"/>
          <w:sz w:val="28"/>
        </w:rPr>
        <w:t>Key Indications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Hypertension — first-line for adults under 55 (not Black African/Caribbean) per NICE NG136 (2023)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Type 2 diabetes with hypertension — first-line regardless of age or ethnicity (NICE NG136)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Heart failure with reduced ejection fraction (HFrEF) — core treatment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Post-myocardial infarction (especially with LV dysfunction)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Chronic kidney disease with proteinuria (ACR &gt;3 mg/mmol) — renoprotective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Diabetic nephropathy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Secondary CVD prevention in high-risk patients (IHD, PAD, stroke — HOPE trial: Ramipril 10 mg)</w:t>
      </w:r>
    </w:p>
    <w:p/>
    <w:p>
      <w:pPr>
        <w:spacing w:before="280" w:after="80"/>
      </w:pPr>
      <w:r>
        <w:rPr>
          <w:rFonts w:ascii="Calibri" w:hAnsi="Calibri"/>
          <w:b/>
          <w:color w:val="007A87"/>
          <w:sz w:val="28"/>
        </w:rPr>
        <w:t>Common ACE Inhibitors and Doses (BNF 2024/2025)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val="clear" w:color="auto" w:fill="E0651F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Drug</w:t>
            </w:r>
          </w:p>
        </w:tc>
        <w:tc>
          <w:tcPr>
            <w:tcW w:type="dxa" w:w="2351"/>
            <w:shd w:val="clear" w:color="auto" w:fill="E0651F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Starting Dose</w:t>
            </w:r>
          </w:p>
        </w:tc>
        <w:tc>
          <w:tcPr>
            <w:tcW w:type="dxa" w:w="2351"/>
            <w:shd w:val="clear" w:color="auto" w:fill="E0651F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Target Dose</w:t>
            </w:r>
          </w:p>
        </w:tc>
        <w:tc>
          <w:tcPr>
            <w:tcW w:type="dxa" w:w="2351"/>
            <w:shd w:val="clear" w:color="auto" w:fill="E0651F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Notes</w:t>
            </w:r>
          </w:p>
        </w:tc>
      </w:tr>
      <w:tr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Ramipril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1.25–2.5 mg OD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5–10 mg OD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Evidence base: HOPE trial; starter pack available; renal/cardiac</w:t>
            </w:r>
          </w:p>
        </w:tc>
      </w:tr>
      <w:tr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Lisinopril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2.5–5 mg OD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20–40 mg OD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Once daily; widely used in hypertension &amp; HF</w:t>
            </w:r>
          </w:p>
        </w:tc>
      </w:tr>
      <w:tr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Perindopril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4 mg OD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8 mg OD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Can use with indapamide; EUROPA trial (IHD)</w:t>
            </w:r>
          </w:p>
        </w:tc>
      </w:tr>
      <w:tr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Enalapril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5 mg BD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10–20 mg BD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Twice daily; CONSENSUS/SOLVD trials (HF)</w:t>
            </w:r>
          </w:p>
        </w:tc>
      </w:tr>
      <w:tr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Captopril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6.25–12.5 mg BD/TDS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25–50 mg BD/TDS</w:t>
            </w:r>
          </w:p>
        </w:tc>
        <w:tc>
          <w:tcPr>
            <w:tcW w:type="dxa" w:w="2351"/>
          </w:tcPr>
          <w:p>
            <w:r>
              <w:rPr>
                <w:rFonts w:ascii="Calibri" w:hAnsi="Calibri"/>
                <w:color w:val="2C2C2C"/>
                <w:sz w:val="20"/>
              </w:rPr>
              <w:t>Short-acting; used post-MI (ISIS-4)</w:t>
            </w:r>
          </w:p>
        </w:tc>
      </w:tr>
    </w:tbl>
    <w:p/>
    <w:p>
      <w:pPr>
        <w:spacing w:before="280" w:after="80"/>
      </w:pPr>
      <w:r>
        <w:rPr>
          <w:rFonts w:ascii="Calibri" w:hAnsi="Calibri"/>
          <w:b/>
          <w:color w:val="007A87"/>
          <w:sz w:val="28"/>
        </w:rPr>
        <w:t>Before Starting — Checklist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FFE8E8"/>
          </w:tcPr>
          <w:p>
            <w:r>
              <w:rPr>
                <w:rFonts w:ascii="Calibri" w:hAnsi="Calibri"/>
                <w:b/>
                <w:color w:val="CC0000"/>
                <w:sz w:val="22"/>
              </w:rPr>
              <w:t xml:space="preserve">STOP if:  </w:t>
            </w:r>
            <w:r>
              <w:rPr>
                <w:rFonts w:ascii="Calibri" w:hAnsi="Calibri"/>
                <w:color w:val="2C2C2C"/>
                <w:sz w:val="22"/>
              </w:rPr>
              <w:t>Bilateral renal artery stenosis suspected · Known hypersensitivity / previous ACEi angioedema · Pregnancy · Severe aortic stenosis · Hyperkalaemia (K⁺ &gt;5.5 mmol/L)</w:t>
            </w:r>
          </w:p>
        </w:tc>
      </w:tr>
    </w:tbl>
    <w:p/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Check U&amp;E + creatinine/eGFR (baseline) — document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Withhold if creatinine &gt;150 µmol/L or eGFR &lt;45 ml/min/1.73m² — seek specialist advice first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Check potassium — withhold if K⁺ &gt;5.0 mmol/L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Stop NSAIDs (if possible) before starting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Stop potassium-sparing diuretics before starting (or monitor very closely)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Reduce loop diuretic dose if on high doses (&gt;80 mg furosemide) — first-dose hypotension risk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Counsel patient: may cause dry cough (10–15%); warn about first-dose hypotension; take dose at night initially</w:t>
      </w:r>
    </w:p>
    <w:p/>
    <w:p>
      <w:pPr>
        <w:spacing w:before="280" w:after="80"/>
      </w:pPr>
      <w:r>
        <w:rPr>
          <w:rFonts w:ascii="Calibri" w:hAnsi="Calibri"/>
          <w:b/>
          <w:color w:val="007A87"/>
          <w:sz w:val="28"/>
        </w:rPr>
        <w:t>Initiation Protocol (Primary Care)</w:t>
      </w:r>
    </w:p>
    <w:p>
      <w:pPr>
        <w:spacing w:after="80"/>
      </w:pPr>
      <w:r>
        <w:rPr>
          <w:rFonts w:ascii="Calibri" w:hAnsi="Calibri"/>
          <w:b/>
          <w:i w:val="0"/>
          <w:color w:val="2C2C2C"/>
          <w:sz w:val="22"/>
        </w:rPr>
        <w:t>Step 1: Start at lowest dose (e.g., Ramipril 2.5 mg OD or Lisinopril 5 mg OD)</w:t>
      </w:r>
    </w:p>
    <w:p>
      <w:pPr>
        <w:spacing w:after="80"/>
      </w:pPr>
      <w:r>
        <w:rPr>
          <w:rFonts w:ascii="Calibri" w:hAnsi="Calibri"/>
          <w:b w:val="0"/>
          <w:i w:val="0"/>
          <w:color w:val="2C2C2C"/>
          <w:sz w:val="22"/>
        </w:rPr>
        <w:t>Step 2: Recheck U&amp;E + creatinine at 1–2 weeks after starting</w:t>
      </w:r>
    </w:p>
    <w:p>
      <w:pPr>
        <w:spacing w:after="80"/>
      </w:pPr>
      <w:r>
        <w:rPr>
          <w:rFonts w:ascii="Calibri" w:hAnsi="Calibri"/>
          <w:b w:val="0"/>
          <w:i w:val="0"/>
          <w:color w:val="2C2C2C"/>
          <w:sz w:val="22"/>
        </w:rPr>
        <w:t>Step 3: Titrate dose upward every 2–4 weeks (aiming for target/maximum tolerated dose)</w:t>
      </w:r>
    </w:p>
    <w:p>
      <w:pPr>
        <w:spacing w:after="80"/>
      </w:pPr>
      <w:r>
        <w:rPr>
          <w:rFonts w:ascii="Calibri" w:hAnsi="Calibri"/>
          <w:b w:val="0"/>
          <w:i w:val="0"/>
          <w:color w:val="2C2C2C"/>
          <w:sz w:val="22"/>
        </w:rPr>
        <w:t>Step 4: Recheck U&amp;E after each dose titration</w:t>
      </w:r>
    </w:p>
    <w:p>
      <w:pPr>
        <w:spacing w:after="80"/>
      </w:pPr>
      <w:r>
        <w:rPr>
          <w:rFonts w:ascii="Calibri" w:hAnsi="Calibri"/>
          <w:b w:val="0"/>
          <w:i w:val="0"/>
          <w:color w:val="2C2C2C"/>
          <w:sz w:val="22"/>
        </w:rPr>
        <w:t>Step 5: Once stable on maximum tolerated dose — add to repeat prescription; annual review</w:t>
      </w:r>
    </w:p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E8F8EE"/>
          </w:tcPr>
          <w:p>
            <w:r>
              <w:rPr>
                <w:rFonts w:ascii="Calibri" w:hAnsi="Calibri"/>
                <w:b/>
                <w:color w:val="1A7A3C"/>
                <w:sz w:val="22"/>
              </w:rPr>
              <w:t xml:space="preserve">✓ Acceptable creatinine rise:  </w:t>
            </w:r>
            <w:r>
              <w:rPr>
                <w:rFonts w:ascii="Calibri" w:hAnsi="Calibri"/>
                <w:color w:val="2C2C2C"/>
                <w:sz w:val="22"/>
              </w:rPr>
              <w:t>Up to 30% rise in creatinine OR up to 25% fall in eGFR from baseline is acceptable and expected. Do NOT stop ACEi for this — it reflects reduced intraglomerular pressure (beneficial). STOP if rise &gt;30% creatinine or K⁺ rises above 6.0 mmol/L.</w:t>
            </w:r>
          </w:p>
        </w:tc>
      </w:tr>
    </w:tbl>
    <w:p/>
    <w:p>
      <w:pPr>
        <w:spacing w:before="280" w:after="80"/>
      </w:pPr>
      <w:r>
        <w:rPr>
          <w:rFonts w:ascii="Calibri" w:hAnsi="Calibri"/>
          <w:b/>
          <w:color w:val="007A87"/>
          <w:sz w:val="28"/>
        </w:rPr>
        <w:t>Monitoring Schedule (BNF / NICE NG136)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E0651F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Timepoint</w:t>
            </w:r>
          </w:p>
        </w:tc>
        <w:tc>
          <w:tcPr>
            <w:tcW w:type="dxa" w:w="4703"/>
            <w:shd w:val="clear" w:color="auto" w:fill="E0651F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What to check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color w:val="2C2C2C"/>
                <w:sz w:val="20"/>
              </w:rPr>
              <w:t>Before starting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color w:val="2C2C2C"/>
                <w:sz w:val="20"/>
              </w:rPr>
              <w:t>U&amp;E, creatinine, eGFR, K⁺, BP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color w:val="2C2C2C"/>
                <w:sz w:val="20"/>
              </w:rPr>
              <w:t>1–2 weeks after starting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color w:val="2C2C2C"/>
                <w:sz w:val="20"/>
              </w:rPr>
              <w:t>U&amp;E, creatinine, eGFR, K⁺, BP, symptoms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color w:val="2C2C2C"/>
                <w:sz w:val="20"/>
              </w:rPr>
              <w:t>After each dose increase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color w:val="2C2C2C"/>
                <w:sz w:val="20"/>
              </w:rPr>
              <w:t>U&amp;E, creatinine, eGFR, K⁺ at 1–2 weeks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color w:val="2C2C2C"/>
                <w:sz w:val="20"/>
              </w:rPr>
              <w:t>Once stable (maximum dose)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color w:val="2C2C2C"/>
                <w:sz w:val="20"/>
              </w:rPr>
              <w:t>Annual U&amp;E, creatinine, eGFR, K⁺, BP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color w:val="2C2C2C"/>
                <w:sz w:val="20"/>
              </w:rPr>
              <w:t>If intercurrent illness (diarrhoea / vomiting / dehydration)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color w:val="2C2C2C"/>
                <w:sz w:val="20"/>
              </w:rPr>
              <w:t>Advise patient to STOP temporarily ("sick day rules") — resume when well</w:t>
            </w:r>
          </w:p>
        </w:tc>
      </w:tr>
    </w:tbl>
    <w:p/>
    <w:p>
      <w:pPr>
        <w:spacing w:before="280" w:after="80"/>
      </w:pPr>
      <w:r>
        <w:rPr>
          <w:rFonts w:ascii="Calibri" w:hAnsi="Calibri"/>
          <w:b/>
          <w:color w:val="007A87"/>
          <w:sz w:val="28"/>
        </w:rPr>
        <w:t>Side Effects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FFF3E8"/>
          </w:tcPr>
          <w:p>
            <w:r>
              <w:rPr>
                <w:rFonts w:ascii="Calibri" w:hAnsi="Calibri"/>
                <w:b/>
                <w:color w:val="E68A00"/>
                <w:sz w:val="22"/>
              </w:rPr>
              <w:t xml:space="preserve">⚠ ACEi Cough:  </w:t>
            </w:r>
            <w:r>
              <w:rPr>
                <w:rFonts w:ascii="Calibri" w:hAnsi="Calibri"/>
                <w:color w:val="2C2C2C"/>
                <w:sz w:val="22"/>
              </w:rPr>
              <w:t>10–15% of patients develop a dry, tickly, persistent cough. This is a class effect — switching to another ACEi will NOT help. Switch to an ARB (e.g., Losartan, Candesartan) — equally effective, no cough.</w:t>
            </w:r>
          </w:p>
        </w:tc>
      </w:tr>
    </w:tbl>
    <w:p/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Angioedema (&lt;1%): swelling of lips/tongue/throat — STOP immediately, NEVER rechallenge. Call 999 if airway threatened.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Hypotension: especially first dose; worse if volume-depleted or on diuretics — take at bedtime initially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Hyperkalaemia: monitor K⁺ especially with CKD, diabetes, concurrent K-sparing diuretics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Renal impairment: creatinine rise acceptable up to 30% (see above); above this — stop and investigate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Rash, dysgeusia (taste disturbance), GI upset — less common</w:t>
      </w:r>
    </w:p>
    <w:p/>
    <w:p>
      <w:pPr>
        <w:spacing w:before="280" w:after="80"/>
      </w:pPr>
      <w:r>
        <w:rPr>
          <w:rFonts w:ascii="Calibri" w:hAnsi="Calibri"/>
          <w:b/>
          <w:color w:val="007A87"/>
          <w:sz w:val="28"/>
        </w:rPr>
        <w:t>Contraindications (NICE NG136 / BNF)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FFE8E8"/>
          </w:tcPr>
          <w:p>
            <w:r>
              <w:rPr>
                <w:rFonts w:ascii="Calibri" w:hAnsi="Calibri"/>
                <w:b/>
                <w:color w:val="CC0000"/>
                <w:sz w:val="22"/>
              </w:rPr>
              <w:t xml:space="preserve">Absolute contraindications:  </w:t>
            </w:r>
            <w:r>
              <w:rPr>
                <w:rFonts w:ascii="Calibri" w:hAnsi="Calibri"/>
                <w:color w:val="2C2C2C"/>
                <w:sz w:val="22"/>
              </w:rPr>
              <w:t>• Pregnancy (teratogenic — FDA category D) — stop 3 months before conception</w:t>
              <w:br/>
              <w:t>• Previous ACEi-related angioedema</w:t>
              <w:br/>
              <w:t>• Bilateral renal artery stenosis</w:t>
              <w:br/>
              <w:t>• Hyperkalaemia (K⁺ &gt;5.5 mmol/L)</w:t>
              <w:br/>
              <w:t>• Severe aortic stenosis / outflow obstruction</w:t>
              <w:br/>
              <w:t>• Do NOT combine ACEi + ARB (dual blockade — excess risk without benefit)</w:t>
            </w:r>
          </w:p>
        </w:tc>
      </w:tr>
    </w:tbl>
    <w:p/>
    <w:p>
      <w:pPr>
        <w:spacing w:before="280" w:after="80"/>
      </w:pPr>
      <w:r>
        <w:rPr>
          <w:rFonts w:ascii="Calibri" w:hAnsi="Calibri"/>
          <w:b/>
          <w:color w:val="007A87"/>
          <w:sz w:val="28"/>
        </w:rPr>
        <w:t>Initiation Under Specialist Supervision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High-dose diuretics (furosemide &gt;80 mg/day)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Hyponatraemia (Na⁺ &lt;130 mmol/L)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Hypotension (systolic &lt;90 mmHg)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eGFR &lt;45 ml/min/1.73m² or creatinine &gt;150 µmol/L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Clinically suspected bilateral renal artery stenosis</w:t>
      </w:r>
    </w:p>
    <w:p>
      <w:pPr>
        <w:pStyle w:val="ListBullet"/>
        <w:ind w:left="283"/>
      </w:pPr>
      <w:r>
        <w:rPr>
          <w:rFonts w:ascii="Calibri" w:hAnsi="Calibri"/>
          <w:color w:val="2C2C2C"/>
          <w:sz w:val="22"/>
        </w:rPr>
        <w:t>Severe heart failure (consider hospital initiation)</w:t>
      </w:r>
    </w:p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EAF4FB"/>
          </w:tcPr>
          <w:p>
            <w:r>
              <w:rPr>
                <w:rFonts w:ascii="Calibri" w:hAnsi="Calibri"/>
                <w:b/>
                <w:color w:val="007A87"/>
                <w:sz w:val="22"/>
              </w:rPr>
              <w:t xml:space="preserve">🩺 SCA Phrase:  </w:t>
            </w:r>
            <w:r>
              <w:rPr>
                <w:rFonts w:ascii="Calibri" w:hAnsi="Calibri"/>
                <w:color w:val="2C2C2C"/>
                <w:sz w:val="22"/>
              </w:rPr>
              <w:t>"This tablet helps protect your heart and kidneys. It works by relaxing your blood vessels. About 1 in 10 people get a tickly cough — if that happens, we can swap to a similar tablet that works just as well. Always take it regularly, and let us know if you feel dizzy or notice any swelling."</w:t>
            </w:r>
          </w:p>
        </w:tc>
      </w:tr>
    </w:tbl>
    <w:p/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FFF3E8"/>
          </w:tcPr>
          <w:p>
            <w:r>
              <w:rPr>
                <w:rFonts w:ascii="Calibri" w:hAnsi="Calibri"/>
                <w:b/>
                <w:color w:val="C85510"/>
                <w:sz w:val="22"/>
              </w:rPr>
              <w:t xml:space="preserve">⚠ Disclaimer:  </w:t>
            </w:r>
            <w:r>
              <w:rPr>
                <w:rFonts w:ascii="Calibri" w:hAnsi="Calibri"/>
                <w:color w:val="2C2C2C"/>
                <w:sz w:val="22"/>
              </w:rPr>
              <w:t>Always double check this advice and drug doses with the latest NICE/BNF guidance. This document is for educational purposes only.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i/>
        <w:color w:val="2C2C2C"/>
        <w:sz w:val="16"/>
      </w:rPr>
      <w:t>A free resource provided by www.bradfordvts.co.uk, Dr Ramesh Mehay, revised May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Bradford VTS / Dr Ramesh Mehay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