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360"/>
      </w:tblGrid>
      <w:tr w:rsidR="004005F2" w14:paraId="282FDD59" w14:textId="77777777">
        <w:trPr>
          <w:jc w:val="center"/>
        </w:trPr>
        <w:tc>
          <w:tcPr>
            <w:tcW w:w="9360" w:type="dxa"/>
            <w:shd w:val="clear" w:color="auto" w:fill="E0651F"/>
          </w:tcPr>
          <w:p w14:paraId="6E6C10CF" w14:textId="77777777" w:rsidR="004005F2" w:rsidRDefault="00000000">
            <w:pPr>
              <w:jc w:val="center"/>
            </w:pPr>
            <w:r>
              <w:rPr>
                <w:rFonts w:ascii="Calibri" w:hAnsi="Calibri"/>
                <w:b/>
                <w:caps/>
                <w:color w:val="FFFFFF"/>
              </w:rPr>
              <w:t>BRADFORD VTS TEACHING AIDS</w:t>
            </w:r>
          </w:p>
          <w:p w14:paraId="42CDD421" w14:textId="77777777" w:rsidR="004005F2" w:rsidRDefault="00000000">
            <w:pPr>
              <w:jc w:val="center"/>
            </w:pPr>
            <w:r>
              <w:rPr>
                <w:rFonts w:ascii="Calibri" w:hAnsi="Calibri"/>
                <w:b/>
                <w:color w:val="FFFFFF"/>
                <w:sz w:val="56"/>
              </w:rPr>
              <w:t>Statins and Liver Function Tests</w:t>
            </w:r>
          </w:p>
          <w:p w14:paraId="6D4FC470" w14:textId="77777777" w:rsidR="004005F2" w:rsidRDefault="00000000">
            <w:pPr>
              <w:jc w:val="center"/>
            </w:pPr>
            <w:r>
              <w:rPr>
                <w:rFonts w:ascii="Calibri" w:hAnsi="Calibri"/>
                <w:i/>
                <w:color w:val="FFFFFF"/>
                <w:sz w:val="24"/>
              </w:rPr>
              <w:t>Clinical Guide · Bradford VTS · May 2026</w:t>
            </w:r>
          </w:p>
        </w:tc>
      </w:tr>
    </w:tbl>
    <w:p w14:paraId="4F4B5F18" w14:textId="77777777" w:rsidR="004005F2" w:rsidRDefault="004005F2"/>
    <w:p w14:paraId="198C0BAA" w14:textId="77777777" w:rsidR="004005F2" w:rsidRDefault="00000000">
      <w:pPr>
        <w:spacing w:before="280" w:after="80"/>
      </w:pPr>
      <w:r>
        <w:rPr>
          <w:rFonts w:ascii="Calibri" w:hAnsi="Calibri"/>
          <w:b/>
          <w:color w:val="007A87"/>
          <w:sz w:val="28"/>
        </w:rPr>
        <w:t>Background</w:t>
      </w:r>
    </w:p>
    <w:p w14:paraId="2CA83A79" w14:textId="77777777" w:rsidR="004005F2" w:rsidRDefault="00000000">
      <w:pPr>
        <w:spacing w:after="80"/>
      </w:pPr>
      <w:r>
        <w:rPr>
          <w:rFonts w:ascii="Calibri" w:hAnsi="Calibri"/>
          <w:color w:val="2C2C2C"/>
        </w:rPr>
        <w:t>Routine LFT monitoring during statin therapy was historically common practice. However, NICE NG238 (December 2023) and current evidence clarify that statins rarely cause clinically significant hepatotoxicity, and routine ongoing monitoring is not required beyond the initial period. Understanding when to monitor — and when NOT to — is an important GP skill.</w:t>
      </w:r>
    </w:p>
    <w:p w14:paraId="4CD7F2E5" w14:textId="77777777" w:rsidR="004005F2" w:rsidRDefault="00000000">
      <w:pPr>
        <w:spacing w:before="280" w:after="80"/>
      </w:pPr>
      <w:r>
        <w:rPr>
          <w:rFonts w:ascii="Calibri" w:hAnsi="Calibri"/>
          <w:b/>
          <w:color w:val="007A87"/>
          <w:sz w:val="28"/>
        </w:rPr>
        <w:t>What NICE NG238 (2023) Recommends</w:t>
      </w:r>
    </w:p>
    <w:tbl>
      <w:tblPr>
        <w:tblW w:w="0" w:type="auto"/>
        <w:tblLook w:val="04A0" w:firstRow="1" w:lastRow="0" w:firstColumn="1" w:lastColumn="0" w:noHBand="0" w:noVBand="1"/>
      </w:tblPr>
      <w:tblGrid>
        <w:gridCol w:w="9406"/>
      </w:tblGrid>
      <w:tr w:rsidR="004005F2" w14:paraId="501C7F4C" w14:textId="77777777">
        <w:tc>
          <w:tcPr>
            <w:tcW w:w="9406" w:type="dxa"/>
            <w:shd w:val="clear" w:color="auto" w:fill="E8F8EE"/>
          </w:tcPr>
          <w:p w14:paraId="138E2B36" w14:textId="77777777" w:rsidR="004005F2" w:rsidRDefault="00000000">
            <w:r>
              <w:rPr>
                <w:rFonts w:ascii="Calibri" w:hAnsi="Calibri"/>
                <w:b/>
                <w:color w:val="1A7A3C"/>
              </w:rPr>
              <w:t xml:space="preserve">NICE NG238 Monitoring Schedule:  </w:t>
            </w:r>
            <w:r>
              <w:rPr>
                <w:rFonts w:ascii="Calibri" w:hAnsi="Calibri"/>
                <w:color w:val="2C2C2C"/>
              </w:rPr>
              <w:t>• Before starting: measure liver transaminase (ALT)</w:t>
            </w:r>
            <w:r>
              <w:rPr>
                <w:rFonts w:ascii="Calibri" w:hAnsi="Calibri"/>
                <w:color w:val="2C2C2C"/>
              </w:rPr>
              <w:br/>
              <w:t>• At 2–3 months after starting or changing statin: full lipid profile AND ALT</w:t>
            </w:r>
            <w:r>
              <w:rPr>
                <w:rFonts w:ascii="Calibri" w:hAnsi="Calibri"/>
                <w:color w:val="2C2C2C"/>
              </w:rPr>
              <w:br/>
              <w:t>• At 12 months: ALT again</w:t>
            </w:r>
            <w:r>
              <w:rPr>
                <w:rFonts w:ascii="Calibri" w:hAnsi="Calibri"/>
                <w:color w:val="2C2C2C"/>
              </w:rPr>
              <w:br/>
              <w:t>• After 12 months: only if clinically indicated (NOT routine annual LFTs)</w:t>
            </w:r>
          </w:p>
        </w:tc>
      </w:tr>
    </w:tbl>
    <w:p w14:paraId="704C67CA" w14:textId="77777777" w:rsidR="004005F2" w:rsidRDefault="004005F2"/>
    <w:p w14:paraId="3E36A0C7" w14:textId="77777777" w:rsidR="004005F2" w:rsidRDefault="00000000">
      <w:pPr>
        <w:pStyle w:val="ListBullet"/>
        <w:ind w:left="283"/>
      </w:pPr>
      <w:r>
        <w:rPr>
          <w:rFonts w:ascii="Calibri" w:hAnsi="Calibri"/>
          <w:color w:val="2C2C2C"/>
        </w:rPr>
        <w:t>Do NOT routinely exclude from statin treatment people with ALT raised but &lt;3× ULN</w:t>
      </w:r>
    </w:p>
    <w:p w14:paraId="50C2B773" w14:textId="77777777" w:rsidR="004005F2" w:rsidRDefault="00000000">
      <w:pPr>
        <w:pStyle w:val="ListBullet"/>
        <w:ind w:left="283"/>
      </w:pPr>
      <w:r>
        <w:rPr>
          <w:rFonts w:ascii="Calibri" w:hAnsi="Calibri"/>
          <w:color w:val="2C2C2C"/>
        </w:rPr>
        <w:t>Do NOT routinely measure CK in asymptomatic patients on statins</w:t>
      </w:r>
    </w:p>
    <w:p w14:paraId="5904A9B7" w14:textId="77777777" w:rsidR="004005F2" w:rsidRDefault="00000000">
      <w:pPr>
        <w:pStyle w:val="ListBullet"/>
        <w:ind w:left="283"/>
      </w:pPr>
      <w:r>
        <w:rPr>
          <w:rFonts w:ascii="Calibri" w:hAnsi="Calibri"/>
          <w:color w:val="2C2C2C"/>
        </w:rPr>
        <w:t>Do NOT stop statins due to raised blood glucose or HbA1c</w:t>
      </w:r>
    </w:p>
    <w:p w14:paraId="22EFC3C0" w14:textId="77777777" w:rsidR="004005F2" w:rsidRDefault="004005F2"/>
    <w:p w14:paraId="6335504D" w14:textId="77777777" w:rsidR="004005F2" w:rsidRDefault="00000000">
      <w:pPr>
        <w:spacing w:before="280" w:after="80"/>
      </w:pPr>
      <w:r>
        <w:rPr>
          <w:rFonts w:ascii="Calibri" w:hAnsi="Calibri"/>
          <w:b/>
          <w:color w:val="007A87"/>
          <w:sz w:val="28"/>
        </w:rPr>
        <w:t>Baseline LFTs Before Starting</w:t>
      </w:r>
    </w:p>
    <w:p w14:paraId="0F56729E" w14:textId="77777777" w:rsidR="004005F2" w:rsidRDefault="00000000">
      <w:pPr>
        <w:spacing w:after="80"/>
      </w:pPr>
      <w:r>
        <w:rPr>
          <w:rFonts w:ascii="Calibri" w:hAnsi="Calibri"/>
          <w:color w:val="2C2C2C"/>
        </w:rPr>
        <w:t>Raised ALT at baseline is often due to fatty liver disease (NAFLD/MASLD) or non-alcoholic steatohepatitis (NASH), not because of statins. Statins may actually improve ALT values in patients with hepatic steatosis when ALT is less than 3× ULN.</w:t>
      </w:r>
    </w:p>
    <w:p w14:paraId="0277C64F" w14:textId="77777777" w:rsidR="004005F2" w:rsidRDefault="00000000">
      <w:pPr>
        <w:pStyle w:val="ListBullet"/>
        <w:ind w:left="283"/>
      </w:pPr>
      <w:r>
        <w:rPr>
          <w:rFonts w:ascii="Calibri" w:hAnsi="Calibri"/>
          <w:color w:val="2C2C2C"/>
        </w:rPr>
        <w:t>If baseline ALT &lt;3× ULN: commence statin, monitor as per schedule above</w:t>
      </w:r>
    </w:p>
    <w:p w14:paraId="47FF6CF0" w14:textId="77777777" w:rsidR="004005F2" w:rsidRDefault="00000000">
      <w:pPr>
        <w:pStyle w:val="ListBullet"/>
        <w:ind w:left="283"/>
      </w:pPr>
      <w:r>
        <w:rPr>
          <w:rFonts w:ascii="Calibri" w:hAnsi="Calibri"/>
          <w:color w:val="2C2C2C"/>
        </w:rPr>
        <w:t>If baseline ALT ≥3× ULN: investigate cause before commencing statin</w:t>
      </w:r>
    </w:p>
    <w:p w14:paraId="2D02FB6C" w14:textId="77777777" w:rsidR="004005F2" w:rsidRDefault="00000000">
      <w:pPr>
        <w:pStyle w:val="ListBullet"/>
        <w:ind w:left="283"/>
      </w:pPr>
      <w:r>
        <w:rPr>
          <w:rFonts w:ascii="Calibri" w:hAnsi="Calibri"/>
          <w:color w:val="2C2C2C"/>
        </w:rPr>
        <w:t>Take alcohol history, drug history (prescribed, OTC, herbal, supplements), examine for liver disease</w:t>
      </w:r>
    </w:p>
    <w:p w14:paraId="66742C9B" w14:textId="77777777" w:rsidR="004005F2" w:rsidRDefault="00000000">
      <w:pPr>
        <w:pStyle w:val="ListBullet"/>
        <w:ind w:left="283"/>
      </w:pPr>
      <w:r>
        <w:rPr>
          <w:rFonts w:ascii="Calibri" w:hAnsi="Calibri"/>
          <w:color w:val="2C2C2C"/>
        </w:rPr>
        <w:t>Request non-invasive liver screen if cause unclear (see below)</w:t>
      </w:r>
    </w:p>
    <w:p w14:paraId="11E0365D" w14:textId="77777777" w:rsidR="004005F2" w:rsidRDefault="004005F2"/>
    <w:p w14:paraId="61925185" w14:textId="77777777" w:rsidR="004005F2" w:rsidRDefault="00000000">
      <w:pPr>
        <w:spacing w:before="280" w:after="80"/>
      </w:pPr>
      <w:r>
        <w:rPr>
          <w:rFonts w:ascii="Calibri" w:hAnsi="Calibri"/>
          <w:b/>
          <w:color w:val="007A87"/>
          <w:sz w:val="28"/>
        </w:rPr>
        <w:t>Raised LFTs Whilst on Statins — Management Algorithm</w:t>
      </w:r>
    </w:p>
    <w:tbl>
      <w:tblPr>
        <w:tblW w:w="0" w:type="auto"/>
        <w:tblLook w:val="04A0" w:firstRow="1" w:lastRow="0" w:firstColumn="1" w:lastColumn="0" w:noHBand="0" w:noVBand="1"/>
      </w:tblPr>
      <w:tblGrid>
        <w:gridCol w:w="9406"/>
      </w:tblGrid>
      <w:tr w:rsidR="004005F2" w14:paraId="658503C0" w14:textId="77777777">
        <w:tc>
          <w:tcPr>
            <w:tcW w:w="9406" w:type="dxa"/>
            <w:shd w:val="clear" w:color="auto" w:fill="FFF8E0"/>
          </w:tcPr>
          <w:p w14:paraId="454E3CF3" w14:textId="77777777" w:rsidR="004005F2" w:rsidRDefault="00000000">
            <w:r>
              <w:rPr>
                <w:rFonts w:ascii="Calibri" w:hAnsi="Calibri"/>
                <w:b/>
                <w:color w:val="E68A00"/>
              </w:rPr>
              <w:t xml:space="preserve">ALT/AST &lt;3× ULN:  </w:t>
            </w:r>
            <w:r>
              <w:rPr>
                <w:rFonts w:ascii="Calibri" w:hAnsi="Calibri"/>
                <w:color w:val="2C2C2C"/>
              </w:rPr>
              <w:t>• Continue the statin</w:t>
            </w:r>
            <w:r>
              <w:rPr>
                <w:rFonts w:ascii="Calibri" w:hAnsi="Calibri"/>
                <w:color w:val="2C2C2C"/>
              </w:rPr>
              <w:br/>
              <w:t>• Repeat LFTs at 1 month</w:t>
            </w:r>
            <w:r>
              <w:rPr>
                <w:rFonts w:ascii="Calibri" w:hAnsi="Calibri"/>
                <w:color w:val="2C2C2C"/>
              </w:rPr>
              <w:br/>
            </w:r>
            <w:r>
              <w:rPr>
                <w:rFonts w:ascii="Calibri" w:hAnsi="Calibri"/>
                <w:color w:val="2C2C2C"/>
              </w:rPr>
              <w:lastRenderedPageBreak/>
              <w:t>• If still &lt;3× ULN on repeat: continue statin, repeat in 6 months</w:t>
            </w:r>
            <w:r>
              <w:rPr>
                <w:rFonts w:ascii="Calibri" w:hAnsi="Calibri"/>
                <w:color w:val="2C2C2C"/>
              </w:rPr>
              <w:br/>
              <w:t>• Consider other causes (alcohol, fatty liver, other medications)</w:t>
            </w:r>
          </w:p>
        </w:tc>
      </w:tr>
    </w:tbl>
    <w:p w14:paraId="3AEDD5E9" w14:textId="77777777" w:rsidR="004005F2" w:rsidRDefault="004005F2"/>
    <w:tbl>
      <w:tblPr>
        <w:tblW w:w="0" w:type="auto"/>
        <w:tblLook w:val="04A0" w:firstRow="1" w:lastRow="0" w:firstColumn="1" w:lastColumn="0" w:noHBand="0" w:noVBand="1"/>
      </w:tblPr>
      <w:tblGrid>
        <w:gridCol w:w="9406"/>
      </w:tblGrid>
      <w:tr w:rsidR="004005F2" w14:paraId="56E84ABB" w14:textId="77777777">
        <w:tc>
          <w:tcPr>
            <w:tcW w:w="9406" w:type="dxa"/>
            <w:shd w:val="clear" w:color="auto" w:fill="FFE8E8"/>
          </w:tcPr>
          <w:p w14:paraId="51341A78" w14:textId="77777777" w:rsidR="004005F2" w:rsidRDefault="00000000">
            <w:r>
              <w:rPr>
                <w:rFonts w:ascii="Calibri" w:hAnsi="Calibri"/>
                <w:b/>
                <w:color w:val="CC0000"/>
              </w:rPr>
              <w:t xml:space="preserve">ALT/AST ≥3× ULN:  </w:t>
            </w:r>
            <w:r>
              <w:rPr>
                <w:rFonts w:ascii="Calibri" w:hAnsi="Calibri"/>
                <w:color w:val="2C2C2C"/>
              </w:rPr>
              <w:t>• STOP the statin</w:t>
            </w:r>
            <w:r>
              <w:rPr>
                <w:rFonts w:ascii="Calibri" w:hAnsi="Calibri"/>
                <w:color w:val="2C2C2C"/>
              </w:rPr>
              <w:br/>
              <w:t>• Repeat LFTs in 1 month</w:t>
            </w:r>
            <w:r>
              <w:rPr>
                <w:rFonts w:ascii="Calibri" w:hAnsi="Calibri"/>
                <w:color w:val="2C2C2C"/>
              </w:rPr>
              <w:br/>
              <w:t>• Take detailed history and examine for liver disease</w:t>
            </w:r>
            <w:r>
              <w:rPr>
                <w:rFonts w:ascii="Calibri" w:hAnsi="Calibri"/>
                <w:color w:val="2C2C2C"/>
              </w:rPr>
              <w:br/>
              <w:t>• Discontinue any other hepatotoxic drugs</w:t>
            </w:r>
            <w:r>
              <w:rPr>
                <w:rFonts w:ascii="Calibri" w:hAnsi="Calibri"/>
                <w:color w:val="2C2C2C"/>
              </w:rPr>
              <w:br/>
              <w:t>• Lifestyle advice: weight loss, reduce alcohol, improve glycaemic control</w:t>
            </w:r>
            <w:r>
              <w:rPr>
                <w:rFonts w:ascii="Calibri" w:hAnsi="Calibri"/>
                <w:color w:val="2C2C2C"/>
              </w:rPr>
              <w:br/>
              <w:t>• If ALT/AST continue to rise: refer to secondary care or non-invasive liver screen</w:t>
            </w:r>
            <w:r>
              <w:rPr>
                <w:rFonts w:ascii="Calibri" w:hAnsi="Calibri"/>
                <w:color w:val="2C2C2C"/>
              </w:rPr>
              <w:br/>
              <w:t>• If ALT/AST normalise when statin stopped:</w:t>
            </w:r>
            <w:r>
              <w:rPr>
                <w:rFonts w:ascii="Calibri" w:hAnsi="Calibri"/>
                <w:color w:val="2C2C2C"/>
              </w:rPr>
              <w:br/>
              <w:t xml:space="preserve">   – Primary prevention: discuss intolerance; trial alternative statin or lower dose</w:t>
            </w:r>
            <w:r>
              <w:rPr>
                <w:rFonts w:ascii="Calibri" w:hAnsi="Calibri"/>
                <w:color w:val="2C2C2C"/>
              </w:rPr>
              <w:br/>
              <w:t xml:space="preserve">   – Secondary prevention: maximise other risk reduction; consider ezetimibe</w:t>
            </w:r>
            <w:r>
              <w:rPr>
                <w:rFonts w:ascii="Calibri" w:hAnsi="Calibri"/>
                <w:color w:val="2C2C2C"/>
              </w:rPr>
              <w:br/>
              <w:t xml:space="preserve">   – FH: specialist advice</w:t>
            </w:r>
          </w:p>
        </w:tc>
      </w:tr>
    </w:tbl>
    <w:p w14:paraId="2887B94F" w14:textId="77777777" w:rsidR="004005F2" w:rsidRDefault="004005F2"/>
    <w:p w14:paraId="79DCC936" w14:textId="77777777" w:rsidR="004005F2" w:rsidRDefault="00000000">
      <w:pPr>
        <w:spacing w:before="280" w:after="80"/>
      </w:pPr>
      <w:r>
        <w:rPr>
          <w:rFonts w:ascii="Calibri" w:hAnsi="Calibri"/>
          <w:b/>
          <w:color w:val="007A87"/>
          <w:sz w:val="28"/>
        </w:rPr>
        <w:t>Muscle Symptoms and CK Monitoring (NICE NG238)</w:t>
      </w:r>
    </w:p>
    <w:p w14:paraId="262021B1" w14:textId="77777777" w:rsidR="004005F2" w:rsidRDefault="00000000">
      <w:pPr>
        <w:spacing w:after="80"/>
      </w:pPr>
      <w:r>
        <w:rPr>
          <w:rFonts w:ascii="Calibri" w:hAnsi="Calibri"/>
          <w:color w:val="2C2C2C"/>
        </w:rPr>
        <w:t>Muscle symptoms are the most common reason patients stop statins — though true myopathy is rare. Managing this well is key to maintaining treatment adherence.</w:t>
      </w:r>
    </w:p>
    <w:tbl>
      <w:tblPr>
        <w:tblStyle w:val="TableGrid"/>
        <w:tblW w:w="0" w:type="auto"/>
        <w:tblLook w:val="04A0" w:firstRow="1" w:lastRow="0" w:firstColumn="1" w:lastColumn="0" w:noHBand="0" w:noVBand="1"/>
      </w:tblPr>
      <w:tblGrid>
        <w:gridCol w:w="4703"/>
        <w:gridCol w:w="4703"/>
      </w:tblGrid>
      <w:tr w:rsidR="004005F2" w14:paraId="1AC838E2" w14:textId="77777777">
        <w:tc>
          <w:tcPr>
            <w:tcW w:w="4703" w:type="dxa"/>
            <w:shd w:val="clear" w:color="auto" w:fill="E0651F"/>
          </w:tcPr>
          <w:p w14:paraId="39B94D8E" w14:textId="77777777" w:rsidR="004005F2" w:rsidRDefault="00000000">
            <w:pPr>
              <w:jc w:val="center"/>
            </w:pPr>
            <w:r>
              <w:rPr>
                <w:rFonts w:ascii="Calibri" w:hAnsi="Calibri"/>
                <w:b/>
                <w:color w:val="FFFFFF"/>
                <w:sz w:val="20"/>
              </w:rPr>
              <w:t>Situation</w:t>
            </w:r>
          </w:p>
        </w:tc>
        <w:tc>
          <w:tcPr>
            <w:tcW w:w="4703" w:type="dxa"/>
            <w:shd w:val="clear" w:color="auto" w:fill="E0651F"/>
          </w:tcPr>
          <w:p w14:paraId="14E11AA7" w14:textId="77777777" w:rsidR="004005F2" w:rsidRDefault="00000000">
            <w:pPr>
              <w:jc w:val="center"/>
            </w:pPr>
            <w:r>
              <w:rPr>
                <w:rFonts w:ascii="Calibri" w:hAnsi="Calibri"/>
                <w:b/>
                <w:color w:val="FFFFFF"/>
                <w:sz w:val="20"/>
              </w:rPr>
              <w:t>Action</w:t>
            </w:r>
          </w:p>
        </w:tc>
      </w:tr>
      <w:tr w:rsidR="004005F2" w14:paraId="0DBF42CC" w14:textId="77777777">
        <w:tc>
          <w:tcPr>
            <w:tcW w:w="4703" w:type="dxa"/>
          </w:tcPr>
          <w:p w14:paraId="0E3B0322" w14:textId="77777777" w:rsidR="004005F2" w:rsidRDefault="00000000">
            <w:r>
              <w:rPr>
                <w:rFonts w:ascii="Calibri" w:hAnsi="Calibri"/>
                <w:color w:val="2C2C2C"/>
                <w:sz w:val="20"/>
              </w:rPr>
              <w:t>Unexplained, persistent generalised muscle pain</w:t>
            </w:r>
          </w:p>
        </w:tc>
        <w:tc>
          <w:tcPr>
            <w:tcW w:w="4703" w:type="dxa"/>
          </w:tcPr>
          <w:p w14:paraId="08F3D857" w14:textId="77777777" w:rsidR="004005F2" w:rsidRDefault="00000000">
            <w:r>
              <w:rPr>
                <w:rFonts w:ascii="Calibri" w:hAnsi="Calibri"/>
                <w:color w:val="2C2C2C"/>
                <w:sz w:val="20"/>
              </w:rPr>
              <w:t>Measure CK</w:t>
            </w:r>
          </w:p>
        </w:tc>
      </w:tr>
      <w:tr w:rsidR="004005F2" w14:paraId="143E021F" w14:textId="77777777">
        <w:tc>
          <w:tcPr>
            <w:tcW w:w="4703" w:type="dxa"/>
          </w:tcPr>
          <w:p w14:paraId="7D7240A1" w14:textId="77777777" w:rsidR="004005F2" w:rsidRDefault="00000000">
            <w:r>
              <w:rPr>
                <w:rFonts w:ascii="Calibri" w:hAnsi="Calibri"/>
                <w:color w:val="2C2C2C"/>
                <w:sz w:val="20"/>
              </w:rPr>
              <w:t>CK &gt;5× ULN</w:t>
            </w:r>
          </w:p>
        </w:tc>
        <w:tc>
          <w:tcPr>
            <w:tcW w:w="4703" w:type="dxa"/>
          </w:tcPr>
          <w:p w14:paraId="23266D5B" w14:textId="77777777" w:rsidR="004005F2" w:rsidRDefault="00000000">
            <w:r>
              <w:rPr>
                <w:rFonts w:ascii="Calibri" w:hAnsi="Calibri"/>
                <w:color w:val="2C2C2C"/>
                <w:sz w:val="20"/>
              </w:rPr>
              <w:t>Do NOT start statin / STOP if already on statin; re-measure in 1 week</w:t>
            </w:r>
          </w:p>
        </w:tc>
      </w:tr>
      <w:tr w:rsidR="004005F2" w14:paraId="2A5EA390" w14:textId="77777777">
        <w:tc>
          <w:tcPr>
            <w:tcW w:w="4703" w:type="dxa"/>
          </w:tcPr>
          <w:p w14:paraId="29E40C5F" w14:textId="77777777" w:rsidR="004005F2" w:rsidRDefault="00000000">
            <w:r>
              <w:rPr>
                <w:rFonts w:ascii="Calibri" w:hAnsi="Calibri"/>
                <w:color w:val="2C2C2C"/>
                <w:sz w:val="20"/>
              </w:rPr>
              <w:t>CK still &gt;5× ULN on recheck</w:t>
            </w:r>
          </w:p>
        </w:tc>
        <w:tc>
          <w:tcPr>
            <w:tcW w:w="4703" w:type="dxa"/>
          </w:tcPr>
          <w:p w14:paraId="2CBB5954" w14:textId="77777777" w:rsidR="004005F2" w:rsidRDefault="00000000">
            <w:r>
              <w:rPr>
                <w:rFonts w:ascii="Calibri" w:hAnsi="Calibri"/>
                <w:color w:val="2C2C2C"/>
                <w:sz w:val="20"/>
              </w:rPr>
              <w:t>Do not start; seek specialist advice; suspect rhabdomyolysis if CK &gt;10×</w:t>
            </w:r>
          </w:p>
        </w:tc>
      </w:tr>
      <w:tr w:rsidR="004005F2" w14:paraId="52C5E2EE" w14:textId="77777777">
        <w:tc>
          <w:tcPr>
            <w:tcW w:w="4703" w:type="dxa"/>
          </w:tcPr>
          <w:p w14:paraId="0BB5A00F" w14:textId="77777777" w:rsidR="004005F2" w:rsidRDefault="00000000">
            <w:r>
              <w:rPr>
                <w:rFonts w:ascii="Calibri" w:hAnsi="Calibri"/>
                <w:color w:val="2C2C2C"/>
                <w:sz w:val="20"/>
              </w:rPr>
              <w:t>CK &lt;5× ULN with symptoms</w:t>
            </w:r>
          </w:p>
        </w:tc>
        <w:tc>
          <w:tcPr>
            <w:tcW w:w="4703" w:type="dxa"/>
          </w:tcPr>
          <w:p w14:paraId="51CA23A2" w14:textId="77777777" w:rsidR="004005F2" w:rsidRDefault="00000000">
            <w:r>
              <w:rPr>
                <w:rFonts w:ascii="Calibri" w:hAnsi="Calibri"/>
                <w:color w:val="2C2C2C"/>
                <w:sz w:val="20"/>
              </w:rPr>
              <w:t>Explore other causes; consider dose reduction or switch statin</w:t>
            </w:r>
          </w:p>
        </w:tc>
      </w:tr>
      <w:tr w:rsidR="004005F2" w14:paraId="0626B87A" w14:textId="77777777">
        <w:tc>
          <w:tcPr>
            <w:tcW w:w="4703" w:type="dxa"/>
          </w:tcPr>
          <w:p w14:paraId="0C9F9F94" w14:textId="77777777" w:rsidR="004005F2" w:rsidRDefault="00000000">
            <w:r>
              <w:rPr>
                <w:rFonts w:ascii="Calibri" w:hAnsi="Calibri"/>
                <w:color w:val="2C2C2C"/>
                <w:sz w:val="20"/>
              </w:rPr>
              <w:t>Asymptomatic (no muscle pain)</w:t>
            </w:r>
          </w:p>
        </w:tc>
        <w:tc>
          <w:tcPr>
            <w:tcW w:w="4703" w:type="dxa"/>
          </w:tcPr>
          <w:p w14:paraId="62B99F72" w14:textId="77777777" w:rsidR="004005F2" w:rsidRDefault="00000000">
            <w:r>
              <w:rPr>
                <w:rFonts w:ascii="Calibri" w:hAnsi="Calibri"/>
                <w:color w:val="2C2C2C"/>
                <w:sz w:val="20"/>
              </w:rPr>
              <w:t>Do NOT routinely measure CK</w:t>
            </w:r>
          </w:p>
        </w:tc>
      </w:tr>
      <w:tr w:rsidR="004005F2" w14:paraId="39827FB3" w14:textId="77777777">
        <w:tc>
          <w:tcPr>
            <w:tcW w:w="4703" w:type="dxa"/>
          </w:tcPr>
          <w:p w14:paraId="167FCE8E" w14:textId="77777777" w:rsidR="004005F2" w:rsidRDefault="00000000">
            <w:r>
              <w:rPr>
                <w:rFonts w:ascii="Calibri" w:hAnsi="Calibri"/>
                <w:color w:val="2C2C2C"/>
                <w:sz w:val="20"/>
              </w:rPr>
              <w:t>Rhabdomyolysis (rare, CK &gt;10× ULN + dark urine)</w:t>
            </w:r>
          </w:p>
        </w:tc>
        <w:tc>
          <w:tcPr>
            <w:tcW w:w="4703" w:type="dxa"/>
          </w:tcPr>
          <w:p w14:paraId="4023D3D6" w14:textId="77777777" w:rsidR="004005F2" w:rsidRDefault="00000000">
            <w:r>
              <w:rPr>
                <w:rFonts w:ascii="Calibri" w:hAnsi="Calibri"/>
                <w:color w:val="2C2C2C"/>
                <w:sz w:val="20"/>
              </w:rPr>
              <w:t>URGENT hospital admission; IV fluids; stop statin immediately</w:t>
            </w:r>
          </w:p>
        </w:tc>
      </w:tr>
    </w:tbl>
    <w:p w14:paraId="5E69D064" w14:textId="77777777" w:rsidR="004005F2" w:rsidRDefault="004005F2"/>
    <w:tbl>
      <w:tblPr>
        <w:tblW w:w="0" w:type="auto"/>
        <w:tblLook w:val="04A0" w:firstRow="1" w:lastRow="0" w:firstColumn="1" w:lastColumn="0" w:noHBand="0" w:noVBand="1"/>
      </w:tblPr>
      <w:tblGrid>
        <w:gridCol w:w="9406"/>
      </w:tblGrid>
      <w:tr w:rsidR="004005F2" w14:paraId="05EE8D6B" w14:textId="77777777">
        <w:tc>
          <w:tcPr>
            <w:tcW w:w="9406" w:type="dxa"/>
            <w:shd w:val="clear" w:color="auto" w:fill="FFE8E8"/>
          </w:tcPr>
          <w:p w14:paraId="1C6C686B" w14:textId="77777777" w:rsidR="004005F2" w:rsidRDefault="00000000">
            <w:r>
              <w:rPr>
                <w:rFonts w:ascii="Calibri" w:hAnsi="Calibri"/>
                <w:b/>
                <w:color w:val="CC0000"/>
              </w:rPr>
              <w:t xml:space="preserve">Rhabdomyolysis risk factors:  </w:t>
            </w:r>
            <w:r>
              <w:rPr>
                <w:rFonts w:ascii="Calibri" w:hAnsi="Calibri"/>
                <w:color w:val="2C2C2C"/>
              </w:rPr>
              <w:t>Renal impairment · Hypothyroidism · High statin dose · Drug interactions · Personal/family history of muscle disorders · Alcohol excess · Recent major surgery · Vigorous exercise</w:t>
            </w:r>
          </w:p>
        </w:tc>
      </w:tr>
    </w:tbl>
    <w:p w14:paraId="2BB3EC5B" w14:textId="77777777" w:rsidR="004005F2" w:rsidRDefault="004005F2"/>
    <w:p w14:paraId="307F3886" w14:textId="77777777" w:rsidR="004005F2" w:rsidRDefault="00000000">
      <w:pPr>
        <w:spacing w:before="280" w:after="80"/>
      </w:pPr>
      <w:r>
        <w:rPr>
          <w:rFonts w:ascii="Calibri" w:hAnsi="Calibri"/>
          <w:b/>
          <w:color w:val="007A87"/>
          <w:sz w:val="28"/>
        </w:rPr>
        <w:t>Drugs That Interact with Statins (Raise Statin Levels → ↑ Myopathy Risk)</w:t>
      </w:r>
    </w:p>
    <w:tbl>
      <w:tblPr>
        <w:tblStyle w:val="TableGrid"/>
        <w:tblW w:w="0" w:type="auto"/>
        <w:tblLook w:val="04A0" w:firstRow="1" w:lastRow="0" w:firstColumn="1" w:lastColumn="0" w:noHBand="0" w:noVBand="1"/>
      </w:tblPr>
      <w:tblGrid>
        <w:gridCol w:w="3135"/>
        <w:gridCol w:w="3135"/>
        <w:gridCol w:w="3135"/>
      </w:tblGrid>
      <w:tr w:rsidR="004005F2" w14:paraId="66B217A0" w14:textId="77777777">
        <w:tc>
          <w:tcPr>
            <w:tcW w:w="3135" w:type="dxa"/>
            <w:shd w:val="clear" w:color="auto" w:fill="E0651F"/>
          </w:tcPr>
          <w:p w14:paraId="1BA841E0" w14:textId="77777777" w:rsidR="004005F2" w:rsidRDefault="00000000">
            <w:pPr>
              <w:jc w:val="center"/>
            </w:pPr>
            <w:r>
              <w:rPr>
                <w:rFonts w:ascii="Calibri" w:hAnsi="Calibri"/>
                <w:b/>
                <w:color w:val="FFFFFF"/>
                <w:sz w:val="20"/>
              </w:rPr>
              <w:t>Drug</w:t>
            </w:r>
          </w:p>
        </w:tc>
        <w:tc>
          <w:tcPr>
            <w:tcW w:w="3135" w:type="dxa"/>
            <w:shd w:val="clear" w:color="auto" w:fill="E0651F"/>
          </w:tcPr>
          <w:p w14:paraId="20F3F602" w14:textId="77777777" w:rsidR="004005F2" w:rsidRDefault="00000000">
            <w:pPr>
              <w:jc w:val="center"/>
            </w:pPr>
            <w:r>
              <w:rPr>
                <w:rFonts w:ascii="Calibri" w:hAnsi="Calibri"/>
                <w:b/>
                <w:color w:val="FFFFFF"/>
                <w:sz w:val="20"/>
              </w:rPr>
              <w:t>Interaction</w:t>
            </w:r>
          </w:p>
        </w:tc>
        <w:tc>
          <w:tcPr>
            <w:tcW w:w="3135" w:type="dxa"/>
            <w:shd w:val="clear" w:color="auto" w:fill="E0651F"/>
          </w:tcPr>
          <w:p w14:paraId="4A317714" w14:textId="77777777" w:rsidR="004005F2" w:rsidRDefault="00000000">
            <w:pPr>
              <w:jc w:val="center"/>
            </w:pPr>
            <w:r>
              <w:rPr>
                <w:rFonts w:ascii="Calibri" w:hAnsi="Calibri"/>
                <w:b/>
                <w:color w:val="FFFFFF"/>
                <w:sz w:val="20"/>
              </w:rPr>
              <w:t>Recommended Action</w:t>
            </w:r>
          </w:p>
        </w:tc>
      </w:tr>
      <w:tr w:rsidR="004005F2" w14:paraId="6E352015" w14:textId="77777777">
        <w:tc>
          <w:tcPr>
            <w:tcW w:w="3135" w:type="dxa"/>
          </w:tcPr>
          <w:p w14:paraId="59413B67" w14:textId="77777777" w:rsidR="004005F2" w:rsidRDefault="00000000">
            <w:r>
              <w:rPr>
                <w:rFonts w:ascii="Calibri" w:hAnsi="Calibri"/>
                <w:color w:val="2C2C2C"/>
                <w:sz w:val="20"/>
              </w:rPr>
              <w:t>Amiodarone</w:t>
            </w:r>
          </w:p>
        </w:tc>
        <w:tc>
          <w:tcPr>
            <w:tcW w:w="3135" w:type="dxa"/>
          </w:tcPr>
          <w:p w14:paraId="3690B5EF" w14:textId="77777777" w:rsidR="004005F2" w:rsidRDefault="00000000">
            <w:r>
              <w:rPr>
                <w:rFonts w:ascii="Calibri" w:hAnsi="Calibri"/>
                <w:color w:val="2C2C2C"/>
                <w:sz w:val="20"/>
              </w:rPr>
              <w:t>CYP3A4 inhibition → ↑ simvastatin levels</w:t>
            </w:r>
          </w:p>
        </w:tc>
        <w:tc>
          <w:tcPr>
            <w:tcW w:w="3135" w:type="dxa"/>
          </w:tcPr>
          <w:p w14:paraId="68A071A8" w14:textId="77777777" w:rsidR="004005F2" w:rsidRDefault="00000000">
            <w:r>
              <w:rPr>
                <w:rFonts w:ascii="Calibri" w:hAnsi="Calibri"/>
                <w:color w:val="2C2C2C"/>
                <w:sz w:val="20"/>
              </w:rPr>
              <w:t>Avoid simvastatin &gt;20 mg; prefer atorvastatin/rosuvastatin</w:t>
            </w:r>
          </w:p>
        </w:tc>
      </w:tr>
      <w:tr w:rsidR="004005F2" w14:paraId="6EB7CBCA" w14:textId="77777777">
        <w:tc>
          <w:tcPr>
            <w:tcW w:w="3135" w:type="dxa"/>
          </w:tcPr>
          <w:p w14:paraId="071CAE9B" w14:textId="77777777" w:rsidR="004005F2" w:rsidRDefault="00000000">
            <w:r>
              <w:rPr>
                <w:rFonts w:ascii="Calibri" w:hAnsi="Calibri"/>
                <w:color w:val="2C2C2C"/>
                <w:sz w:val="20"/>
              </w:rPr>
              <w:t>Diltiazem / Verapamil</w:t>
            </w:r>
          </w:p>
        </w:tc>
        <w:tc>
          <w:tcPr>
            <w:tcW w:w="3135" w:type="dxa"/>
          </w:tcPr>
          <w:p w14:paraId="72633637" w14:textId="77777777" w:rsidR="004005F2" w:rsidRDefault="00000000">
            <w:r>
              <w:rPr>
                <w:rFonts w:ascii="Calibri" w:hAnsi="Calibri"/>
                <w:color w:val="2C2C2C"/>
                <w:sz w:val="20"/>
              </w:rPr>
              <w:t>CYP3A4 inhibition</w:t>
            </w:r>
          </w:p>
        </w:tc>
        <w:tc>
          <w:tcPr>
            <w:tcW w:w="3135" w:type="dxa"/>
          </w:tcPr>
          <w:p w14:paraId="6323C7E0" w14:textId="77777777" w:rsidR="004005F2" w:rsidRDefault="00000000">
            <w:r>
              <w:rPr>
                <w:rFonts w:ascii="Calibri" w:hAnsi="Calibri"/>
                <w:color w:val="2C2C2C"/>
                <w:sz w:val="20"/>
              </w:rPr>
              <w:t>Limit simvastatin dose; switch if needed</w:t>
            </w:r>
          </w:p>
        </w:tc>
      </w:tr>
      <w:tr w:rsidR="004005F2" w14:paraId="4A7F50CD" w14:textId="77777777">
        <w:tc>
          <w:tcPr>
            <w:tcW w:w="3135" w:type="dxa"/>
          </w:tcPr>
          <w:p w14:paraId="1C120869" w14:textId="77777777" w:rsidR="004005F2" w:rsidRDefault="00000000">
            <w:r>
              <w:rPr>
                <w:rFonts w:ascii="Calibri" w:hAnsi="Calibri"/>
                <w:color w:val="2C2C2C"/>
                <w:sz w:val="20"/>
              </w:rPr>
              <w:t>Azole antifungals (fluconazole, itraconazole)</w:t>
            </w:r>
          </w:p>
        </w:tc>
        <w:tc>
          <w:tcPr>
            <w:tcW w:w="3135" w:type="dxa"/>
          </w:tcPr>
          <w:p w14:paraId="7AD959B7" w14:textId="77777777" w:rsidR="004005F2" w:rsidRDefault="00000000">
            <w:r>
              <w:rPr>
                <w:rFonts w:ascii="Calibri" w:hAnsi="Calibri"/>
                <w:color w:val="2C2C2C"/>
                <w:sz w:val="20"/>
              </w:rPr>
              <w:t>Potent CYP3A4 inhibitors</w:t>
            </w:r>
          </w:p>
        </w:tc>
        <w:tc>
          <w:tcPr>
            <w:tcW w:w="3135" w:type="dxa"/>
          </w:tcPr>
          <w:p w14:paraId="7F53BCCF" w14:textId="77777777" w:rsidR="004005F2" w:rsidRDefault="00000000">
            <w:r>
              <w:rPr>
                <w:rFonts w:ascii="Calibri" w:hAnsi="Calibri"/>
                <w:color w:val="2C2C2C"/>
                <w:sz w:val="20"/>
              </w:rPr>
              <w:t>Stop statin temporarily during short course</w:t>
            </w:r>
          </w:p>
        </w:tc>
      </w:tr>
      <w:tr w:rsidR="004005F2" w14:paraId="02ABCA0B" w14:textId="77777777">
        <w:tc>
          <w:tcPr>
            <w:tcW w:w="3135" w:type="dxa"/>
          </w:tcPr>
          <w:p w14:paraId="114BAF34" w14:textId="77777777" w:rsidR="004005F2" w:rsidRDefault="00000000">
            <w:r>
              <w:rPr>
                <w:rFonts w:ascii="Calibri" w:hAnsi="Calibri"/>
                <w:color w:val="2C2C2C"/>
                <w:sz w:val="20"/>
              </w:rPr>
              <w:lastRenderedPageBreak/>
              <w:t>Macrolides (erythromycin, clarithromycin)</w:t>
            </w:r>
          </w:p>
        </w:tc>
        <w:tc>
          <w:tcPr>
            <w:tcW w:w="3135" w:type="dxa"/>
          </w:tcPr>
          <w:p w14:paraId="1F8D127E" w14:textId="77777777" w:rsidR="004005F2" w:rsidRDefault="00000000">
            <w:r>
              <w:rPr>
                <w:rFonts w:ascii="Calibri" w:hAnsi="Calibri"/>
                <w:color w:val="2C2C2C"/>
                <w:sz w:val="20"/>
              </w:rPr>
              <w:t>CYP3A4 inhibition</w:t>
            </w:r>
          </w:p>
        </w:tc>
        <w:tc>
          <w:tcPr>
            <w:tcW w:w="3135" w:type="dxa"/>
          </w:tcPr>
          <w:p w14:paraId="020B32E2" w14:textId="77777777" w:rsidR="004005F2" w:rsidRDefault="00000000">
            <w:r>
              <w:rPr>
                <w:rFonts w:ascii="Calibri" w:hAnsi="Calibri"/>
                <w:color w:val="2C2C2C"/>
                <w:sz w:val="20"/>
              </w:rPr>
              <w:t>Stop statin temporarily during course</w:t>
            </w:r>
          </w:p>
        </w:tc>
      </w:tr>
      <w:tr w:rsidR="004005F2" w14:paraId="3A502088" w14:textId="77777777">
        <w:tc>
          <w:tcPr>
            <w:tcW w:w="3135" w:type="dxa"/>
          </w:tcPr>
          <w:p w14:paraId="1372B57C" w14:textId="77777777" w:rsidR="004005F2" w:rsidRDefault="00000000">
            <w:r>
              <w:rPr>
                <w:rFonts w:ascii="Calibri" w:hAnsi="Calibri"/>
                <w:color w:val="2C2C2C"/>
                <w:sz w:val="20"/>
              </w:rPr>
              <w:t>Ciclosporin</w:t>
            </w:r>
          </w:p>
        </w:tc>
        <w:tc>
          <w:tcPr>
            <w:tcW w:w="3135" w:type="dxa"/>
          </w:tcPr>
          <w:p w14:paraId="32A903F9" w14:textId="77777777" w:rsidR="004005F2" w:rsidRDefault="00000000">
            <w:r>
              <w:rPr>
                <w:rFonts w:ascii="Calibri" w:hAnsi="Calibri"/>
                <w:color w:val="2C2C2C"/>
                <w:sz w:val="20"/>
              </w:rPr>
              <w:t>OATP1B1 inhibition → ↑ all statin levels</w:t>
            </w:r>
          </w:p>
        </w:tc>
        <w:tc>
          <w:tcPr>
            <w:tcW w:w="3135" w:type="dxa"/>
          </w:tcPr>
          <w:p w14:paraId="190A46F0" w14:textId="77777777" w:rsidR="004005F2" w:rsidRDefault="00000000">
            <w:r>
              <w:rPr>
                <w:rFonts w:ascii="Calibri" w:hAnsi="Calibri"/>
                <w:color w:val="2C2C2C"/>
                <w:sz w:val="20"/>
              </w:rPr>
              <w:t>Specialist advice; avoid most statins</w:t>
            </w:r>
          </w:p>
        </w:tc>
      </w:tr>
      <w:tr w:rsidR="004005F2" w14:paraId="07DD2D3C" w14:textId="77777777">
        <w:tc>
          <w:tcPr>
            <w:tcW w:w="3135" w:type="dxa"/>
          </w:tcPr>
          <w:p w14:paraId="2EFCD5DA" w14:textId="77777777" w:rsidR="004005F2" w:rsidRDefault="00000000">
            <w:r>
              <w:rPr>
                <w:rFonts w:ascii="Calibri" w:hAnsi="Calibri"/>
                <w:color w:val="2C2C2C"/>
                <w:sz w:val="20"/>
              </w:rPr>
              <w:t>Fibrates (especially gemfibrozil)</w:t>
            </w:r>
          </w:p>
        </w:tc>
        <w:tc>
          <w:tcPr>
            <w:tcW w:w="3135" w:type="dxa"/>
          </w:tcPr>
          <w:p w14:paraId="34A4DADF" w14:textId="77777777" w:rsidR="004005F2" w:rsidRDefault="00000000">
            <w:r>
              <w:rPr>
                <w:rFonts w:ascii="Calibri" w:hAnsi="Calibri"/>
                <w:color w:val="2C2C2C"/>
                <w:sz w:val="20"/>
              </w:rPr>
              <w:t>OATP1B1 inhibition + direct muscle toxicity</w:t>
            </w:r>
          </w:p>
        </w:tc>
        <w:tc>
          <w:tcPr>
            <w:tcW w:w="3135" w:type="dxa"/>
          </w:tcPr>
          <w:p w14:paraId="336D6C36" w14:textId="77777777" w:rsidR="004005F2" w:rsidRDefault="00000000">
            <w:r>
              <w:rPr>
                <w:rFonts w:ascii="Calibri" w:hAnsi="Calibri"/>
                <w:color w:val="2C2C2C"/>
                <w:sz w:val="20"/>
              </w:rPr>
              <w:t>Avoid combination; if needed, use fenofibrate with atorvastatin/rosuvastatin</w:t>
            </w:r>
          </w:p>
        </w:tc>
      </w:tr>
      <w:tr w:rsidR="004005F2" w14:paraId="566DF81C" w14:textId="77777777">
        <w:tc>
          <w:tcPr>
            <w:tcW w:w="3135" w:type="dxa"/>
          </w:tcPr>
          <w:p w14:paraId="4B1D1390" w14:textId="77777777" w:rsidR="004005F2" w:rsidRDefault="00000000">
            <w:r>
              <w:rPr>
                <w:rFonts w:ascii="Calibri" w:hAnsi="Calibri"/>
                <w:color w:val="2C2C2C"/>
                <w:sz w:val="20"/>
              </w:rPr>
              <w:t>HIV protease inhibitors</w:t>
            </w:r>
          </w:p>
        </w:tc>
        <w:tc>
          <w:tcPr>
            <w:tcW w:w="3135" w:type="dxa"/>
          </w:tcPr>
          <w:p w14:paraId="35846111" w14:textId="77777777" w:rsidR="004005F2" w:rsidRDefault="00000000">
            <w:r>
              <w:rPr>
                <w:rFonts w:ascii="Calibri" w:hAnsi="Calibri"/>
                <w:color w:val="2C2C2C"/>
                <w:sz w:val="20"/>
              </w:rPr>
              <w:t>CYP3A4 and OATP1B1 inhibition</w:t>
            </w:r>
          </w:p>
        </w:tc>
        <w:tc>
          <w:tcPr>
            <w:tcW w:w="3135" w:type="dxa"/>
          </w:tcPr>
          <w:p w14:paraId="328C9647" w14:textId="77777777" w:rsidR="004005F2" w:rsidRDefault="00000000">
            <w:r>
              <w:rPr>
                <w:rFonts w:ascii="Calibri" w:hAnsi="Calibri"/>
                <w:color w:val="2C2C2C"/>
                <w:sz w:val="20"/>
              </w:rPr>
              <w:t>Specialist prescribing; choose pravastatin/rosuvastatin</w:t>
            </w:r>
          </w:p>
        </w:tc>
      </w:tr>
      <w:tr w:rsidR="004005F2" w14:paraId="2E15619D" w14:textId="77777777">
        <w:tc>
          <w:tcPr>
            <w:tcW w:w="3135" w:type="dxa"/>
          </w:tcPr>
          <w:p w14:paraId="53D42D9A" w14:textId="77777777" w:rsidR="004005F2" w:rsidRDefault="00000000">
            <w:r>
              <w:rPr>
                <w:rFonts w:ascii="Calibri" w:hAnsi="Calibri"/>
                <w:color w:val="2C2C2C"/>
                <w:sz w:val="20"/>
              </w:rPr>
              <w:t>Grapefruit juice</w:t>
            </w:r>
          </w:p>
        </w:tc>
        <w:tc>
          <w:tcPr>
            <w:tcW w:w="3135" w:type="dxa"/>
          </w:tcPr>
          <w:p w14:paraId="0DE64836" w14:textId="77777777" w:rsidR="004005F2" w:rsidRDefault="00000000">
            <w:r>
              <w:rPr>
                <w:rFonts w:ascii="Calibri" w:hAnsi="Calibri"/>
                <w:color w:val="2C2C2C"/>
                <w:sz w:val="20"/>
              </w:rPr>
              <w:t>CYP3A4 inhibition</w:t>
            </w:r>
          </w:p>
        </w:tc>
        <w:tc>
          <w:tcPr>
            <w:tcW w:w="3135" w:type="dxa"/>
          </w:tcPr>
          <w:p w14:paraId="566CFC3C" w14:textId="77777777" w:rsidR="004005F2" w:rsidRDefault="00000000">
            <w:r>
              <w:rPr>
                <w:rFonts w:ascii="Calibri" w:hAnsi="Calibri"/>
                <w:color w:val="2C2C2C"/>
                <w:sz w:val="20"/>
              </w:rPr>
              <w:t>Avoid with simvastatin and atorvastatin</w:t>
            </w:r>
          </w:p>
        </w:tc>
      </w:tr>
      <w:tr w:rsidR="004005F2" w14:paraId="35CA84CF" w14:textId="77777777">
        <w:tc>
          <w:tcPr>
            <w:tcW w:w="3135" w:type="dxa"/>
          </w:tcPr>
          <w:p w14:paraId="054E9962" w14:textId="77777777" w:rsidR="004005F2" w:rsidRDefault="00000000">
            <w:r>
              <w:rPr>
                <w:rFonts w:ascii="Calibri" w:hAnsi="Calibri"/>
                <w:color w:val="2C2C2C"/>
                <w:sz w:val="20"/>
              </w:rPr>
              <w:t>Warfarin</w:t>
            </w:r>
          </w:p>
        </w:tc>
        <w:tc>
          <w:tcPr>
            <w:tcW w:w="3135" w:type="dxa"/>
          </w:tcPr>
          <w:p w14:paraId="335EF3CF" w14:textId="77777777" w:rsidR="004005F2" w:rsidRDefault="00000000">
            <w:r>
              <w:rPr>
                <w:rFonts w:ascii="Calibri" w:hAnsi="Calibri"/>
                <w:color w:val="2C2C2C"/>
                <w:sz w:val="20"/>
              </w:rPr>
              <w:t>Statins potentiate anticoagulation</w:t>
            </w:r>
          </w:p>
        </w:tc>
        <w:tc>
          <w:tcPr>
            <w:tcW w:w="3135" w:type="dxa"/>
          </w:tcPr>
          <w:p w14:paraId="5CBC104F" w14:textId="77777777" w:rsidR="004005F2" w:rsidRDefault="00000000">
            <w:r>
              <w:rPr>
                <w:rFonts w:ascii="Calibri" w:hAnsi="Calibri"/>
                <w:color w:val="2C2C2C"/>
                <w:sz w:val="20"/>
              </w:rPr>
              <w:t>Monitor INR more frequently after statin start/change</w:t>
            </w:r>
          </w:p>
        </w:tc>
      </w:tr>
    </w:tbl>
    <w:p w14:paraId="3555D86F" w14:textId="77777777" w:rsidR="004005F2" w:rsidRDefault="004005F2"/>
    <w:p w14:paraId="395CEEFE" w14:textId="77777777" w:rsidR="004005F2" w:rsidRDefault="00000000">
      <w:pPr>
        <w:spacing w:before="280" w:after="80"/>
      </w:pPr>
      <w:r>
        <w:rPr>
          <w:rFonts w:ascii="Calibri" w:hAnsi="Calibri"/>
          <w:b/>
          <w:color w:val="007A87"/>
          <w:sz w:val="28"/>
        </w:rPr>
        <w:t>Contraindications to Statin Prescribing</w:t>
      </w:r>
    </w:p>
    <w:tbl>
      <w:tblPr>
        <w:tblW w:w="0" w:type="auto"/>
        <w:tblLook w:val="04A0" w:firstRow="1" w:lastRow="0" w:firstColumn="1" w:lastColumn="0" w:noHBand="0" w:noVBand="1"/>
      </w:tblPr>
      <w:tblGrid>
        <w:gridCol w:w="9406"/>
      </w:tblGrid>
      <w:tr w:rsidR="004005F2" w14:paraId="446EB965" w14:textId="77777777">
        <w:tc>
          <w:tcPr>
            <w:tcW w:w="9406" w:type="dxa"/>
            <w:shd w:val="clear" w:color="auto" w:fill="FFE8E8"/>
          </w:tcPr>
          <w:p w14:paraId="3D4969DB" w14:textId="77777777" w:rsidR="004005F2" w:rsidRDefault="00000000">
            <w:r>
              <w:rPr>
                <w:rFonts w:ascii="Calibri" w:hAnsi="Calibri"/>
                <w:b/>
                <w:color w:val="CC0000"/>
              </w:rPr>
              <w:t xml:space="preserve">Do not prescribe statins if:  </w:t>
            </w:r>
            <w:r>
              <w:rPr>
                <w:rFonts w:ascii="Calibri" w:hAnsi="Calibri"/>
                <w:color w:val="2C2C2C"/>
              </w:rPr>
              <w:t>• Hypersensitivity to the product</w:t>
            </w:r>
            <w:r>
              <w:rPr>
                <w:rFonts w:ascii="Calibri" w:hAnsi="Calibri"/>
                <w:color w:val="2C2C2C"/>
              </w:rPr>
              <w:br/>
              <w:t>• Active liver disease including unexplained, persistent ALT/AST &gt;3× ULN</w:t>
            </w:r>
            <w:r>
              <w:rPr>
                <w:rFonts w:ascii="Calibri" w:hAnsi="Calibri"/>
                <w:color w:val="2C2C2C"/>
              </w:rPr>
              <w:br/>
              <w:t>• Pregnancy (stop 3 months before conception; do not restart until breastfeeding complete)</w:t>
            </w:r>
            <w:r>
              <w:rPr>
                <w:rFonts w:ascii="Calibri" w:hAnsi="Calibri"/>
                <w:color w:val="2C2C2C"/>
              </w:rPr>
              <w:br/>
              <w:t>• Known myopathy or personal risk factors for rhabdomyolysis</w:t>
            </w:r>
            <w:r>
              <w:rPr>
                <w:rFonts w:ascii="Calibri" w:hAnsi="Calibri"/>
                <w:color w:val="2C2C2C"/>
              </w:rPr>
              <w:br/>
              <w:t>• Concomitant ciclosporin (with simvastatin/lovastatin — specialist only)</w:t>
            </w:r>
          </w:p>
        </w:tc>
      </w:tr>
    </w:tbl>
    <w:p w14:paraId="66CB326D" w14:textId="77777777" w:rsidR="004005F2" w:rsidRDefault="004005F2"/>
    <w:p w14:paraId="1C5A7E87" w14:textId="77777777" w:rsidR="004005F2" w:rsidRDefault="00000000">
      <w:pPr>
        <w:spacing w:before="280" w:after="80"/>
      </w:pPr>
      <w:r>
        <w:rPr>
          <w:rFonts w:ascii="Calibri" w:hAnsi="Calibri"/>
          <w:b/>
          <w:color w:val="007A87"/>
          <w:sz w:val="28"/>
        </w:rPr>
        <w:t>Non-Invasive Liver Screen (if indicated)</w:t>
      </w:r>
    </w:p>
    <w:p w14:paraId="56B4CF58" w14:textId="77777777" w:rsidR="004005F2" w:rsidRDefault="00000000">
      <w:pPr>
        <w:pStyle w:val="ListBullet"/>
        <w:ind w:left="283"/>
      </w:pPr>
      <w:r>
        <w:rPr>
          <w:rFonts w:ascii="Calibri" w:hAnsi="Calibri"/>
          <w:color w:val="2C2C2C"/>
        </w:rPr>
        <w:t>Hepatitis B surface antigen + Hepatitis C antibody</w:t>
      </w:r>
    </w:p>
    <w:p w14:paraId="718335B0" w14:textId="77777777" w:rsidR="004005F2" w:rsidRDefault="00000000">
      <w:pPr>
        <w:pStyle w:val="ListBullet"/>
        <w:ind w:left="283"/>
      </w:pPr>
      <w:r>
        <w:rPr>
          <w:rFonts w:ascii="Calibri" w:hAnsi="Calibri"/>
          <w:color w:val="2C2C2C"/>
        </w:rPr>
        <w:t>Autoantibodies: ANA, AMA, SMA (ASMA), anti-LKM</w:t>
      </w:r>
    </w:p>
    <w:p w14:paraId="51AF8F28" w14:textId="77777777" w:rsidR="004005F2" w:rsidRDefault="00000000">
      <w:pPr>
        <w:pStyle w:val="ListBullet"/>
        <w:ind w:left="283"/>
      </w:pPr>
      <w:r>
        <w:rPr>
          <w:rFonts w:ascii="Calibri" w:hAnsi="Calibri"/>
          <w:color w:val="2C2C2C"/>
        </w:rPr>
        <w:t>Immunoglobulins (IgG, IgA, IgM)</w:t>
      </w:r>
    </w:p>
    <w:p w14:paraId="5713D2DD" w14:textId="77777777" w:rsidR="004005F2" w:rsidRDefault="00000000">
      <w:pPr>
        <w:pStyle w:val="ListBullet"/>
        <w:ind w:left="283"/>
      </w:pPr>
      <w:r>
        <w:rPr>
          <w:rFonts w:ascii="Calibri" w:hAnsi="Calibri"/>
          <w:color w:val="2C2C2C"/>
        </w:rPr>
        <w:t>Ferritin (haemochromatosis)</w:t>
      </w:r>
    </w:p>
    <w:p w14:paraId="2E8D4041" w14:textId="77777777" w:rsidR="004005F2" w:rsidRDefault="00000000">
      <w:pPr>
        <w:pStyle w:val="ListBullet"/>
        <w:ind w:left="283"/>
      </w:pPr>
      <w:r>
        <w:rPr>
          <w:rFonts w:ascii="Calibri" w:hAnsi="Calibri"/>
          <w:color w:val="2C2C2C"/>
        </w:rPr>
        <w:t>Alpha-1 antitrypsin (AAT)</w:t>
      </w:r>
    </w:p>
    <w:p w14:paraId="7BE6BA87" w14:textId="77777777" w:rsidR="004005F2" w:rsidRDefault="00000000">
      <w:pPr>
        <w:pStyle w:val="ListBullet"/>
        <w:ind w:left="283"/>
      </w:pPr>
      <w:r>
        <w:rPr>
          <w:rFonts w:ascii="Calibri" w:hAnsi="Calibri"/>
          <w:color w:val="2C2C2C"/>
        </w:rPr>
        <w:t>Caeruloplasmin (Wilson's disease — in younger patients)</w:t>
      </w:r>
    </w:p>
    <w:p w14:paraId="5D8EC0BB" w14:textId="77777777" w:rsidR="004005F2" w:rsidRDefault="00000000">
      <w:pPr>
        <w:pStyle w:val="ListBullet"/>
        <w:ind w:left="283"/>
      </w:pPr>
      <w:r>
        <w:rPr>
          <w:rFonts w:ascii="Calibri" w:hAnsi="Calibri"/>
          <w:color w:val="2C2C2C"/>
        </w:rPr>
        <w:t>AFP (if cirrhosis suspected)</w:t>
      </w:r>
    </w:p>
    <w:p w14:paraId="4884B128" w14:textId="77777777" w:rsidR="004005F2" w:rsidRDefault="00000000">
      <w:pPr>
        <w:pStyle w:val="ListBullet"/>
        <w:ind w:left="283"/>
      </w:pPr>
      <w:r>
        <w:rPr>
          <w:rFonts w:ascii="Calibri" w:hAnsi="Calibri"/>
          <w:color w:val="2C2C2C"/>
        </w:rPr>
        <w:t>USS liver (fatty liver, structural disease)</w:t>
      </w:r>
    </w:p>
    <w:p w14:paraId="258D229A" w14:textId="77777777" w:rsidR="004005F2" w:rsidRDefault="004005F2"/>
    <w:tbl>
      <w:tblPr>
        <w:tblW w:w="0" w:type="auto"/>
        <w:tblLook w:val="04A0" w:firstRow="1" w:lastRow="0" w:firstColumn="1" w:lastColumn="0" w:noHBand="0" w:noVBand="1"/>
      </w:tblPr>
      <w:tblGrid>
        <w:gridCol w:w="9406"/>
      </w:tblGrid>
      <w:tr w:rsidR="004005F2" w14:paraId="52F1B982" w14:textId="77777777">
        <w:tc>
          <w:tcPr>
            <w:tcW w:w="9406" w:type="dxa"/>
            <w:shd w:val="clear" w:color="auto" w:fill="EAF4FB"/>
          </w:tcPr>
          <w:p w14:paraId="327523F8" w14:textId="77777777" w:rsidR="004005F2" w:rsidRDefault="00000000">
            <w:r>
              <w:rPr>
                <w:rFonts w:ascii="Calibri" w:hAnsi="Calibri"/>
                <w:b/>
                <w:color w:val="007A87"/>
              </w:rPr>
              <w:t xml:space="preserve">💡 Key Message:  </w:t>
            </w:r>
            <w:r>
              <w:rPr>
                <w:rFonts w:ascii="Calibri" w:hAnsi="Calibri"/>
                <w:color w:val="2C2C2C"/>
              </w:rPr>
              <w:t>Statins are safe in the vast majority of patients, including those with mild/moderate liver enzyme elevations or pre-existing chronic liver disease. Do not let fear of hepatotoxicity lead to under-prescribing in high-risk patients who need statin therapy.</w:t>
            </w:r>
          </w:p>
        </w:tc>
      </w:tr>
    </w:tbl>
    <w:p w14:paraId="60B9E99A" w14:textId="77777777" w:rsidR="004005F2" w:rsidRDefault="004005F2"/>
    <w:tbl>
      <w:tblPr>
        <w:tblW w:w="0" w:type="auto"/>
        <w:tblLook w:val="04A0" w:firstRow="1" w:lastRow="0" w:firstColumn="1" w:lastColumn="0" w:noHBand="0" w:noVBand="1"/>
      </w:tblPr>
      <w:tblGrid>
        <w:gridCol w:w="9406"/>
      </w:tblGrid>
      <w:tr w:rsidR="004005F2" w14:paraId="595418CF" w14:textId="77777777">
        <w:tc>
          <w:tcPr>
            <w:tcW w:w="9406" w:type="dxa"/>
            <w:shd w:val="clear" w:color="auto" w:fill="FFF3E8"/>
          </w:tcPr>
          <w:p w14:paraId="5743A66A" w14:textId="77777777" w:rsidR="004005F2" w:rsidRDefault="00000000">
            <w:r>
              <w:rPr>
                <w:rFonts w:ascii="Calibri" w:hAnsi="Calibri"/>
                <w:b/>
                <w:color w:val="C85510"/>
              </w:rPr>
              <w:t xml:space="preserve">⚠ Disclaimer:  </w:t>
            </w:r>
            <w:r>
              <w:rPr>
                <w:rFonts w:ascii="Calibri" w:hAnsi="Calibri"/>
                <w:color w:val="2C2C2C"/>
              </w:rPr>
              <w:t>Always double check this advice and drug doses with the latest NICE/BNF guidance. This document is for educational purposes only.</w:t>
            </w:r>
          </w:p>
        </w:tc>
      </w:tr>
    </w:tbl>
    <w:p w14:paraId="0A48910C" w14:textId="77777777" w:rsidR="004005F2" w:rsidRDefault="004005F2"/>
    <w:sectPr w:rsidR="004005F2"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5921" w14:textId="77777777" w:rsidR="00CB6845" w:rsidRDefault="00CB6845">
      <w:pPr>
        <w:spacing w:after="0" w:line="240" w:lineRule="auto"/>
      </w:pPr>
      <w:r>
        <w:separator/>
      </w:r>
    </w:p>
  </w:endnote>
  <w:endnote w:type="continuationSeparator" w:id="0">
    <w:p w14:paraId="12F7BA50" w14:textId="77777777" w:rsidR="00CB6845" w:rsidRDefault="00CB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9A30" w14:textId="77777777" w:rsidR="004005F2" w:rsidRDefault="00000000">
    <w:pPr>
      <w:pStyle w:val="Footer"/>
      <w:jc w:val="center"/>
    </w:pPr>
    <w:r>
      <w:rPr>
        <w:rFonts w:ascii="Calibri" w:hAnsi="Calibri"/>
        <w:i/>
        <w:color w:val="2C2C2C"/>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4E2C1" w14:textId="77777777" w:rsidR="00CB6845" w:rsidRDefault="00CB6845">
      <w:pPr>
        <w:spacing w:after="0" w:line="240" w:lineRule="auto"/>
      </w:pPr>
      <w:r>
        <w:separator/>
      </w:r>
    </w:p>
  </w:footnote>
  <w:footnote w:type="continuationSeparator" w:id="0">
    <w:p w14:paraId="018518B8" w14:textId="77777777" w:rsidR="00CB6845" w:rsidRDefault="00CB6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0168729">
    <w:abstractNumId w:val="8"/>
  </w:num>
  <w:num w:numId="2" w16cid:durableId="1298560732">
    <w:abstractNumId w:val="6"/>
  </w:num>
  <w:num w:numId="3" w16cid:durableId="423452841">
    <w:abstractNumId w:val="5"/>
  </w:num>
  <w:num w:numId="4" w16cid:durableId="1641417821">
    <w:abstractNumId w:val="4"/>
  </w:num>
  <w:num w:numId="5" w16cid:durableId="92172074">
    <w:abstractNumId w:val="7"/>
  </w:num>
  <w:num w:numId="6" w16cid:durableId="2041661167">
    <w:abstractNumId w:val="3"/>
  </w:num>
  <w:num w:numId="7" w16cid:durableId="1394504754">
    <w:abstractNumId w:val="2"/>
  </w:num>
  <w:num w:numId="8" w16cid:durableId="298534540">
    <w:abstractNumId w:val="1"/>
  </w:num>
  <w:num w:numId="9" w16cid:durableId="739209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05F2"/>
    <w:rsid w:val="005547AA"/>
    <w:rsid w:val="00867E05"/>
    <w:rsid w:val="00AA1D8D"/>
    <w:rsid w:val="00B47730"/>
    <w:rsid w:val="00CB0664"/>
    <w:rsid w:val="00CB68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98CC9"/>
  <w14:defaultImageDpi w14:val="300"/>
  <w15:docId w15:val="{83A224BD-9B4B-4721-B5C7-3CB901B8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4756</Characters>
  <Application>Microsoft Office Word</Application>
  <DocSecurity>0</DocSecurity>
  <Lines>144</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2026-05-06T17:03:00Z</dcterms:modified>
  <cp:category/>
</cp:coreProperties>
</file>