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Pr>
      <w:tblGrid>
        <w:gridCol w:w="9406"/>
      </w:tblGrid>
      <w:tr>
        <w:tc>
          <w:tcPr>
            <w:tcW w:type="dxa" w:w="9360"/>
            <w:shd w:val="clear" w:color="auto" w:fill="E0651F"/>
          </w:tcPr>
          <w:p>
            <w:pPr>
              <w:jc w:val="center"/>
            </w:pPr>
            <w:r>
              <w:rPr>
                <w:rFonts w:ascii="Calibri" w:hAnsi="Calibri"/>
                <w:b/>
                <w:caps/>
                <w:color w:val="FFFFFF"/>
                <w:sz w:val="22"/>
              </w:rPr>
              <w:t>BRADFORD VTS TEACHING AIDS</w:t>
            </w:r>
          </w:p>
          <w:p>
            <w:pPr>
              <w:jc w:val="center"/>
            </w:pPr>
            <w:r>
              <w:rPr>
                <w:rFonts w:ascii="Calibri" w:hAnsi="Calibri"/>
                <w:b/>
                <w:color w:val="FFFFFF"/>
                <w:sz w:val="56"/>
              </w:rPr>
              <w:t>Hypertension — Clinical Case Studies</w:t>
            </w:r>
          </w:p>
          <w:p>
            <w:pPr>
              <w:jc w:val="center"/>
            </w:pPr>
            <w:r>
              <w:rPr>
                <w:rFonts w:ascii="Calibri" w:hAnsi="Calibri"/>
                <w:i/>
                <w:color w:val="FFFFFF"/>
                <w:sz w:val="24"/>
              </w:rPr>
              <w:t>GP Tutorial Resource · Bradford VTS · May 2026</w:t>
            </w:r>
          </w:p>
        </w:tc>
      </w:tr>
    </w:tbl>
    <w:p/>
    <w:p>
      <w:pPr>
        <w:spacing w:after="80"/>
      </w:pPr>
      <w:r>
        <w:rPr>
          <w:rFonts w:ascii="Calibri" w:hAnsi="Calibri"/>
          <w:b w:val="0"/>
          <w:i w:val="0"/>
          <w:color w:val="2C2C2C"/>
          <w:sz w:val="22"/>
        </w:rPr>
        <w:t>These case studies are designed for small-group tutorial use. Work through each case, discuss the questions, and then compare your answers with the NICE NG136 (November 2023) guidance notes on the final page. Push yourself to think about exactly what you would say to each patient.</w:t>
      </w:r>
    </w:p>
    <w:p>
      <w:pPr>
        <w:spacing w:before="280" w:after="80"/>
      </w:pPr>
      <w:r>
        <w:rPr>
          <w:rFonts w:ascii="Calibri" w:hAnsi="Calibri"/>
          <w:b/>
          <w:color w:val="C85510"/>
          <w:sz w:val="28"/>
        </w:rPr>
        <w:t>Case 1: Mike — The Supermarket Manager</w:t>
      </w:r>
    </w:p>
    <w:tbl>
      <w:tblPr>
        <w:tblW w:type="auto" w:w="0"/>
        <w:jc w:val="left"/>
        <w:tblLook w:firstColumn="1" w:firstRow="1" w:lastColumn="0" w:lastRow="0" w:noHBand="0" w:noVBand="1" w:val="04A0"/>
      </w:tblPr>
      <w:tblGrid>
        <w:gridCol w:w="9406"/>
      </w:tblGrid>
      <w:tr>
        <w:tc>
          <w:tcPr>
            <w:tcW w:type="dxa" w:w="9406"/>
            <w:shd w:val="clear" w:color="auto" w:fill="EAF4FB"/>
          </w:tcPr>
          <w:p>
            <w:r>
              <w:rPr>
                <w:rFonts w:ascii="Calibri" w:hAnsi="Calibri"/>
                <w:b/>
                <w:color w:val="007A87"/>
                <w:sz w:val="22"/>
              </w:rPr>
              <w:t xml:space="preserve">📋 Patient Vignette:  </w:t>
            </w:r>
            <w:r>
              <w:rPr>
                <w:rFonts w:ascii="Calibri" w:hAnsi="Calibri"/>
                <w:color w:val="2C2C2C"/>
                <w:sz w:val="22"/>
              </w:rPr>
              <w:t>Mike Bordelaine is a 45-year-old supermarket manager. He attends for a well-person check. His clinic BP today is 145/93 mmHg. He has no other significant medical history. He gave up smoking 20 cigarettes/day 15 years ago. He drinks ~20 units of alcohol per week. BMI is 26. His father had ischaemic heart disease. Total cholesterol is 5.0 mmol/L. QRISK3 score is approximately 12%.</w:t>
            </w:r>
          </w:p>
        </w:tc>
      </w:tr>
    </w:tbl>
    <w:p/>
    <w:p>
      <w:pPr>
        <w:spacing w:after="80"/>
      </w:pPr>
      <w:r>
        <w:rPr>
          <w:rFonts w:ascii="Calibri" w:hAnsi="Calibri"/>
          <w:b/>
          <w:i w:val="0"/>
          <w:color w:val="007A87"/>
          <w:sz w:val="22"/>
        </w:rPr>
        <w:t>Discussion Questions:</w:t>
      </w:r>
    </w:p>
    <w:p>
      <w:pPr>
        <w:pStyle w:val="ListBullet"/>
        <w:ind w:left="283"/>
      </w:pPr>
      <w:r>
        <w:rPr>
          <w:rFonts w:ascii="Calibri" w:hAnsi="Calibri"/>
          <w:color w:val="2C2C2C"/>
          <w:sz w:val="22"/>
        </w:rPr>
        <w:t>1. What is the next step to confirm the diagnosis? (NICE NG136)</w:t>
      </w:r>
    </w:p>
    <w:p>
      <w:pPr>
        <w:pStyle w:val="ListBullet"/>
        <w:ind w:left="283"/>
      </w:pPr>
      <w:r>
        <w:rPr>
          <w:rFonts w:ascii="Calibri" w:hAnsi="Calibri"/>
          <w:color w:val="2C2C2C"/>
          <w:sz w:val="22"/>
        </w:rPr>
        <w:t>2. What are the NICE NG136 thresholds for treating Stage 1 hypertension?</w:t>
      </w:r>
    </w:p>
    <w:p>
      <w:pPr>
        <w:pStyle w:val="ListBullet"/>
        <w:ind w:left="283"/>
      </w:pPr>
      <w:r>
        <w:rPr>
          <w:rFonts w:ascii="Calibri" w:hAnsi="Calibri"/>
          <w:color w:val="2C2C2C"/>
          <w:sz w:val="22"/>
        </w:rPr>
        <w:t>3. Does Mike need drug treatment? Why / why not?</w:t>
      </w:r>
    </w:p>
    <w:p>
      <w:pPr>
        <w:pStyle w:val="ListBullet"/>
        <w:ind w:left="283"/>
      </w:pPr>
      <w:r>
        <w:rPr>
          <w:rFonts w:ascii="Calibri" w:hAnsi="Calibri"/>
          <w:color w:val="2C2C2C"/>
          <w:sz w:val="22"/>
        </w:rPr>
        <w:t>4. What lifestyle advice would you give and how?</w:t>
      </w:r>
    </w:p>
    <w:p>
      <w:pPr>
        <w:pStyle w:val="ListBullet"/>
        <w:ind w:left="283"/>
      </w:pPr>
      <w:r>
        <w:rPr>
          <w:rFonts w:ascii="Calibri" w:hAnsi="Calibri"/>
          <w:color w:val="2C2C2C"/>
          <w:sz w:val="22"/>
        </w:rPr>
        <w:t>5. What if his BP was 165/102 mmHg instead?</w:t>
      </w:r>
    </w:p>
    <w:p>
      <w:pPr>
        <w:pStyle w:val="ListBullet"/>
        <w:ind w:left="283"/>
      </w:pPr>
      <w:r>
        <w:rPr>
          <w:rFonts w:ascii="Calibri" w:hAnsi="Calibri"/>
          <w:color w:val="2C2C2C"/>
          <w:sz w:val="22"/>
        </w:rPr>
        <w:t>6. What if Mike also had type 2 diabetes?</w:t>
      </w:r>
    </w:p>
    <w:p/>
    <w:tbl>
      <w:tblPr>
        <w:tblW w:type="auto" w:w="0"/>
        <w:jc w:val="left"/>
        <w:tblLook w:firstColumn="1" w:firstRow="1" w:lastColumn="0" w:lastRow="0" w:noHBand="0" w:noVBand="1" w:val="04A0"/>
      </w:tblPr>
      <w:tblGrid>
        <w:gridCol w:w="9406"/>
      </w:tblGrid>
      <w:tr>
        <w:tc>
          <w:tcPr>
            <w:tcW w:type="dxa" w:w="9406"/>
            <w:shd w:val="clear" w:color="auto" w:fill="E8F8EE"/>
          </w:tcPr>
          <w:p>
            <w:r>
              <w:rPr>
                <w:rFonts w:ascii="Calibri" w:hAnsi="Calibri"/>
                <w:b/>
                <w:color w:val="1A7A3C"/>
                <w:sz w:val="22"/>
              </w:rPr>
              <w:t xml:space="preserve">✅ Answer Guide (NICE NG136, 2023):  </w:t>
            </w:r>
            <w:r>
              <w:rPr>
                <w:rFonts w:ascii="Calibri" w:hAnsi="Calibri"/>
                <w:color w:val="2C2C2C"/>
                <w:sz w:val="22"/>
              </w:rPr>
              <w:t>ANSWER GUIDE: Mike has Stage 1 hypertension (140–159/90–99 clinic). Confirm with ABPM (or HBPM). If ABPM daytime average 135–149/85–94 mmHg → Stage 1 confirmed. QRISK3 ~12% (≥10%) → NICE NG136 says: offer drug treatment + lifestyle advice for Stage 1 if CVD risk ≥10%, OR target organ damage, OR diabetes, OR renal disease. So Mike DOES qualify for drug treatment. Step 1: Age &lt;55, not Black → ACEi (Ramipril 2.5 mg). Alcohol 20 units/week → could contribute significantly to BP; reducing alcohol is a priority. If BP 165/102: Stage 2 → always offer drug treatment regardless of CVD risk. If diabetic: ACEi/ARB regardless of age or ethnicity; target &lt;130/80 mmHg.</w:t>
            </w:r>
          </w:p>
        </w:tc>
      </w:tr>
    </w:tbl>
    <w:p/>
    <w:p/>
    <w:p>
      <w:pPr>
        <w:spacing w:before="280" w:after="80"/>
      </w:pPr>
      <w:r>
        <w:rPr>
          <w:rFonts w:ascii="Calibri" w:hAnsi="Calibri"/>
          <w:b/>
          <w:color w:val="C85510"/>
          <w:sz w:val="28"/>
        </w:rPr>
        <w:t>Case 2: Priscilla — The Retired Café Worker</w:t>
      </w:r>
    </w:p>
    <w:tbl>
      <w:tblPr>
        <w:tblW w:type="auto" w:w="0"/>
        <w:jc w:val="left"/>
        <w:tblLook w:firstColumn="1" w:firstRow="1" w:lastColumn="0" w:lastRow="0" w:noHBand="0" w:noVBand="1" w:val="04A0"/>
      </w:tblPr>
      <w:tblGrid>
        <w:gridCol w:w="9406"/>
      </w:tblGrid>
      <w:tr>
        <w:tc>
          <w:tcPr>
            <w:tcW w:type="dxa" w:w="9406"/>
            <w:shd w:val="clear" w:color="auto" w:fill="EAF4FB"/>
          </w:tcPr>
          <w:p>
            <w:r>
              <w:rPr>
                <w:rFonts w:ascii="Calibri" w:hAnsi="Calibri"/>
                <w:b/>
                <w:color w:val="007A87"/>
                <w:sz w:val="22"/>
              </w:rPr>
              <w:t xml:space="preserve">📋 Patient Vignette:  </w:t>
            </w:r>
            <w:r>
              <w:rPr>
                <w:rFonts w:ascii="Calibri" w:hAnsi="Calibri"/>
                <w:color w:val="2C2C2C"/>
                <w:sz w:val="22"/>
              </w:rPr>
              <w:t>Priscilla High is 66 years old, retired. Clinic BP today 161/102 mmHg. Non-smoker, drinks alcohol only on special occasions. BMI 29. Total cholesterol 4.8 mmol/L. QRISK3 ~19%. She dislikes taking tablets.</w:t>
            </w:r>
          </w:p>
        </w:tc>
      </w:tr>
    </w:tbl>
    <w:p/>
    <w:p>
      <w:pPr>
        <w:spacing w:after="80"/>
      </w:pPr>
      <w:r>
        <w:rPr>
          <w:rFonts w:ascii="Calibri" w:hAnsi="Calibri"/>
          <w:b/>
          <w:i w:val="0"/>
          <w:color w:val="007A87"/>
          <w:sz w:val="22"/>
        </w:rPr>
        <w:t>Discussion Questions:</w:t>
      </w:r>
    </w:p>
    <w:p>
      <w:pPr>
        <w:pStyle w:val="ListBullet"/>
        <w:ind w:left="283"/>
      </w:pPr>
      <w:r>
        <w:rPr>
          <w:rFonts w:ascii="Calibri" w:hAnsi="Calibri"/>
          <w:color w:val="2C2C2C"/>
          <w:sz w:val="22"/>
        </w:rPr>
        <w:t>1. What is Priscilla's stage of hypertension?</w:t>
      </w:r>
    </w:p>
    <w:p>
      <w:pPr>
        <w:pStyle w:val="ListBullet"/>
        <w:ind w:left="283"/>
      </w:pPr>
      <w:r>
        <w:rPr>
          <w:rFonts w:ascii="Calibri" w:hAnsi="Calibri"/>
          <w:color w:val="2C2C2C"/>
          <w:sz w:val="22"/>
        </w:rPr>
        <w:t>2. What is the next step before prescribing?</w:t>
      </w:r>
    </w:p>
    <w:p>
      <w:pPr>
        <w:pStyle w:val="ListBullet"/>
        <w:ind w:left="283"/>
      </w:pPr>
      <w:r>
        <w:rPr>
          <w:rFonts w:ascii="Calibri" w:hAnsi="Calibri"/>
          <w:color w:val="2C2C2C"/>
          <w:sz w:val="22"/>
        </w:rPr>
        <w:t>3. Which drug would you start, and why?</w:t>
      </w:r>
    </w:p>
    <w:p>
      <w:pPr>
        <w:pStyle w:val="ListBullet"/>
        <w:ind w:left="283"/>
      </w:pPr>
      <w:r>
        <w:rPr>
          <w:rFonts w:ascii="Calibri" w:hAnsi="Calibri"/>
          <w:color w:val="2C2C2C"/>
          <w:sz w:val="22"/>
        </w:rPr>
        <w:t>4. How would you address her reluctance to take tablets?</w:t>
      </w:r>
    </w:p>
    <w:p>
      <w:pPr>
        <w:pStyle w:val="ListBullet"/>
        <w:ind w:left="283"/>
      </w:pPr>
      <w:r>
        <w:rPr>
          <w:rFonts w:ascii="Calibri" w:hAnsi="Calibri"/>
          <w:color w:val="2C2C2C"/>
          <w:sz w:val="22"/>
        </w:rPr>
        <w:t>5. What if her BP is 160/80 mmHg (isolated systolic hypertension)?</w:t>
      </w:r>
    </w:p>
    <w:p>
      <w:pPr>
        <w:pStyle w:val="ListBullet"/>
        <w:ind w:left="283"/>
      </w:pPr>
      <w:r>
        <w:rPr>
          <w:rFonts w:ascii="Calibri" w:hAnsi="Calibri"/>
          <w:color w:val="2C2C2C"/>
          <w:sz w:val="22"/>
        </w:rPr>
        <w:t>6. What if she is already on Ramipril + Amlodipine but BP remains 155/96 mmHg?</w:t>
      </w:r>
    </w:p>
    <w:p/>
    <w:tbl>
      <w:tblPr>
        <w:tblW w:type="auto" w:w="0"/>
        <w:jc w:val="left"/>
        <w:tblLook w:firstColumn="1" w:firstRow="1" w:lastColumn="0" w:lastRow="0" w:noHBand="0" w:noVBand="1" w:val="04A0"/>
      </w:tblPr>
      <w:tblGrid>
        <w:gridCol w:w="9406"/>
      </w:tblGrid>
      <w:tr>
        <w:tc>
          <w:tcPr>
            <w:tcW w:type="dxa" w:w="9406"/>
            <w:shd w:val="clear" w:color="auto" w:fill="E8F8EE"/>
          </w:tcPr>
          <w:p>
            <w:r>
              <w:rPr>
                <w:rFonts w:ascii="Calibri" w:hAnsi="Calibri"/>
                <w:b/>
                <w:color w:val="1A7A3C"/>
                <w:sz w:val="22"/>
              </w:rPr>
              <w:t xml:space="preserve">✅ Answer Guide (NICE NG136, 2023):  </w:t>
            </w:r>
            <w:r>
              <w:rPr>
                <w:rFonts w:ascii="Calibri" w:hAnsi="Calibri"/>
                <w:color w:val="2C2C2C"/>
                <w:sz w:val="22"/>
              </w:rPr>
              <w:t>ANSWER GUIDE: Clinic BP 161/102 = Stage 2 hypertension → confirm with ABPM/HBPM; start drug treatment alongside lifestyle for Stage 2 (do not wait). Age 66, no diabetes → Step 1: CCB (Amlodipine 5 mg OD). Isolated systolic hypertension: treat the same way per NICE NG136. If already on ACEi + CCB (Step 2 equivalent) → add thiazide-like diuretic (Step 3 = Indapamide). Tablet reluctance: use shared decision-making; NNT/NNH; explore concerns; "I understand you'd rather not take tablets. The risk of stroke doubles if we don't treat blood pressure this high. Can we try one tablet and see how it affects you?" Weight loss: 1 kg ≈ 1 mmHg reduction; 10 kg ≈ 10 mmHg — significant given BMI 29.</w:t>
            </w:r>
          </w:p>
        </w:tc>
      </w:tr>
    </w:tbl>
    <w:p/>
    <w:p/>
    <w:p>
      <w:pPr>
        <w:spacing w:before="280" w:after="80"/>
      </w:pPr>
      <w:r>
        <w:rPr>
          <w:rFonts w:ascii="Calibri" w:hAnsi="Calibri"/>
          <w:b/>
          <w:color w:val="C85510"/>
          <w:sz w:val="28"/>
        </w:rPr>
        <w:t>Case 3: Antonia — The Building Society Worker</w:t>
      </w:r>
    </w:p>
    <w:tbl>
      <w:tblPr>
        <w:tblW w:type="auto" w:w="0"/>
        <w:jc w:val="left"/>
        <w:tblLook w:firstColumn="1" w:firstRow="1" w:lastColumn="0" w:lastRow="0" w:noHBand="0" w:noVBand="1" w:val="04A0"/>
      </w:tblPr>
      <w:tblGrid>
        <w:gridCol w:w="9406"/>
      </w:tblGrid>
      <w:tr>
        <w:tc>
          <w:tcPr>
            <w:tcW w:type="dxa" w:w="9406"/>
            <w:shd w:val="clear" w:color="auto" w:fill="EAF4FB"/>
          </w:tcPr>
          <w:p>
            <w:r>
              <w:rPr>
                <w:rFonts w:ascii="Calibri" w:hAnsi="Calibri"/>
                <w:b/>
                <w:color w:val="007A87"/>
                <w:sz w:val="22"/>
              </w:rPr>
              <w:t xml:space="preserve">📋 Patient Vignette:  </w:t>
            </w:r>
            <w:r>
              <w:rPr>
                <w:rFonts w:ascii="Calibri" w:hAnsi="Calibri"/>
                <w:color w:val="2C2C2C"/>
                <w:sz w:val="22"/>
              </w:rPr>
              <w:t>Antonia Young is 34 years old, works in a building society. Clinic BP 155/90 mmHg. Non-smoker, ~10 units alcohol/week, BMI 24, cholesterol 3.4 mmol/L. No family history of IHD. QRISK3 &lt;10%.</w:t>
            </w:r>
          </w:p>
        </w:tc>
      </w:tr>
    </w:tbl>
    <w:p/>
    <w:p>
      <w:pPr>
        <w:spacing w:after="80"/>
      </w:pPr>
      <w:r>
        <w:rPr>
          <w:rFonts w:ascii="Calibri" w:hAnsi="Calibri"/>
          <w:b/>
          <w:i w:val="0"/>
          <w:color w:val="007A87"/>
          <w:sz w:val="22"/>
        </w:rPr>
        <w:t>Discussion Questions:</w:t>
      </w:r>
    </w:p>
    <w:p>
      <w:pPr>
        <w:pStyle w:val="ListBullet"/>
        <w:ind w:left="283"/>
      </w:pPr>
      <w:r>
        <w:rPr>
          <w:rFonts w:ascii="Calibri" w:hAnsi="Calibri"/>
          <w:color w:val="2C2C2C"/>
          <w:sz w:val="22"/>
        </w:rPr>
        <w:t>1. What stage of hypertension does Antonia have?</w:t>
      </w:r>
    </w:p>
    <w:p>
      <w:pPr>
        <w:pStyle w:val="ListBullet"/>
        <w:ind w:left="283"/>
      </w:pPr>
      <w:r>
        <w:rPr>
          <w:rFonts w:ascii="Calibri" w:hAnsi="Calibri"/>
          <w:color w:val="2C2C2C"/>
          <w:sz w:val="22"/>
        </w:rPr>
        <w:t>2. Should she be treated despite QRISK3 &lt;10%? (NICE NG136)</w:t>
      </w:r>
    </w:p>
    <w:p>
      <w:pPr>
        <w:pStyle w:val="ListBullet"/>
        <w:ind w:left="283"/>
      </w:pPr>
      <w:r>
        <w:rPr>
          <w:rFonts w:ascii="Calibri" w:hAnsi="Calibri"/>
          <w:color w:val="2C2C2C"/>
          <w:sz w:val="22"/>
        </w:rPr>
        <w:t>3. Should secondary causes be investigated? Why?</w:t>
      </w:r>
    </w:p>
    <w:p>
      <w:pPr>
        <w:pStyle w:val="ListBullet"/>
        <w:ind w:left="283"/>
      </w:pPr>
      <w:r>
        <w:rPr>
          <w:rFonts w:ascii="Calibri" w:hAnsi="Calibri"/>
          <w:color w:val="2C2C2C"/>
          <w:sz w:val="22"/>
        </w:rPr>
        <w:t>4. What lifestyle advice applies here?</w:t>
      </w:r>
    </w:p>
    <w:p>
      <w:pPr>
        <w:pStyle w:val="ListBullet"/>
        <w:ind w:left="283"/>
      </w:pPr>
      <w:r>
        <w:rPr>
          <w:rFonts w:ascii="Calibri" w:hAnsi="Calibri"/>
          <w:color w:val="2C2C2C"/>
          <w:sz w:val="22"/>
        </w:rPr>
        <w:t>5. What if Antonia is planning to conceive?</w:t>
      </w:r>
    </w:p>
    <w:p/>
    <w:tbl>
      <w:tblPr>
        <w:tblW w:type="auto" w:w="0"/>
        <w:jc w:val="left"/>
        <w:tblLook w:firstColumn="1" w:firstRow="1" w:lastColumn="0" w:lastRow="0" w:noHBand="0" w:noVBand="1" w:val="04A0"/>
      </w:tblPr>
      <w:tblGrid>
        <w:gridCol w:w="9406"/>
      </w:tblGrid>
      <w:tr>
        <w:tc>
          <w:tcPr>
            <w:tcW w:type="dxa" w:w="9406"/>
            <w:shd w:val="clear" w:color="auto" w:fill="E8F8EE"/>
          </w:tcPr>
          <w:p>
            <w:r>
              <w:rPr>
                <w:rFonts w:ascii="Calibri" w:hAnsi="Calibri"/>
                <w:b/>
                <w:color w:val="1A7A3C"/>
                <w:sz w:val="22"/>
              </w:rPr>
              <w:t xml:space="preserve">✅ Answer Guide (NICE NG136, 2023):  </w:t>
            </w:r>
            <w:r>
              <w:rPr>
                <w:rFonts w:ascii="Calibri" w:hAnsi="Calibri"/>
                <w:color w:val="2C2C2C"/>
                <w:sz w:val="22"/>
              </w:rPr>
              <w:t>ANSWER GUIDE: Stage 1 hypertension. QRISK3 &lt;10%. NICE NG136 says: for adults under 60, consider drug treatment for Stage 1 even if QRISK3 &lt;10%, noting lifetime risk may be underestimated in younger adults. Antonia is 34 — definitely consider treatment. Under 40 years: consider specialist referral to evaluate secondary causes and long-term risk-benefit. Secondary causes in young: phaeochromocytoma, Conn's syndrome (aldosteronism), coarctation, renal artery stenosis, CKD — investigate (renal USS, renin/aldosterone ratio, 24h urine catecholamines). Planning conception: avoid ACEi/ARB (teratogenic). Use labetalol (preferred), nifedipine, or methyldopa. Refer to obstetric physician if confirmed hypertension + pregnancy planning.</w:t>
            </w:r>
          </w:p>
        </w:tc>
      </w:tr>
    </w:tbl>
    <w:p/>
    <w:p/>
    <w:p>
      <w:pPr>
        <w:spacing w:before="280" w:after="80"/>
      </w:pPr>
      <w:r>
        <w:rPr>
          <w:rFonts w:ascii="Calibri" w:hAnsi="Calibri"/>
          <w:b/>
          <w:color w:val="C85510"/>
          <w:sz w:val="28"/>
        </w:rPr>
        <w:t>Case 4: Benjamin — The Bus Driver</w:t>
      </w:r>
    </w:p>
    <w:tbl>
      <w:tblPr>
        <w:tblW w:type="auto" w:w="0"/>
        <w:jc w:val="left"/>
        <w:tblLook w:firstColumn="1" w:firstRow="1" w:lastColumn="0" w:lastRow="0" w:noHBand="0" w:noVBand="1" w:val="04A0"/>
      </w:tblPr>
      <w:tblGrid>
        <w:gridCol w:w="9406"/>
      </w:tblGrid>
      <w:tr>
        <w:tc>
          <w:tcPr>
            <w:tcW w:type="dxa" w:w="9406"/>
            <w:shd w:val="clear" w:color="auto" w:fill="EAF4FB"/>
          </w:tcPr>
          <w:p>
            <w:r>
              <w:rPr>
                <w:rFonts w:ascii="Calibri" w:hAnsi="Calibri"/>
                <w:b/>
                <w:color w:val="007A87"/>
                <w:sz w:val="22"/>
              </w:rPr>
              <w:t xml:space="preserve">📋 Patient Vignette:  </w:t>
            </w:r>
            <w:r>
              <w:rPr>
                <w:rFonts w:ascii="Calibri" w:hAnsi="Calibri"/>
                <w:color w:val="2C2C2C"/>
                <w:sz w:val="22"/>
              </w:rPr>
              <w:t>Benjamin Black is 42 years old and a bus driver. His parents came to the UK from the Caribbean. Clinic BP 140/90 mmHg. He smokes 20 cigarettes/day, does not drink alcohol. BMI 27. Cholesterol 6.8 mmol/L. QRISK3 &gt;20%.</w:t>
            </w:r>
          </w:p>
        </w:tc>
      </w:tr>
    </w:tbl>
    <w:p/>
    <w:p>
      <w:pPr>
        <w:spacing w:after="80"/>
      </w:pPr>
      <w:r>
        <w:rPr>
          <w:rFonts w:ascii="Calibri" w:hAnsi="Calibri"/>
          <w:b/>
          <w:i w:val="0"/>
          <w:color w:val="007A87"/>
          <w:sz w:val="22"/>
        </w:rPr>
        <w:t>Discussion Questions:</w:t>
      </w:r>
    </w:p>
    <w:p>
      <w:pPr>
        <w:pStyle w:val="ListBullet"/>
        <w:ind w:left="283"/>
      </w:pPr>
      <w:r>
        <w:rPr>
          <w:rFonts w:ascii="Calibri" w:hAnsi="Calibri"/>
          <w:color w:val="2C2C2C"/>
          <w:sz w:val="22"/>
        </w:rPr>
        <w:t>1. What is Benjamin's diagnosis and next step?</w:t>
      </w:r>
    </w:p>
    <w:p>
      <w:pPr>
        <w:pStyle w:val="ListBullet"/>
        <w:ind w:left="283"/>
      </w:pPr>
      <w:r>
        <w:rPr>
          <w:rFonts w:ascii="Calibri" w:hAnsi="Calibri"/>
          <w:color w:val="2C2C2C"/>
          <w:sz w:val="22"/>
        </w:rPr>
        <w:t>2. Which drug is first-line for someone of Black African/Caribbean ethnicity? (NICE NG136)</w:t>
      </w:r>
    </w:p>
    <w:p>
      <w:pPr>
        <w:pStyle w:val="ListBullet"/>
        <w:ind w:left="283"/>
      </w:pPr>
      <w:r>
        <w:rPr>
          <w:rFonts w:ascii="Calibri" w:hAnsi="Calibri"/>
          <w:color w:val="2C2C2C"/>
          <w:sz w:val="22"/>
        </w:rPr>
        <w:t>3. How does his smoking priority compare with blood pressure treatment?</w:t>
      </w:r>
    </w:p>
    <w:p>
      <w:pPr>
        <w:pStyle w:val="ListBullet"/>
        <w:ind w:left="283"/>
      </w:pPr>
      <w:r>
        <w:rPr>
          <w:rFonts w:ascii="Calibri" w:hAnsi="Calibri"/>
          <w:color w:val="2C2C2C"/>
          <w:sz w:val="22"/>
        </w:rPr>
        <w:t>4. What about his cholesterol?</w:t>
      </w:r>
    </w:p>
    <w:p>
      <w:pPr>
        <w:pStyle w:val="ListBullet"/>
        <w:ind w:left="283"/>
      </w:pPr>
      <w:r>
        <w:rPr>
          <w:rFonts w:ascii="Calibri" w:hAnsi="Calibri"/>
          <w:color w:val="2C2C2C"/>
          <w:sz w:val="22"/>
        </w:rPr>
        <w:t>5. What if Benjamin were of White British ethnicity?</w:t>
      </w:r>
    </w:p>
    <w:p/>
    <w:tbl>
      <w:tblPr>
        <w:tblW w:type="auto" w:w="0"/>
        <w:jc w:val="left"/>
        <w:tblLook w:firstColumn="1" w:firstRow="1" w:lastColumn="0" w:lastRow="0" w:noHBand="0" w:noVBand="1" w:val="04A0"/>
      </w:tblPr>
      <w:tblGrid>
        <w:gridCol w:w="9406"/>
      </w:tblGrid>
      <w:tr>
        <w:tc>
          <w:tcPr>
            <w:tcW w:type="dxa" w:w="9406"/>
            <w:shd w:val="clear" w:color="auto" w:fill="E8F8EE"/>
          </w:tcPr>
          <w:p>
            <w:r>
              <w:rPr>
                <w:rFonts w:ascii="Calibri" w:hAnsi="Calibri"/>
                <w:b/>
                <w:color w:val="1A7A3C"/>
                <w:sz w:val="22"/>
              </w:rPr>
              <w:t xml:space="preserve">✅ Answer Guide (NICE NG136, 2023):  </w:t>
            </w:r>
            <w:r>
              <w:rPr>
                <w:rFonts w:ascii="Calibri" w:hAnsi="Calibri"/>
                <w:color w:val="2C2C2C"/>
                <w:sz w:val="22"/>
              </w:rPr>
              <w:t>ANSWER GUIDE: Confirm with ABPM/HBPM. Stage 1 HT confirmed, QRISK3 &gt;20% → treat. Ethnicity: Black African/Caribbean → prefer ARB (e.g., Losartan 50 mg OD) or CCB (ACEi less effective due to lower renin activity in this group). Smoking 20/day is a major CVD risk — smoking cessation may be MORE important than BP treatment in terms of absolute CVD risk reduction. Offer NRT, varenicline (Champix), or bupropion. Cholesterol 6.8 + QRISK3 &gt;20%: discuss statin (atorvastatin 20 mg for primary prevention per NICE NG238, QRISK3 ≥10%). If White British: age 42, not Black → Step 1 would be ACEi (Ramipril/Lisinopril). DVLA: bus driver — check DVLA guidance on hypertension and driving. Group 2 licence holders have stricter BP standards (&lt;180/100 mmHg to hold Group 2 licence).</w:t>
            </w:r>
          </w:p>
        </w:tc>
      </w:tr>
    </w:tbl>
    <w:p/>
    <w:p/>
    <w:p>
      <w:pPr>
        <w:spacing w:before="280" w:after="80"/>
      </w:pPr>
      <w:r>
        <w:rPr>
          <w:rFonts w:ascii="Calibri" w:hAnsi="Calibri"/>
          <w:b/>
          <w:color w:val="C85510"/>
          <w:sz w:val="28"/>
        </w:rPr>
        <w:t>Case 5: Barbara — The Anxious Teacher</w:t>
      </w:r>
    </w:p>
    <w:tbl>
      <w:tblPr>
        <w:tblW w:type="auto" w:w="0"/>
        <w:jc w:val="left"/>
        <w:tblLook w:firstColumn="1" w:firstRow="1" w:lastColumn="0" w:lastRow="0" w:noHBand="0" w:noVBand="1" w:val="04A0"/>
      </w:tblPr>
      <w:tblGrid>
        <w:gridCol w:w="9406"/>
      </w:tblGrid>
      <w:tr>
        <w:tc>
          <w:tcPr>
            <w:tcW w:type="dxa" w:w="9406"/>
            <w:shd w:val="clear" w:color="auto" w:fill="EAF4FB"/>
          </w:tcPr>
          <w:p>
            <w:r>
              <w:rPr>
                <w:rFonts w:ascii="Calibri" w:hAnsi="Calibri"/>
                <w:b/>
                <w:color w:val="007A87"/>
                <w:sz w:val="22"/>
              </w:rPr>
              <w:t xml:space="preserve">📋 Patient Vignette:  </w:t>
            </w:r>
            <w:r>
              <w:rPr>
                <w:rFonts w:ascii="Calibri" w:hAnsi="Calibri"/>
                <w:color w:val="2C2C2C"/>
                <w:sz w:val="22"/>
              </w:rPr>
              <w:t>Barbara Fittantrim is 50 years old and a teacher. Clinic BP today 139/89 mmHg; 6 months ago it was 135/87 mmHg. She has never smoked, BMI 22.9, drinks 1–3 units alcohol/week, cholesterol 4.1 mmol/L, exercises at the gym 3× per week. No other health problems. No family history of vascular disease in 1st-degree relatives. Her mother-in-law had a stroke from hypertension. Barbara is very anxious and wants to do everything she can.</w:t>
            </w:r>
          </w:p>
        </w:tc>
      </w:tr>
    </w:tbl>
    <w:p/>
    <w:p>
      <w:pPr>
        <w:spacing w:after="80"/>
      </w:pPr>
      <w:r>
        <w:rPr>
          <w:rFonts w:ascii="Calibri" w:hAnsi="Calibri"/>
          <w:b/>
          <w:i w:val="0"/>
          <w:color w:val="007A87"/>
          <w:sz w:val="22"/>
        </w:rPr>
        <w:t>Discussion Questions:</w:t>
      </w:r>
    </w:p>
    <w:p>
      <w:pPr>
        <w:pStyle w:val="ListBullet"/>
        <w:ind w:left="283"/>
      </w:pPr>
      <w:r>
        <w:rPr>
          <w:rFonts w:ascii="Calibri" w:hAnsi="Calibri"/>
          <w:color w:val="2C2C2C"/>
          <w:sz w:val="22"/>
        </w:rPr>
        <w:t>1. Does Barbara have hypertension? What do you do next?</w:t>
      </w:r>
    </w:p>
    <w:p>
      <w:pPr>
        <w:pStyle w:val="ListBullet"/>
        <w:ind w:left="283"/>
      </w:pPr>
      <w:r>
        <w:rPr>
          <w:rFonts w:ascii="Calibri" w:hAnsi="Calibri"/>
          <w:color w:val="2C2C2C"/>
          <w:sz w:val="22"/>
        </w:rPr>
        <w:t>2. What is the most important thing to address in this consultation?</w:t>
      </w:r>
    </w:p>
    <w:p>
      <w:pPr>
        <w:pStyle w:val="ListBullet"/>
        <w:ind w:left="283"/>
      </w:pPr>
      <w:r>
        <w:rPr>
          <w:rFonts w:ascii="Calibri" w:hAnsi="Calibri"/>
          <w:color w:val="2C2C2C"/>
          <w:sz w:val="22"/>
        </w:rPr>
        <w:t>3. How do you counsel her about her cardiovascular risk?</w:t>
      </w:r>
    </w:p>
    <w:p>
      <w:pPr>
        <w:pStyle w:val="ListBullet"/>
        <w:ind w:left="283"/>
      </w:pPr>
      <w:r>
        <w:rPr>
          <w:rFonts w:ascii="Calibri" w:hAnsi="Calibri"/>
          <w:color w:val="2C2C2C"/>
          <w:sz w:val="22"/>
        </w:rPr>
        <w:t>4. Does she need any follow-up? When?</w:t>
      </w:r>
    </w:p>
    <w:p/>
    <w:tbl>
      <w:tblPr>
        <w:tblW w:type="auto" w:w="0"/>
        <w:jc w:val="left"/>
        <w:tblLook w:firstColumn="1" w:firstRow="1" w:lastColumn="0" w:lastRow="0" w:noHBand="0" w:noVBand="1" w:val="04A0"/>
      </w:tblPr>
      <w:tblGrid>
        <w:gridCol w:w="9406"/>
      </w:tblGrid>
      <w:tr>
        <w:tc>
          <w:tcPr>
            <w:tcW w:type="dxa" w:w="9406"/>
            <w:shd w:val="clear" w:color="auto" w:fill="E8F8EE"/>
          </w:tcPr>
          <w:p>
            <w:r>
              <w:rPr>
                <w:rFonts w:ascii="Calibri" w:hAnsi="Calibri"/>
                <w:b/>
                <w:color w:val="1A7A3C"/>
                <w:sz w:val="22"/>
              </w:rPr>
              <w:t xml:space="preserve">✅ Answer Guide (NICE NG136, 2023):  </w:t>
            </w:r>
            <w:r>
              <w:rPr>
                <w:rFonts w:ascii="Calibri" w:hAnsi="Calibri"/>
                <w:color w:val="2C2C2C"/>
                <w:sz w:val="22"/>
              </w:rPr>
              <w:t>ANSWER GUIDE: Clinic BP 139/89 = BELOW the hypertension threshold (140/90) — does NOT meet criteria for hypertension. No need for ABPM. Reassure Barbara. NICE NG136 (2023 update): OFFER healthy lifestyle advice to people with raised BP (120–139/80–89 mmHg) even if not diagnosing hypertension. The most important task here is MANAGING ANXIETY — this is a health anxiety consultation as much as a BP consultation. Address her fears sensitively. "Your blood pressure is actually slightly below the threshold for high blood pressure. The fact you exercise regularly, don't smoke, and drink very little means you are doing all the right things. Your risk of stroke is low. We should keep checking it regularly." Follow-up: NICE recommends BP check at least every 5 years if not diagnosed. In Barbara's case — annually given her high anxiety and trend — but emphasise reassurance. Mindfulness/stress management may help both anxiety and BP.</w:t>
            </w:r>
          </w:p>
        </w:tc>
      </w:tr>
    </w:tbl>
    <w:p/>
    <w:p/>
    <w:p/>
    <w:tbl>
      <w:tblPr>
        <w:tblW w:type="auto" w:w="0"/>
        <w:jc w:val="left"/>
        <w:tblLook w:firstColumn="1" w:firstRow="1" w:lastColumn="0" w:lastRow="0" w:noHBand="0" w:noVBand="1" w:val="04A0"/>
      </w:tblPr>
      <w:tblGrid>
        <w:gridCol w:w="9406"/>
      </w:tblGrid>
      <w:tr>
        <w:tc>
          <w:tcPr>
            <w:tcW w:type="dxa" w:w="9406"/>
            <w:shd w:val="clear" w:color="auto" w:fill="FFF3E8"/>
          </w:tcPr>
          <w:p>
            <w:r>
              <w:rPr>
                <w:rFonts w:ascii="Calibri" w:hAnsi="Calibri"/>
                <w:b/>
                <w:color w:val="C85510"/>
                <w:sz w:val="22"/>
              </w:rPr>
              <w:t xml:space="preserve">⚠ Disclaimer:  </w:t>
            </w:r>
            <w:r>
              <w:rPr>
                <w:rFonts w:ascii="Calibri" w:hAnsi="Calibri"/>
                <w:color w:val="2C2C2C"/>
                <w:sz w:val="22"/>
              </w:rPr>
              <w:t>Always double check this advice and drug doses with the latest NICE/BNF guidance. This document is for educational purposes only.</w:t>
            </w:r>
          </w:p>
        </w:tc>
      </w:tr>
    </w:tbl>
    <w:p/>
    <w:sectPr w:rsidR="00FC693F" w:rsidRPr="0006063C" w:rsidSect="00034616">
      <w:footerReference w:type="default" r:id="rId9"/>
      <w:pgSz w:w="12240" w:h="15840"/>
      <w:pgMar w:top="1134"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i/>
        <w:color w:val="2C2C2C"/>
        <w:sz w:val="16"/>
      </w:rPr>
      <w:t>A free resource provided by www.bradfordvts.co.uk, Dr Ramesh Mehay, revised May 2026</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