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29"/>
      </w:tblGrid>
      <w:tr w:rsidR="00097CD8" w14:paraId="0B977349" w14:textId="77777777">
        <w:tc>
          <w:tcPr>
            <w:tcW w:w="9029" w:type="dxa"/>
            <w:shd w:val="clear" w:color="auto" w:fill="E0651F"/>
          </w:tcPr>
          <w:p w14:paraId="03B3C9C1" w14:textId="77777777" w:rsidR="00097CD8" w:rsidRDefault="00000000">
            <w:pPr>
              <w:spacing w:before="200" w:after="80"/>
              <w:jc w:val="center"/>
            </w:pPr>
            <w:r>
              <w:rPr>
                <w:rFonts w:ascii="Calibri" w:hAnsi="Calibri"/>
                <w:b/>
                <w:caps/>
                <w:color w:val="FFFFFF"/>
              </w:rPr>
              <w:t>BRADFORD VTS TEACHING AIDS</w:t>
            </w:r>
          </w:p>
          <w:p w14:paraId="234FAC3C" w14:textId="0092DA13" w:rsidR="00097CD8" w:rsidRDefault="00000000">
            <w:pPr>
              <w:spacing w:before="40" w:after="80"/>
              <w:jc w:val="center"/>
            </w:pPr>
            <w:r>
              <w:rPr>
                <w:rFonts w:ascii="Calibri" w:hAnsi="Calibri"/>
                <w:b/>
                <w:color w:val="FFFFFF"/>
                <w:sz w:val="52"/>
              </w:rPr>
              <w:t xml:space="preserve">Chronic Disease Management </w:t>
            </w:r>
            <w:r w:rsidR="00BC03E1">
              <w:rPr>
                <w:rFonts w:ascii="Calibri" w:hAnsi="Calibri"/>
                <w:b/>
                <w:color w:val="FFFFFF"/>
                <w:sz w:val="52"/>
              </w:rPr>
              <w:t>– registers, QOF, protocols &amp; quality</w:t>
            </w:r>
          </w:p>
          <w:p w14:paraId="428F3956" w14:textId="77777777" w:rsidR="00097CD8" w:rsidRDefault="00000000">
            <w:pPr>
              <w:spacing w:before="40" w:after="200"/>
              <w:jc w:val="center"/>
            </w:pPr>
            <w:r>
              <w:rPr>
                <w:rFonts w:ascii="Calibri" w:hAnsi="Calibri"/>
                <w:i/>
                <w:color w:val="FFE8D5"/>
              </w:rPr>
              <w:t xml:space="preserve">QOF, Registers, Protocols, Audit &amp; Models of </w:t>
            </w:r>
            <w:proofErr w:type="gramStart"/>
            <w:r>
              <w:rPr>
                <w:rFonts w:ascii="Calibri" w:hAnsi="Calibri"/>
                <w:i/>
                <w:color w:val="FFE8D5"/>
              </w:rPr>
              <w:t>Care  ·</w:t>
            </w:r>
            <w:proofErr w:type="gramEnd"/>
            <w:r>
              <w:rPr>
                <w:rFonts w:ascii="Calibri" w:hAnsi="Calibri"/>
                <w:i/>
                <w:color w:val="FFE8D5"/>
              </w:rPr>
              <w:t xml:space="preserve">  Bradford </w:t>
            </w:r>
            <w:proofErr w:type="gramStart"/>
            <w:r>
              <w:rPr>
                <w:rFonts w:ascii="Calibri" w:hAnsi="Calibri"/>
                <w:i/>
                <w:color w:val="FFE8D5"/>
              </w:rPr>
              <w:t>VTS  ·</w:t>
            </w:r>
            <w:proofErr w:type="gramEnd"/>
            <w:r>
              <w:rPr>
                <w:rFonts w:ascii="Calibri" w:hAnsi="Calibri"/>
                <w:i/>
                <w:color w:val="FFE8D5"/>
              </w:rPr>
              <w:t xml:space="preserve">  May 2026</w:t>
            </w:r>
          </w:p>
        </w:tc>
      </w:tr>
    </w:tbl>
    <w:p w14:paraId="4C2E5F3B" w14:textId="77777777" w:rsidR="00097CD8" w:rsidRDefault="00097CD8">
      <w:pPr>
        <w:spacing w:after="160"/>
      </w:pPr>
    </w:p>
    <w:p w14:paraId="2A083E9D" w14:textId="77777777" w:rsidR="00097CD8" w:rsidRDefault="00000000">
      <w:pPr>
        <w:spacing w:after="160"/>
      </w:pPr>
      <w:r>
        <w:rPr>
          <w:rFonts w:ascii="Calibri" w:hAnsi="Calibri"/>
        </w:rPr>
        <w:t>This reference guide explores the practical organisation of long-term condition management in UK general practice. It covers the Quality and Outcomes Framework (QOF), disease registers, clinical protocols, record-keeping, audit cycles, and the debate between different models of care. All content is updated to QOF 2025/26 (NHS England) and NICE NG56 (current 2025).</w:t>
      </w:r>
    </w:p>
    <w:p w14:paraId="1956E142" w14:textId="77777777" w:rsidR="00097CD8" w:rsidRDefault="00000000">
      <w:pPr>
        <w:spacing w:before="120" w:after="80"/>
      </w:pPr>
      <w:r>
        <w:rPr>
          <w:rFonts w:ascii="Calibri" w:hAnsi="Calibri"/>
          <w:b/>
          <w:color w:val="E0651F"/>
          <w:sz w:val="30"/>
        </w:rPr>
        <w:t>1. How Do We Know What to Do? Sources of Guidance</w:t>
      </w:r>
    </w:p>
    <w:p w14:paraId="350C5ABF" w14:textId="77777777" w:rsidR="00097CD8" w:rsidRDefault="00000000">
      <w:pPr>
        <w:pStyle w:val="ListBullet"/>
        <w:spacing w:after="100"/>
      </w:pPr>
      <w:r>
        <w:rPr>
          <w:rFonts w:ascii="Calibri" w:hAnsi="Calibri"/>
          <w:b/>
        </w:rPr>
        <w:t xml:space="preserve">NICE guidelines (PRIMARY authority): </w:t>
      </w:r>
      <w:r>
        <w:rPr>
          <w:rFonts w:ascii="Calibri" w:hAnsi="Calibri"/>
        </w:rPr>
        <w:t>National Institute for Health and Care Excellence produces evidence-based guidelines for all major conditions. For multimorbidity: NICE NG56 (2016, still current 2025). For specific conditions: NG28 (Type 2 diabetes), NG17 (COPD), NG80 (Hypertension), BTS/NICE/SIGN Asthma guideline 2024, etc. NICE always takes priority over specialist body guidance on the same topic.</w:t>
      </w:r>
    </w:p>
    <w:p w14:paraId="36022CF3" w14:textId="77777777" w:rsidR="00097CD8" w:rsidRDefault="00000000">
      <w:pPr>
        <w:pStyle w:val="ListBullet"/>
        <w:spacing w:after="100"/>
      </w:pPr>
      <w:r>
        <w:rPr>
          <w:rFonts w:ascii="Calibri" w:hAnsi="Calibri"/>
          <w:b/>
        </w:rPr>
        <w:t xml:space="preserve">National Service Frameworks (NSFs): </w:t>
      </w:r>
      <w:r>
        <w:rPr>
          <w:rFonts w:ascii="Calibri" w:hAnsi="Calibri"/>
        </w:rPr>
        <w:t>Older DH frameworks (e.g., NSF for Coronary Heart Disease, Diabetes). Largely superseded by NICE guidelines but still inform some pathway design.</w:t>
      </w:r>
    </w:p>
    <w:p w14:paraId="0C833EC5" w14:textId="77777777" w:rsidR="00097CD8" w:rsidRDefault="00000000">
      <w:pPr>
        <w:pStyle w:val="ListBullet"/>
        <w:spacing w:after="100"/>
      </w:pPr>
      <w:r>
        <w:rPr>
          <w:rFonts w:ascii="Calibri" w:hAnsi="Calibri"/>
          <w:b/>
        </w:rPr>
        <w:t xml:space="preserve">Quality and Outcomes Framework (QOF): </w:t>
      </w:r>
      <w:r>
        <w:rPr>
          <w:rFonts w:ascii="Calibri" w:hAnsi="Calibri"/>
        </w:rPr>
        <w:t>The NHS pay-for-performance incentive system. Measures achievement of clinical indicators. Drives recording practices and quality of care delivery. Updated annually — see Section 2 for 2025/26 changes.</w:t>
      </w:r>
    </w:p>
    <w:p w14:paraId="220BD2E6" w14:textId="77777777" w:rsidR="00097CD8" w:rsidRDefault="00000000">
      <w:pPr>
        <w:pStyle w:val="ListBullet"/>
        <w:spacing w:after="100"/>
      </w:pPr>
      <w:r>
        <w:rPr>
          <w:rFonts w:ascii="Calibri" w:hAnsi="Calibri"/>
          <w:b/>
        </w:rPr>
        <w:t xml:space="preserve">NICE CKS (Clinical Knowledge Summaries): </w:t>
      </w:r>
      <w:r>
        <w:rPr>
          <w:rFonts w:ascii="Calibri" w:hAnsi="Calibri"/>
        </w:rPr>
        <w:t>Practical, regularly updated summaries of NICE guidance for primary care clinicians. The most commonly used day-to-day reference for GPs in the UK.</w:t>
      </w:r>
    </w:p>
    <w:p w14:paraId="3AA69866" w14:textId="77777777" w:rsidR="00097CD8" w:rsidRDefault="00000000">
      <w:pPr>
        <w:pStyle w:val="ListBullet"/>
        <w:spacing w:after="100"/>
      </w:pPr>
      <w:r>
        <w:rPr>
          <w:rFonts w:ascii="Calibri" w:hAnsi="Calibri"/>
          <w:b/>
        </w:rPr>
        <w:t xml:space="preserve">BNF (British National Formulary): </w:t>
      </w:r>
      <w:r>
        <w:rPr>
          <w:rFonts w:ascii="Calibri" w:hAnsi="Calibri"/>
        </w:rPr>
        <w:t>The definitive reference for drug doses, interactions, contraindications. Always cross-check prescribing decisions against the BNF. Available at bnf.nice.org.uk.</w:t>
      </w:r>
    </w:p>
    <w:p w14:paraId="2431488A" w14:textId="77777777" w:rsidR="00097CD8" w:rsidRDefault="00000000">
      <w:pPr>
        <w:pStyle w:val="ListBullet"/>
        <w:spacing w:after="100"/>
      </w:pPr>
      <w:r>
        <w:rPr>
          <w:rFonts w:ascii="Calibri" w:hAnsi="Calibri"/>
          <w:b/>
        </w:rPr>
        <w:t xml:space="preserve">Practice protocols: </w:t>
      </w:r>
      <w:r>
        <w:rPr>
          <w:rFonts w:ascii="Calibri" w:hAnsi="Calibri"/>
        </w:rPr>
        <w:t>Locally agreed clinical pathways, based on NICE/BNF guidance. Must be regularly reviewed and updated. Should specify who does what and when.</w:t>
      </w:r>
    </w:p>
    <w:p w14:paraId="11B8948D" w14:textId="77777777" w:rsidR="00097CD8" w:rsidRDefault="00097CD8">
      <w:pPr>
        <w:spacing w:after="120"/>
      </w:pPr>
    </w:p>
    <w:p w14:paraId="7127A476" w14:textId="77777777" w:rsidR="00097CD8" w:rsidRDefault="00000000">
      <w:pPr>
        <w:spacing w:before="120" w:after="80"/>
      </w:pPr>
      <w:r>
        <w:rPr>
          <w:rFonts w:ascii="Calibri" w:hAnsi="Calibri"/>
          <w:b/>
          <w:color w:val="E0651F"/>
          <w:sz w:val="30"/>
        </w:rPr>
        <w:t>2. Quality and Outcomes Framework (QOF) — 2025/26 Update</w:t>
      </w:r>
    </w:p>
    <w:p w14:paraId="18DD2866" w14:textId="77777777" w:rsidR="00097CD8" w:rsidRDefault="00000000">
      <w:pPr>
        <w:spacing w:after="120"/>
      </w:pPr>
      <w:r>
        <w:rPr>
          <w:rFonts w:ascii="Calibri" w:hAnsi="Calibri"/>
        </w:rPr>
        <w:t>QOF is a voluntary annual reward and incentive programme for all GP practices in England, Scotland, Wales and Northern Ireland. Introduced in 2004 as part of the GP contract, it measures performance against clinical indicators for chronic disease management and public health. 2025/26 represents the most significant change to QOF since its introduction.</w:t>
      </w:r>
    </w:p>
    <w:p w14:paraId="77638953" w14:textId="77777777" w:rsidR="00097CD8" w:rsidRDefault="00000000">
      <w:pPr>
        <w:spacing w:before="80" w:after="80"/>
      </w:pPr>
      <w:r>
        <w:rPr>
          <w:rFonts w:ascii="Calibri" w:hAnsi="Calibri"/>
          <w:b/>
          <w:color w:val="2C5282"/>
          <w:sz w:val="24"/>
        </w:rPr>
        <w:t>QOF 2025/26 — Key Numbers</w:t>
      </w:r>
    </w:p>
    <w:tbl>
      <w:tblPr>
        <w:tblStyle w:val="TableGrid"/>
        <w:tblW w:w="0" w:type="auto"/>
        <w:tblLook w:val="04A0" w:firstRow="1" w:lastRow="0" w:firstColumn="1" w:lastColumn="0" w:noHBand="0" w:noVBand="1"/>
      </w:tblPr>
      <w:tblGrid>
        <w:gridCol w:w="4514"/>
        <w:gridCol w:w="4514"/>
      </w:tblGrid>
      <w:tr w:rsidR="00097CD8" w14:paraId="59DADEF9" w14:textId="77777777">
        <w:tc>
          <w:tcPr>
            <w:tcW w:w="4514" w:type="dxa"/>
            <w:shd w:val="clear" w:color="auto" w:fill="FFF3EC"/>
          </w:tcPr>
          <w:p w14:paraId="40981ECD" w14:textId="77777777" w:rsidR="00097CD8" w:rsidRDefault="00000000">
            <w:r>
              <w:rPr>
                <w:rFonts w:ascii="Calibri" w:hAnsi="Calibri"/>
                <w:b/>
                <w:color w:val="E0651F"/>
                <w:sz w:val="21"/>
              </w:rPr>
              <w:t>Total QOF points available 2025/26</w:t>
            </w:r>
          </w:p>
        </w:tc>
        <w:tc>
          <w:tcPr>
            <w:tcW w:w="4514" w:type="dxa"/>
            <w:shd w:val="clear" w:color="auto" w:fill="FFF3EC"/>
          </w:tcPr>
          <w:p w14:paraId="26E27CCF" w14:textId="77777777" w:rsidR="00097CD8" w:rsidRDefault="00000000">
            <w:r>
              <w:rPr>
                <w:rFonts w:ascii="Calibri" w:hAnsi="Calibri"/>
                <w:sz w:val="21"/>
              </w:rPr>
              <w:t>564 (down from 776 in 2024/25)</w:t>
            </w:r>
          </w:p>
        </w:tc>
      </w:tr>
      <w:tr w:rsidR="00097CD8" w14:paraId="3D533227" w14:textId="77777777">
        <w:tc>
          <w:tcPr>
            <w:tcW w:w="4514" w:type="dxa"/>
            <w:shd w:val="clear" w:color="auto" w:fill="FFFFFF"/>
          </w:tcPr>
          <w:p w14:paraId="3CA8E520" w14:textId="77777777" w:rsidR="00097CD8" w:rsidRDefault="00000000">
            <w:r>
              <w:rPr>
                <w:rFonts w:ascii="Calibri" w:hAnsi="Calibri"/>
                <w:b/>
                <w:color w:val="E0651F"/>
                <w:sz w:val="21"/>
              </w:rPr>
              <w:t>Indicators retired permanently</w:t>
            </w:r>
          </w:p>
        </w:tc>
        <w:tc>
          <w:tcPr>
            <w:tcW w:w="4514" w:type="dxa"/>
            <w:shd w:val="clear" w:color="auto" w:fill="FFFFFF"/>
          </w:tcPr>
          <w:p w14:paraId="366AE154" w14:textId="77777777" w:rsidR="00097CD8" w:rsidRDefault="00000000">
            <w:r>
              <w:rPr>
                <w:rFonts w:ascii="Calibri" w:hAnsi="Calibri"/>
                <w:sz w:val="21"/>
              </w:rPr>
              <w:t>32 indicators (212 points removed)</w:t>
            </w:r>
          </w:p>
        </w:tc>
      </w:tr>
      <w:tr w:rsidR="00097CD8" w14:paraId="7D51435A" w14:textId="77777777">
        <w:tc>
          <w:tcPr>
            <w:tcW w:w="4514" w:type="dxa"/>
            <w:shd w:val="clear" w:color="auto" w:fill="FFF3EC"/>
          </w:tcPr>
          <w:p w14:paraId="3BB7C574" w14:textId="77777777" w:rsidR="00097CD8" w:rsidRDefault="00000000">
            <w:r>
              <w:rPr>
                <w:rFonts w:ascii="Calibri" w:hAnsi="Calibri"/>
                <w:b/>
                <w:color w:val="E0651F"/>
                <w:sz w:val="21"/>
              </w:rPr>
              <w:t>QOF point value 2025/26</w:t>
            </w:r>
          </w:p>
        </w:tc>
        <w:tc>
          <w:tcPr>
            <w:tcW w:w="4514" w:type="dxa"/>
            <w:shd w:val="clear" w:color="auto" w:fill="FFF3EC"/>
          </w:tcPr>
          <w:p w14:paraId="141ED154" w14:textId="77777777" w:rsidR="00097CD8" w:rsidRDefault="00000000">
            <w:r>
              <w:rPr>
                <w:rFonts w:ascii="Calibri" w:hAnsi="Calibri"/>
                <w:sz w:val="21"/>
              </w:rPr>
              <w:t>£225.49 per point</w:t>
            </w:r>
          </w:p>
        </w:tc>
      </w:tr>
      <w:tr w:rsidR="00097CD8" w14:paraId="17464FE4" w14:textId="77777777">
        <w:tc>
          <w:tcPr>
            <w:tcW w:w="4514" w:type="dxa"/>
            <w:shd w:val="clear" w:color="auto" w:fill="FFFFFF"/>
          </w:tcPr>
          <w:p w14:paraId="3191CA9C" w14:textId="77777777" w:rsidR="00097CD8" w:rsidRDefault="00000000">
            <w:r>
              <w:rPr>
                <w:rFonts w:ascii="Calibri" w:hAnsi="Calibri"/>
                <w:b/>
                <w:color w:val="E0651F"/>
                <w:sz w:val="21"/>
              </w:rPr>
              <w:t>Average practice QOF income</w:t>
            </w:r>
          </w:p>
        </w:tc>
        <w:tc>
          <w:tcPr>
            <w:tcW w:w="4514" w:type="dxa"/>
            <w:shd w:val="clear" w:color="auto" w:fill="FFFFFF"/>
          </w:tcPr>
          <w:p w14:paraId="41168057" w14:textId="77777777" w:rsidR="00097CD8" w:rsidRDefault="00000000">
            <w:r>
              <w:rPr>
                <w:rFonts w:ascii="Calibri" w:hAnsi="Calibri"/>
                <w:sz w:val="21"/>
              </w:rPr>
              <w:t>£127,176.36</w:t>
            </w:r>
          </w:p>
        </w:tc>
      </w:tr>
      <w:tr w:rsidR="00097CD8" w14:paraId="3A6677E8" w14:textId="77777777">
        <w:tc>
          <w:tcPr>
            <w:tcW w:w="4514" w:type="dxa"/>
            <w:shd w:val="clear" w:color="auto" w:fill="FFF3EC"/>
          </w:tcPr>
          <w:p w14:paraId="7F739FD6" w14:textId="77777777" w:rsidR="00097CD8" w:rsidRDefault="00000000">
            <w:r>
              <w:rPr>
                <w:rFonts w:ascii="Calibri" w:hAnsi="Calibri"/>
                <w:b/>
                <w:color w:val="E0651F"/>
                <w:sz w:val="21"/>
              </w:rPr>
              <w:t>Major funding shift</w:t>
            </w:r>
          </w:p>
        </w:tc>
        <w:tc>
          <w:tcPr>
            <w:tcW w:w="4514" w:type="dxa"/>
            <w:shd w:val="clear" w:color="auto" w:fill="FFF3EC"/>
          </w:tcPr>
          <w:p w14:paraId="11C7D5EC" w14:textId="77777777" w:rsidR="00097CD8" w:rsidRDefault="00000000">
            <w:r>
              <w:rPr>
                <w:rFonts w:ascii="Calibri" w:hAnsi="Calibri"/>
                <w:sz w:val="21"/>
              </w:rPr>
              <w:t xml:space="preserve">141 points (≈£198 million) redistributed into 9 </w:t>
            </w:r>
            <w:r>
              <w:rPr>
                <w:rFonts w:ascii="Calibri" w:hAnsi="Calibri"/>
                <w:sz w:val="21"/>
              </w:rPr>
              <w:lastRenderedPageBreak/>
              <w:t>CVD prevention indicators</w:t>
            </w:r>
          </w:p>
        </w:tc>
      </w:tr>
    </w:tbl>
    <w:p w14:paraId="0812C977" w14:textId="77777777" w:rsidR="00097CD8" w:rsidRDefault="00097CD8">
      <w:pPr>
        <w:spacing w:after="120"/>
      </w:pPr>
    </w:p>
    <w:tbl>
      <w:tblPr>
        <w:tblStyle w:val="TableGrid"/>
        <w:tblW w:w="0" w:type="auto"/>
        <w:tblLook w:val="04A0" w:firstRow="1" w:lastRow="0" w:firstColumn="1" w:lastColumn="0" w:noHBand="0" w:noVBand="1"/>
      </w:tblPr>
      <w:tblGrid>
        <w:gridCol w:w="9029"/>
      </w:tblGrid>
      <w:tr w:rsidR="00097CD8" w14:paraId="2CEDD078" w14:textId="77777777">
        <w:tc>
          <w:tcPr>
            <w:tcW w:w="9029" w:type="dxa"/>
            <w:shd w:val="clear" w:color="auto" w:fill="FFEBEE"/>
          </w:tcPr>
          <w:p w14:paraId="53C786F6" w14:textId="77777777" w:rsidR="00097CD8" w:rsidRDefault="00000000">
            <w:pPr>
              <w:spacing w:before="80" w:after="80"/>
            </w:pPr>
            <w:r>
              <w:rPr>
                <w:rFonts w:ascii="Calibri" w:hAnsi="Calibri"/>
                <w:b/>
                <w:color w:val="B71C1C"/>
                <w:sz w:val="24"/>
              </w:rPr>
              <w:t>❌ QOF 2025/26 — 32 Indicators Retired (Major Disease Registers Removed)</w:t>
            </w:r>
          </w:p>
          <w:p w14:paraId="28917611" w14:textId="77777777" w:rsidR="00097CD8" w:rsidRDefault="00000000">
            <w:pPr>
              <w:spacing w:before="40" w:after="40"/>
              <w:ind w:left="216"/>
            </w:pPr>
            <w:r>
              <w:rPr>
                <w:rFonts w:ascii="Calibri" w:hAnsi="Calibri"/>
                <w:color w:val="B71C1C"/>
                <w:sz w:val="21"/>
              </w:rPr>
              <w:t>• All disease REGISTERS no longer QOF-incentivised: Cancer, COPD, Asthma, CHD, Hypertension, AF, Heart Failure, Diabetes, Epilepsy, Dementia, SMI, CKD, Palliative Care, Obesity, RA</w:t>
            </w:r>
          </w:p>
          <w:p w14:paraId="6F6B36D3" w14:textId="77777777" w:rsidR="00097CD8" w:rsidRDefault="00000000">
            <w:pPr>
              <w:spacing w:before="40" w:after="40"/>
              <w:ind w:left="216"/>
            </w:pPr>
            <w:r>
              <w:rPr>
                <w:rFonts w:ascii="Calibri" w:hAnsi="Calibri"/>
                <w:color w:val="B71C1C"/>
                <w:sz w:val="21"/>
              </w:rPr>
              <w:t>• Cancer care reviews (CAN004, CAN005) retired</w:t>
            </w:r>
          </w:p>
          <w:p w14:paraId="7F2335E2" w14:textId="77777777" w:rsidR="00097CD8" w:rsidRDefault="00000000">
            <w:pPr>
              <w:spacing w:before="40" w:after="40"/>
              <w:ind w:left="216"/>
            </w:pPr>
            <w:r>
              <w:rPr>
                <w:rFonts w:ascii="Calibri" w:hAnsi="Calibri"/>
                <w:color w:val="B71C1C"/>
                <w:sz w:val="21"/>
              </w:rPr>
              <w:t>• Depression review of new diagnoses (DEP004) retired</w:t>
            </w:r>
          </w:p>
          <w:p w14:paraId="04D71B69" w14:textId="77777777" w:rsidR="00097CD8" w:rsidRDefault="00000000">
            <w:pPr>
              <w:spacing w:before="40" w:after="40"/>
              <w:ind w:left="216"/>
            </w:pPr>
            <w:r>
              <w:rPr>
                <w:rFonts w:ascii="Calibri" w:hAnsi="Calibri"/>
                <w:color w:val="B71C1C"/>
                <w:sz w:val="21"/>
              </w:rPr>
              <w:t>• SMI physical health check (MH021) retired</w:t>
            </w:r>
          </w:p>
          <w:p w14:paraId="4B434BCF" w14:textId="77777777" w:rsidR="00097CD8" w:rsidRDefault="00000000">
            <w:pPr>
              <w:spacing w:before="40" w:after="40"/>
              <w:ind w:left="216"/>
            </w:pPr>
            <w:r>
              <w:rPr>
                <w:rFonts w:ascii="Calibri" w:hAnsi="Calibri"/>
                <w:color w:val="B71C1C"/>
                <w:sz w:val="21"/>
              </w:rPr>
              <w:t>• All 6 Quality Improvement modules retired</w:t>
            </w:r>
          </w:p>
          <w:p w14:paraId="6FC014AB" w14:textId="77777777" w:rsidR="00097CD8" w:rsidRDefault="00000000">
            <w:pPr>
              <w:spacing w:before="40" w:after="40"/>
              <w:ind w:left="216"/>
            </w:pPr>
            <w:r>
              <w:rPr>
                <w:rFonts w:ascii="Calibri" w:hAnsi="Calibri"/>
                <w:color w:val="B71C1C"/>
                <w:sz w:val="21"/>
              </w:rPr>
              <w:t>• COPD referral to pulmonary rehabilitation (COPD014) retired</w:t>
            </w:r>
          </w:p>
          <w:p w14:paraId="36E5E779" w14:textId="77777777" w:rsidR="00097CD8" w:rsidRDefault="00000000">
            <w:pPr>
              <w:spacing w:before="40" w:after="40"/>
              <w:ind w:left="216"/>
            </w:pPr>
            <w:r>
              <w:rPr>
                <w:rFonts w:ascii="Calibri" w:hAnsi="Calibri"/>
                <w:color w:val="B71C1C"/>
                <w:sz w:val="21"/>
              </w:rPr>
              <w:t>• Asthma register (AST005) retired — but asthma REVIEWS and objective diagnosis remain</w:t>
            </w:r>
          </w:p>
        </w:tc>
      </w:tr>
    </w:tbl>
    <w:p w14:paraId="3A635852" w14:textId="77777777" w:rsidR="00097CD8" w:rsidRDefault="00097CD8">
      <w:pPr>
        <w:spacing w:after="120"/>
      </w:pPr>
    </w:p>
    <w:p w14:paraId="10401BA2" w14:textId="77777777" w:rsidR="00097CD8" w:rsidRDefault="00000000">
      <w:pPr>
        <w:spacing w:before="120" w:after="80"/>
      </w:pPr>
      <w:r>
        <w:rPr>
          <w:rFonts w:ascii="Calibri" w:hAnsi="Calibri"/>
          <w:b/>
          <w:color w:val="2C5282"/>
          <w:sz w:val="24"/>
        </w:rPr>
        <w:t>QOF 2025/26 — Enhanced CVD Prevention Indicators</w:t>
      </w:r>
    </w:p>
    <w:tbl>
      <w:tblPr>
        <w:tblStyle w:val="TableGrid"/>
        <w:tblW w:w="0" w:type="auto"/>
        <w:tblLook w:val="04A0" w:firstRow="1" w:lastRow="0" w:firstColumn="1" w:lastColumn="0" w:noHBand="0" w:noVBand="1"/>
      </w:tblPr>
      <w:tblGrid>
        <w:gridCol w:w="2257"/>
        <w:gridCol w:w="2288"/>
        <w:gridCol w:w="2257"/>
        <w:gridCol w:w="2257"/>
      </w:tblGrid>
      <w:tr w:rsidR="00097CD8" w14:paraId="256DC50F" w14:textId="77777777">
        <w:tc>
          <w:tcPr>
            <w:tcW w:w="2257" w:type="dxa"/>
            <w:shd w:val="clear" w:color="auto" w:fill="E0651F"/>
          </w:tcPr>
          <w:p w14:paraId="0670C12A" w14:textId="77777777" w:rsidR="00097CD8" w:rsidRDefault="00000000">
            <w:r>
              <w:rPr>
                <w:rFonts w:ascii="Calibri" w:hAnsi="Calibri"/>
                <w:b/>
                <w:color w:val="FFFFFF"/>
                <w:sz w:val="20"/>
              </w:rPr>
              <w:t>Indicator</w:t>
            </w:r>
          </w:p>
        </w:tc>
        <w:tc>
          <w:tcPr>
            <w:tcW w:w="2257" w:type="dxa"/>
            <w:shd w:val="clear" w:color="auto" w:fill="E0651F"/>
          </w:tcPr>
          <w:p w14:paraId="2EAF1B49" w14:textId="77777777" w:rsidR="00097CD8" w:rsidRDefault="00000000">
            <w:r>
              <w:rPr>
                <w:rFonts w:ascii="Calibri" w:hAnsi="Calibri"/>
                <w:b/>
                <w:color w:val="FFFFFF"/>
                <w:sz w:val="20"/>
              </w:rPr>
              <w:t>Description</w:t>
            </w:r>
          </w:p>
        </w:tc>
        <w:tc>
          <w:tcPr>
            <w:tcW w:w="2257" w:type="dxa"/>
            <w:shd w:val="clear" w:color="auto" w:fill="E0651F"/>
          </w:tcPr>
          <w:p w14:paraId="0EB68DBF" w14:textId="77777777" w:rsidR="00097CD8" w:rsidRDefault="00000000">
            <w:r>
              <w:rPr>
                <w:rFonts w:ascii="Calibri" w:hAnsi="Calibri"/>
                <w:b/>
                <w:color w:val="FFFFFF"/>
                <w:sz w:val="20"/>
              </w:rPr>
              <w:t>2025/26 Points</w:t>
            </w:r>
          </w:p>
        </w:tc>
        <w:tc>
          <w:tcPr>
            <w:tcW w:w="2257" w:type="dxa"/>
            <w:shd w:val="clear" w:color="auto" w:fill="E0651F"/>
          </w:tcPr>
          <w:p w14:paraId="0C68A425" w14:textId="77777777" w:rsidR="00097CD8" w:rsidRDefault="00000000">
            <w:r>
              <w:rPr>
                <w:rFonts w:ascii="Calibri" w:hAnsi="Calibri"/>
                <w:b/>
                <w:color w:val="FFFFFF"/>
                <w:sz w:val="20"/>
              </w:rPr>
              <w:t>Target</w:t>
            </w:r>
          </w:p>
        </w:tc>
      </w:tr>
      <w:tr w:rsidR="00097CD8" w14:paraId="5FC072DF" w14:textId="77777777">
        <w:tc>
          <w:tcPr>
            <w:tcW w:w="2257" w:type="dxa"/>
            <w:shd w:val="clear" w:color="auto" w:fill="F0F4FF"/>
          </w:tcPr>
          <w:p w14:paraId="7F2D8AF7" w14:textId="77777777" w:rsidR="00097CD8" w:rsidRDefault="00000000">
            <w:r>
              <w:rPr>
                <w:rFonts w:ascii="Calibri" w:hAnsi="Calibri"/>
                <w:sz w:val="19"/>
              </w:rPr>
              <w:t>HYP008</w:t>
            </w:r>
          </w:p>
        </w:tc>
        <w:tc>
          <w:tcPr>
            <w:tcW w:w="2257" w:type="dxa"/>
            <w:shd w:val="clear" w:color="auto" w:fill="F0F4FF"/>
          </w:tcPr>
          <w:p w14:paraId="1139209E" w14:textId="77777777" w:rsidR="00097CD8" w:rsidRDefault="00000000">
            <w:r>
              <w:rPr>
                <w:rFonts w:ascii="Calibri" w:hAnsi="Calibri"/>
                <w:sz w:val="19"/>
              </w:rPr>
              <w:t>Hypertension: BP ≤140/90 (aged ≤79 yrs)</w:t>
            </w:r>
          </w:p>
        </w:tc>
        <w:tc>
          <w:tcPr>
            <w:tcW w:w="2257" w:type="dxa"/>
            <w:shd w:val="clear" w:color="auto" w:fill="F0F4FF"/>
          </w:tcPr>
          <w:p w14:paraId="57A4FCAD" w14:textId="77777777" w:rsidR="00097CD8" w:rsidRDefault="00000000">
            <w:r>
              <w:rPr>
                <w:rFonts w:ascii="Calibri" w:hAnsi="Calibri"/>
                <w:sz w:val="19"/>
              </w:rPr>
              <w:t>38</w:t>
            </w:r>
          </w:p>
        </w:tc>
        <w:tc>
          <w:tcPr>
            <w:tcW w:w="2257" w:type="dxa"/>
            <w:shd w:val="clear" w:color="auto" w:fill="F0F4FF"/>
          </w:tcPr>
          <w:p w14:paraId="6F7E6A49" w14:textId="77777777" w:rsidR="00097CD8" w:rsidRDefault="00000000">
            <w:r>
              <w:rPr>
                <w:rFonts w:ascii="Calibri" w:hAnsi="Calibri"/>
                <w:sz w:val="19"/>
              </w:rPr>
              <w:t>85%</w:t>
            </w:r>
          </w:p>
        </w:tc>
      </w:tr>
      <w:tr w:rsidR="00097CD8" w14:paraId="60F16374" w14:textId="77777777">
        <w:tc>
          <w:tcPr>
            <w:tcW w:w="2257" w:type="dxa"/>
            <w:shd w:val="clear" w:color="auto" w:fill="FFFFFF"/>
          </w:tcPr>
          <w:p w14:paraId="7503B4B1" w14:textId="77777777" w:rsidR="00097CD8" w:rsidRDefault="00000000">
            <w:r>
              <w:rPr>
                <w:rFonts w:ascii="Calibri" w:hAnsi="Calibri"/>
                <w:sz w:val="19"/>
              </w:rPr>
              <w:t>HYP009</w:t>
            </w:r>
          </w:p>
        </w:tc>
        <w:tc>
          <w:tcPr>
            <w:tcW w:w="2257" w:type="dxa"/>
            <w:shd w:val="clear" w:color="auto" w:fill="FFFFFF"/>
          </w:tcPr>
          <w:p w14:paraId="2A37E8C8" w14:textId="77777777" w:rsidR="00097CD8" w:rsidRDefault="00000000">
            <w:r>
              <w:rPr>
                <w:rFonts w:ascii="Calibri" w:hAnsi="Calibri"/>
                <w:sz w:val="19"/>
              </w:rPr>
              <w:t>Hypertension: BP ≤150/90 (aged ≥80 yrs)</w:t>
            </w:r>
          </w:p>
        </w:tc>
        <w:tc>
          <w:tcPr>
            <w:tcW w:w="2257" w:type="dxa"/>
            <w:shd w:val="clear" w:color="auto" w:fill="FFFFFF"/>
          </w:tcPr>
          <w:p w14:paraId="3DEA0B83" w14:textId="77777777" w:rsidR="00097CD8" w:rsidRDefault="00000000">
            <w:r>
              <w:rPr>
                <w:rFonts w:ascii="Calibri" w:hAnsi="Calibri"/>
                <w:sz w:val="19"/>
              </w:rPr>
              <w:t>14</w:t>
            </w:r>
          </w:p>
        </w:tc>
        <w:tc>
          <w:tcPr>
            <w:tcW w:w="2257" w:type="dxa"/>
            <w:shd w:val="clear" w:color="auto" w:fill="FFFFFF"/>
          </w:tcPr>
          <w:p w14:paraId="56C865AC" w14:textId="77777777" w:rsidR="00097CD8" w:rsidRDefault="00000000">
            <w:r>
              <w:rPr>
                <w:rFonts w:ascii="Calibri" w:hAnsi="Calibri"/>
                <w:sz w:val="19"/>
              </w:rPr>
              <w:t>85%</w:t>
            </w:r>
          </w:p>
        </w:tc>
      </w:tr>
      <w:tr w:rsidR="00097CD8" w14:paraId="1E927235" w14:textId="77777777">
        <w:tc>
          <w:tcPr>
            <w:tcW w:w="2257" w:type="dxa"/>
            <w:shd w:val="clear" w:color="auto" w:fill="F0F4FF"/>
          </w:tcPr>
          <w:p w14:paraId="27814F87" w14:textId="77777777" w:rsidR="00097CD8" w:rsidRDefault="00000000">
            <w:r>
              <w:rPr>
                <w:rFonts w:ascii="Calibri" w:hAnsi="Calibri"/>
                <w:sz w:val="19"/>
              </w:rPr>
              <w:t>CHD015</w:t>
            </w:r>
          </w:p>
        </w:tc>
        <w:tc>
          <w:tcPr>
            <w:tcW w:w="2257" w:type="dxa"/>
            <w:shd w:val="clear" w:color="auto" w:fill="F0F4FF"/>
          </w:tcPr>
          <w:p w14:paraId="26D4C796" w14:textId="77777777" w:rsidR="00097CD8" w:rsidRDefault="00000000">
            <w:r>
              <w:rPr>
                <w:rFonts w:ascii="Calibri" w:hAnsi="Calibri"/>
                <w:sz w:val="19"/>
              </w:rPr>
              <w:t>CHD patients: BP ≤140/90 (aged ≤79 yrs)</w:t>
            </w:r>
          </w:p>
        </w:tc>
        <w:tc>
          <w:tcPr>
            <w:tcW w:w="2257" w:type="dxa"/>
            <w:shd w:val="clear" w:color="auto" w:fill="F0F4FF"/>
          </w:tcPr>
          <w:p w14:paraId="4BF97B4A" w14:textId="77777777" w:rsidR="00097CD8" w:rsidRDefault="00000000">
            <w:r>
              <w:rPr>
                <w:rFonts w:ascii="Calibri" w:hAnsi="Calibri"/>
                <w:sz w:val="19"/>
              </w:rPr>
              <w:t>33</w:t>
            </w:r>
          </w:p>
        </w:tc>
        <w:tc>
          <w:tcPr>
            <w:tcW w:w="2257" w:type="dxa"/>
            <w:shd w:val="clear" w:color="auto" w:fill="F0F4FF"/>
          </w:tcPr>
          <w:p w14:paraId="3CFBAFC2" w14:textId="77777777" w:rsidR="00097CD8" w:rsidRDefault="00000000">
            <w:r>
              <w:rPr>
                <w:rFonts w:ascii="Calibri" w:hAnsi="Calibri"/>
                <w:sz w:val="19"/>
              </w:rPr>
              <w:t>90%</w:t>
            </w:r>
          </w:p>
        </w:tc>
      </w:tr>
      <w:tr w:rsidR="00097CD8" w14:paraId="392E6626" w14:textId="77777777">
        <w:tc>
          <w:tcPr>
            <w:tcW w:w="2257" w:type="dxa"/>
            <w:shd w:val="clear" w:color="auto" w:fill="FFFFFF"/>
          </w:tcPr>
          <w:p w14:paraId="73340EBA" w14:textId="77777777" w:rsidR="00097CD8" w:rsidRDefault="00000000">
            <w:r>
              <w:rPr>
                <w:rFonts w:ascii="Calibri" w:hAnsi="Calibri"/>
                <w:sz w:val="19"/>
              </w:rPr>
              <w:t>CHD016</w:t>
            </w:r>
          </w:p>
        </w:tc>
        <w:tc>
          <w:tcPr>
            <w:tcW w:w="2257" w:type="dxa"/>
            <w:shd w:val="clear" w:color="auto" w:fill="FFFFFF"/>
          </w:tcPr>
          <w:p w14:paraId="2F25ED9B" w14:textId="77777777" w:rsidR="00097CD8" w:rsidRDefault="00000000">
            <w:r>
              <w:rPr>
                <w:rFonts w:ascii="Calibri" w:hAnsi="Calibri"/>
                <w:sz w:val="19"/>
              </w:rPr>
              <w:t>CHD patients: BP ≤150/90 (aged ≥80 yrs)</w:t>
            </w:r>
          </w:p>
        </w:tc>
        <w:tc>
          <w:tcPr>
            <w:tcW w:w="2257" w:type="dxa"/>
            <w:shd w:val="clear" w:color="auto" w:fill="FFFFFF"/>
          </w:tcPr>
          <w:p w14:paraId="5D192CD9" w14:textId="77777777" w:rsidR="00097CD8" w:rsidRDefault="00000000">
            <w:r>
              <w:rPr>
                <w:rFonts w:ascii="Calibri" w:hAnsi="Calibri"/>
                <w:sz w:val="19"/>
              </w:rPr>
              <w:t>14</w:t>
            </w:r>
          </w:p>
        </w:tc>
        <w:tc>
          <w:tcPr>
            <w:tcW w:w="2257" w:type="dxa"/>
            <w:shd w:val="clear" w:color="auto" w:fill="FFFFFF"/>
          </w:tcPr>
          <w:p w14:paraId="29DA5CFF" w14:textId="77777777" w:rsidR="00097CD8" w:rsidRDefault="00000000">
            <w:r>
              <w:rPr>
                <w:rFonts w:ascii="Calibri" w:hAnsi="Calibri"/>
                <w:sz w:val="19"/>
              </w:rPr>
              <w:t>90%</w:t>
            </w:r>
          </w:p>
        </w:tc>
      </w:tr>
      <w:tr w:rsidR="00097CD8" w14:paraId="3EB6A793" w14:textId="77777777">
        <w:tc>
          <w:tcPr>
            <w:tcW w:w="2257" w:type="dxa"/>
            <w:shd w:val="clear" w:color="auto" w:fill="F0F4FF"/>
          </w:tcPr>
          <w:p w14:paraId="44118C88" w14:textId="77777777" w:rsidR="00097CD8" w:rsidRDefault="00000000">
            <w:r>
              <w:rPr>
                <w:rFonts w:ascii="Calibri" w:hAnsi="Calibri"/>
                <w:sz w:val="19"/>
              </w:rPr>
              <w:t>CHOL003</w:t>
            </w:r>
          </w:p>
        </w:tc>
        <w:tc>
          <w:tcPr>
            <w:tcW w:w="2257" w:type="dxa"/>
            <w:shd w:val="clear" w:color="auto" w:fill="F0F4FF"/>
          </w:tcPr>
          <w:p w14:paraId="7049173E" w14:textId="77777777" w:rsidR="00097CD8" w:rsidRDefault="00000000">
            <w:r>
              <w:rPr>
                <w:rFonts w:ascii="Calibri" w:hAnsi="Calibri"/>
                <w:sz w:val="19"/>
              </w:rPr>
              <w:t>CHD/PAD/Stroke/TIA/CKD: statin prescribed (or alternative/declined)</w:t>
            </w:r>
          </w:p>
        </w:tc>
        <w:tc>
          <w:tcPr>
            <w:tcW w:w="2257" w:type="dxa"/>
            <w:shd w:val="clear" w:color="auto" w:fill="F0F4FF"/>
          </w:tcPr>
          <w:p w14:paraId="3F0D9D8F" w14:textId="77777777" w:rsidR="00097CD8" w:rsidRDefault="00000000">
            <w:r>
              <w:rPr>
                <w:rFonts w:ascii="Calibri" w:hAnsi="Calibri"/>
                <w:sz w:val="19"/>
              </w:rPr>
              <w:t>38</w:t>
            </w:r>
          </w:p>
        </w:tc>
        <w:tc>
          <w:tcPr>
            <w:tcW w:w="2257" w:type="dxa"/>
            <w:shd w:val="clear" w:color="auto" w:fill="F0F4FF"/>
          </w:tcPr>
          <w:p w14:paraId="0862507E" w14:textId="77777777" w:rsidR="00097CD8" w:rsidRDefault="00000000">
            <w:r>
              <w:rPr>
                <w:rFonts w:ascii="Calibri" w:hAnsi="Calibri"/>
                <w:sz w:val="19"/>
              </w:rPr>
              <w:t>95%</w:t>
            </w:r>
          </w:p>
        </w:tc>
      </w:tr>
      <w:tr w:rsidR="00097CD8" w14:paraId="65D7F286" w14:textId="77777777">
        <w:tc>
          <w:tcPr>
            <w:tcW w:w="2257" w:type="dxa"/>
            <w:shd w:val="clear" w:color="auto" w:fill="FFFFFF"/>
          </w:tcPr>
          <w:p w14:paraId="004775EB" w14:textId="77777777" w:rsidR="00097CD8" w:rsidRDefault="00000000">
            <w:r>
              <w:rPr>
                <w:rFonts w:ascii="Calibri" w:hAnsi="Calibri"/>
                <w:sz w:val="19"/>
              </w:rPr>
              <w:t>CHOL004</w:t>
            </w:r>
          </w:p>
        </w:tc>
        <w:tc>
          <w:tcPr>
            <w:tcW w:w="2257" w:type="dxa"/>
            <w:shd w:val="clear" w:color="auto" w:fill="FFFFFF"/>
          </w:tcPr>
          <w:p w14:paraId="50835EBC" w14:textId="77777777" w:rsidR="00097CD8" w:rsidRDefault="00000000">
            <w:r>
              <w:rPr>
                <w:rFonts w:ascii="Calibri" w:hAnsi="Calibri"/>
                <w:sz w:val="19"/>
              </w:rPr>
              <w:t>CHD/PAD/Stroke/TIA: cholesterol LDL ≤2.0 or non-HDL ≤2.6 mmol/L</w:t>
            </w:r>
          </w:p>
        </w:tc>
        <w:tc>
          <w:tcPr>
            <w:tcW w:w="2257" w:type="dxa"/>
            <w:shd w:val="clear" w:color="auto" w:fill="FFFFFF"/>
          </w:tcPr>
          <w:p w14:paraId="5AD62C23" w14:textId="77777777" w:rsidR="00097CD8" w:rsidRDefault="00000000">
            <w:r>
              <w:rPr>
                <w:rFonts w:ascii="Calibri" w:hAnsi="Calibri"/>
                <w:sz w:val="19"/>
              </w:rPr>
              <w:t>44</w:t>
            </w:r>
          </w:p>
        </w:tc>
        <w:tc>
          <w:tcPr>
            <w:tcW w:w="2257" w:type="dxa"/>
            <w:shd w:val="clear" w:color="auto" w:fill="FFFFFF"/>
          </w:tcPr>
          <w:p w14:paraId="65681AC5" w14:textId="77777777" w:rsidR="00097CD8" w:rsidRDefault="00000000">
            <w:r>
              <w:rPr>
                <w:rFonts w:ascii="Calibri" w:hAnsi="Calibri"/>
                <w:sz w:val="19"/>
              </w:rPr>
              <w:t>50%</w:t>
            </w:r>
          </w:p>
        </w:tc>
      </w:tr>
      <w:tr w:rsidR="00097CD8" w14:paraId="6130B6EE" w14:textId="77777777">
        <w:tc>
          <w:tcPr>
            <w:tcW w:w="2257" w:type="dxa"/>
            <w:shd w:val="clear" w:color="auto" w:fill="F0F4FF"/>
          </w:tcPr>
          <w:p w14:paraId="287FDB4B" w14:textId="77777777" w:rsidR="00097CD8" w:rsidRDefault="00000000">
            <w:r>
              <w:rPr>
                <w:rFonts w:ascii="Calibri" w:hAnsi="Calibri"/>
                <w:sz w:val="19"/>
              </w:rPr>
              <w:t>STIA014</w:t>
            </w:r>
          </w:p>
        </w:tc>
        <w:tc>
          <w:tcPr>
            <w:tcW w:w="2257" w:type="dxa"/>
            <w:shd w:val="clear" w:color="auto" w:fill="F0F4FF"/>
          </w:tcPr>
          <w:p w14:paraId="4C0C9334" w14:textId="77777777" w:rsidR="00097CD8" w:rsidRDefault="00000000">
            <w:r>
              <w:rPr>
                <w:rFonts w:ascii="Calibri" w:hAnsi="Calibri"/>
                <w:sz w:val="19"/>
              </w:rPr>
              <w:t>Stroke/TIA: BP ≤140/90 (aged ≤79 yrs)</w:t>
            </w:r>
          </w:p>
        </w:tc>
        <w:tc>
          <w:tcPr>
            <w:tcW w:w="2257" w:type="dxa"/>
            <w:shd w:val="clear" w:color="auto" w:fill="F0F4FF"/>
          </w:tcPr>
          <w:p w14:paraId="19780C42" w14:textId="77777777" w:rsidR="00097CD8" w:rsidRDefault="00000000">
            <w:r>
              <w:rPr>
                <w:rFonts w:ascii="Calibri" w:hAnsi="Calibri"/>
                <w:sz w:val="19"/>
              </w:rPr>
              <w:t>8</w:t>
            </w:r>
          </w:p>
        </w:tc>
        <w:tc>
          <w:tcPr>
            <w:tcW w:w="2257" w:type="dxa"/>
            <w:shd w:val="clear" w:color="auto" w:fill="F0F4FF"/>
          </w:tcPr>
          <w:p w14:paraId="2D7AF5B4" w14:textId="77777777" w:rsidR="00097CD8" w:rsidRDefault="00000000">
            <w:r>
              <w:rPr>
                <w:rFonts w:ascii="Calibri" w:hAnsi="Calibri"/>
                <w:sz w:val="19"/>
              </w:rPr>
              <w:t>90%</w:t>
            </w:r>
          </w:p>
        </w:tc>
      </w:tr>
      <w:tr w:rsidR="00097CD8" w14:paraId="5A559335" w14:textId="77777777">
        <w:tc>
          <w:tcPr>
            <w:tcW w:w="2257" w:type="dxa"/>
            <w:shd w:val="clear" w:color="auto" w:fill="FFFFFF"/>
          </w:tcPr>
          <w:p w14:paraId="24E6BFAC" w14:textId="77777777" w:rsidR="00097CD8" w:rsidRDefault="00000000">
            <w:r>
              <w:rPr>
                <w:rFonts w:ascii="Calibri" w:hAnsi="Calibri"/>
                <w:sz w:val="19"/>
              </w:rPr>
              <w:t>STIA015</w:t>
            </w:r>
          </w:p>
        </w:tc>
        <w:tc>
          <w:tcPr>
            <w:tcW w:w="2257" w:type="dxa"/>
            <w:shd w:val="clear" w:color="auto" w:fill="FFFFFF"/>
          </w:tcPr>
          <w:p w14:paraId="435402F3" w14:textId="77777777" w:rsidR="00097CD8" w:rsidRDefault="00000000">
            <w:r>
              <w:rPr>
                <w:rFonts w:ascii="Calibri" w:hAnsi="Calibri"/>
                <w:sz w:val="19"/>
              </w:rPr>
              <w:t>Stroke/TIA: BP ≤150/90 (aged ≥80 yrs)</w:t>
            </w:r>
          </w:p>
        </w:tc>
        <w:tc>
          <w:tcPr>
            <w:tcW w:w="2257" w:type="dxa"/>
            <w:shd w:val="clear" w:color="auto" w:fill="FFFFFF"/>
          </w:tcPr>
          <w:p w14:paraId="0901F979" w14:textId="77777777" w:rsidR="00097CD8" w:rsidRDefault="00000000">
            <w:r>
              <w:rPr>
                <w:rFonts w:ascii="Calibri" w:hAnsi="Calibri"/>
                <w:sz w:val="19"/>
              </w:rPr>
              <w:t>6</w:t>
            </w:r>
          </w:p>
        </w:tc>
        <w:tc>
          <w:tcPr>
            <w:tcW w:w="2257" w:type="dxa"/>
            <w:shd w:val="clear" w:color="auto" w:fill="FFFFFF"/>
          </w:tcPr>
          <w:p w14:paraId="2BCC5E97" w14:textId="77777777" w:rsidR="00097CD8" w:rsidRDefault="00000000">
            <w:r>
              <w:rPr>
                <w:rFonts w:ascii="Calibri" w:hAnsi="Calibri"/>
                <w:sz w:val="19"/>
              </w:rPr>
              <w:t>90%</w:t>
            </w:r>
          </w:p>
        </w:tc>
      </w:tr>
      <w:tr w:rsidR="00097CD8" w14:paraId="63B966B5" w14:textId="77777777">
        <w:tc>
          <w:tcPr>
            <w:tcW w:w="2257" w:type="dxa"/>
            <w:shd w:val="clear" w:color="auto" w:fill="F0F4FF"/>
          </w:tcPr>
          <w:p w14:paraId="1FFD359E" w14:textId="77777777" w:rsidR="00097CD8" w:rsidRDefault="00000000">
            <w:r>
              <w:rPr>
                <w:rFonts w:ascii="Calibri" w:hAnsi="Calibri"/>
                <w:sz w:val="19"/>
              </w:rPr>
              <w:t>DM036</w:t>
            </w:r>
          </w:p>
        </w:tc>
        <w:tc>
          <w:tcPr>
            <w:tcW w:w="2257" w:type="dxa"/>
            <w:shd w:val="clear" w:color="auto" w:fill="F0F4FF"/>
          </w:tcPr>
          <w:p w14:paraId="4FFEAE50" w14:textId="77777777" w:rsidR="00097CD8" w:rsidRDefault="00000000">
            <w:r>
              <w:rPr>
                <w:rFonts w:ascii="Calibri" w:hAnsi="Calibri"/>
                <w:sz w:val="19"/>
              </w:rPr>
              <w:t>Diabetes: BP ≤140/90 (aged ≤79 yrs, no moderate/severe frailty)</w:t>
            </w:r>
          </w:p>
        </w:tc>
        <w:tc>
          <w:tcPr>
            <w:tcW w:w="2257" w:type="dxa"/>
            <w:shd w:val="clear" w:color="auto" w:fill="F0F4FF"/>
          </w:tcPr>
          <w:p w14:paraId="78720A93" w14:textId="77777777" w:rsidR="00097CD8" w:rsidRDefault="00000000">
            <w:r>
              <w:rPr>
                <w:rFonts w:ascii="Calibri" w:hAnsi="Calibri"/>
                <w:sz w:val="19"/>
              </w:rPr>
              <w:t>27</w:t>
            </w:r>
          </w:p>
        </w:tc>
        <w:tc>
          <w:tcPr>
            <w:tcW w:w="2257" w:type="dxa"/>
            <w:shd w:val="clear" w:color="auto" w:fill="F0F4FF"/>
          </w:tcPr>
          <w:p w14:paraId="4A0CAF99" w14:textId="77777777" w:rsidR="00097CD8" w:rsidRDefault="00000000">
            <w:r>
              <w:rPr>
                <w:rFonts w:ascii="Calibri" w:hAnsi="Calibri"/>
                <w:sz w:val="19"/>
              </w:rPr>
              <w:t>90%</w:t>
            </w:r>
          </w:p>
        </w:tc>
      </w:tr>
    </w:tbl>
    <w:p w14:paraId="5AA61DB2" w14:textId="77777777" w:rsidR="00097CD8" w:rsidRDefault="00097CD8">
      <w:pPr>
        <w:spacing w:after="80"/>
      </w:pPr>
    </w:p>
    <w:tbl>
      <w:tblPr>
        <w:tblStyle w:val="TableGrid"/>
        <w:tblW w:w="0" w:type="auto"/>
        <w:tblLook w:val="04A0" w:firstRow="1" w:lastRow="0" w:firstColumn="1" w:lastColumn="0" w:noHBand="0" w:noVBand="1"/>
      </w:tblPr>
      <w:tblGrid>
        <w:gridCol w:w="9029"/>
      </w:tblGrid>
      <w:tr w:rsidR="00097CD8" w14:paraId="5316BF28" w14:textId="77777777">
        <w:tc>
          <w:tcPr>
            <w:tcW w:w="9029" w:type="dxa"/>
            <w:shd w:val="clear" w:color="auto" w:fill="E8F5E9"/>
          </w:tcPr>
          <w:p w14:paraId="31CE1DBE" w14:textId="77777777" w:rsidR="00097CD8" w:rsidRDefault="00000000">
            <w:pPr>
              <w:spacing w:before="80" w:after="80"/>
            </w:pPr>
            <w:r>
              <w:rPr>
                <w:rFonts w:ascii="Calibri" w:hAnsi="Calibri"/>
                <w:b/>
                <w:color w:val="1B5E20"/>
                <w:sz w:val="24"/>
              </w:rPr>
              <w:t>🩺 New Asthma Indicator (AST012) — April 2025</w:t>
            </w:r>
          </w:p>
          <w:p w14:paraId="4B57C0F6" w14:textId="77777777" w:rsidR="00097CD8" w:rsidRDefault="00000000">
            <w:pPr>
              <w:spacing w:before="40" w:after="40"/>
              <w:ind w:left="216"/>
            </w:pPr>
            <w:r>
              <w:rPr>
                <w:rFonts w:ascii="Calibri" w:hAnsi="Calibri"/>
                <w:color w:val="1B5E20"/>
                <w:sz w:val="21"/>
              </w:rPr>
              <w:t>• AST012 replaces AST011 — new wording: objective test within 3 months BEFORE or 3 months AFTER diagnosis</w:t>
            </w:r>
          </w:p>
          <w:p w14:paraId="00928D64" w14:textId="77777777" w:rsidR="00097CD8" w:rsidRDefault="00000000">
            <w:pPr>
              <w:spacing w:before="40" w:after="40"/>
              <w:ind w:left="216"/>
            </w:pPr>
            <w:r>
              <w:rPr>
                <w:rFonts w:ascii="Calibri" w:hAnsi="Calibri"/>
                <w:color w:val="1B5E20"/>
                <w:sz w:val="21"/>
              </w:rPr>
              <w:t>• Aligned with the new combined BTS/NICE/SIGN Asthma Guideline (November 2024)</w:t>
            </w:r>
          </w:p>
          <w:p w14:paraId="1146D7A6" w14:textId="77777777" w:rsidR="00097CD8" w:rsidRDefault="00000000">
            <w:pPr>
              <w:spacing w:before="40" w:after="40"/>
              <w:ind w:left="216"/>
            </w:pPr>
            <w:r>
              <w:rPr>
                <w:rFonts w:ascii="Calibri" w:hAnsi="Calibri"/>
                <w:color w:val="1B5E20"/>
                <w:sz w:val="21"/>
              </w:rPr>
              <w:t>• Objective testing now broader than just spirometry — includes peak flow variability, bronchodilator reversibility, FeNO</w:t>
            </w:r>
          </w:p>
          <w:p w14:paraId="65CBB61F" w14:textId="77777777" w:rsidR="00097CD8" w:rsidRDefault="00000000">
            <w:pPr>
              <w:spacing w:before="40" w:after="40"/>
              <w:ind w:left="216"/>
            </w:pPr>
            <w:r>
              <w:rPr>
                <w:rFonts w:ascii="Calibri" w:hAnsi="Calibri"/>
                <w:color w:val="1B5E20"/>
                <w:sz w:val="21"/>
              </w:rPr>
              <w:t>• AST007 (asthma review) wording updated — no longer requires a validated questionnaire but core review elements remain</w:t>
            </w:r>
          </w:p>
        </w:tc>
      </w:tr>
    </w:tbl>
    <w:p w14:paraId="2AB0354D" w14:textId="77777777" w:rsidR="00097CD8" w:rsidRDefault="00097CD8">
      <w:pPr>
        <w:spacing w:after="120"/>
      </w:pPr>
    </w:p>
    <w:p w14:paraId="44F9A7A9" w14:textId="77777777" w:rsidR="00097CD8" w:rsidRDefault="00000000">
      <w:pPr>
        <w:spacing w:before="120" w:after="80"/>
      </w:pPr>
      <w:r>
        <w:rPr>
          <w:rFonts w:ascii="Calibri" w:hAnsi="Calibri"/>
          <w:b/>
          <w:color w:val="2C5282"/>
          <w:sz w:val="26"/>
        </w:rPr>
        <w:t>2a. The QOF Debate — Box Ticking vs Real Quality?</w:t>
      </w:r>
    </w:p>
    <w:tbl>
      <w:tblPr>
        <w:tblStyle w:val="TableGrid"/>
        <w:tblW w:w="0" w:type="auto"/>
        <w:tblLook w:val="04A0" w:firstRow="1" w:lastRow="0" w:firstColumn="1" w:lastColumn="0" w:noHBand="0" w:noVBand="1"/>
      </w:tblPr>
      <w:tblGrid>
        <w:gridCol w:w="9029"/>
      </w:tblGrid>
      <w:tr w:rsidR="00097CD8" w14:paraId="6341A66D" w14:textId="77777777">
        <w:tc>
          <w:tcPr>
            <w:tcW w:w="9029" w:type="dxa"/>
            <w:shd w:val="clear" w:color="auto" w:fill="E8F5E9"/>
          </w:tcPr>
          <w:p w14:paraId="38A1CC52" w14:textId="77777777" w:rsidR="00097CD8" w:rsidRDefault="00000000">
            <w:pPr>
              <w:spacing w:before="80" w:after="80"/>
            </w:pPr>
            <w:r>
              <w:rPr>
                <w:rFonts w:ascii="Calibri" w:hAnsi="Calibri"/>
                <w:b/>
                <w:color w:val="1B5E20"/>
                <w:sz w:val="24"/>
              </w:rPr>
              <w:t>✅ Evidence That QOF Works</w:t>
            </w:r>
          </w:p>
          <w:p w14:paraId="32283C08" w14:textId="77777777" w:rsidR="00097CD8" w:rsidRDefault="00000000">
            <w:pPr>
              <w:spacing w:before="40" w:after="40"/>
              <w:ind w:left="216"/>
            </w:pPr>
            <w:r>
              <w:rPr>
                <w:rFonts w:ascii="Calibri" w:hAnsi="Calibri"/>
                <w:color w:val="1B5E20"/>
                <w:sz w:val="21"/>
              </w:rPr>
              <w:t>• Lancet 2008 (7,367 practices): QOF improved CDM delivery in deprived populations — deprivation gap in care narrowed from 4% to 0.8%</w:t>
            </w:r>
          </w:p>
          <w:p w14:paraId="4C93DB5E" w14:textId="77777777" w:rsidR="00097CD8" w:rsidRDefault="00000000">
            <w:pPr>
              <w:spacing w:before="40" w:after="40"/>
              <w:ind w:left="216"/>
            </w:pPr>
            <w:r>
              <w:rPr>
                <w:rFonts w:ascii="Calibri" w:hAnsi="Calibri"/>
                <w:color w:val="1B5E20"/>
                <w:sz w:val="21"/>
              </w:rPr>
              <w:lastRenderedPageBreak/>
              <w:t>• BMJ 2025 (Ho et al, systematic review): QOF incentives consistently improved quality of care beyond pre-incentivisation trends</w:t>
            </w:r>
          </w:p>
          <w:p w14:paraId="5F538488" w14:textId="77777777" w:rsidR="00097CD8" w:rsidRDefault="00000000">
            <w:pPr>
              <w:spacing w:before="40" w:after="40"/>
              <w:ind w:left="216"/>
            </w:pPr>
            <w:r>
              <w:rPr>
                <w:rFonts w:ascii="Calibri" w:hAnsi="Calibri"/>
                <w:color w:val="1B5E20"/>
                <w:sz w:val="21"/>
              </w:rPr>
              <w:t>• Drive for systematic recall and proactive management has improved population-level outcomes</w:t>
            </w:r>
          </w:p>
          <w:p w14:paraId="22103804" w14:textId="77777777" w:rsidR="00097CD8" w:rsidRDefault="00000000">
            <w:pPr>
              <w:spacing w:before="40" w:after="40"/>
              <w:ind w:left="216"/>
            </w:pPr>
            <w:r>
              <w:rPr>
                <w:rFonts w:ascii="Calibri" w:hAnsi="Calibri"/>
                <w:color w:val="1B5E20"/>
                <w:sz w:val="21"/>
              </w:rPr>
              <w:t>• 2025/26 shift to OUTCOME indicators (not just registers) is a positive move towards meaningful quality measurement</w:t>
            </w:r>
          </w:p>
        </w:tc>
      </w:tr>
    </w:tbl>
    <w:p w14:paraId="689A8D8B" w14:textId="77777777" w:rsidR="00097CD8" w:rsidRDefault="00097CD8">
      <w:pPr>
        <w:spacing w:after="120"/>
      </w:pPr>
    </w:p>
    <w:tbl>
      <w:tblPr>
        <w:tblStyle w:val="TableGrid"/>
        <w:tblW w:w="0" w:type="auto"/>
        <w:tblLook w:val="04A0" w:firstRow="1" w:lastRow="0" w:firstColumn="1" w:lastColumn="0" w:noHBand="0" w:noVBand="1"/>
      </w:tblPr>
      <w:tblGrid>
        <w:gridCol w:w="9029"/>
      </w:tblGrid>
      <w:tr w:rsidR="00097CD8" w14:paraId="0EB27D51" w14:textId="77777777">
        <w:tc>
          <w:tcPr>
            <w:tcW w:w="9029" w:type="dxa"/>
            <w:shd w:val="clear" w:color="auto" w:fill="FFF9C4"/>
          </w:tcPr>
          <w:p w14:paraId="0C35078F" w14:textId="77777777" w:rsidR="00097CD8" w:rsidRDefault="00000000">
            <w:pPr>
              <w:spacing w:before="80" w:after="80"/>
            </w:pPr>
            <w:r>
              <w:rPr>
                <w:rFonts w:ascii="Calibri" w:hAnsi="Calibri"/>
                <w:b/>
                <w:color w:val="5D4037"/>
                <w:sz w:val="24"/>
              </w:rPr>
              <w:t>⚠ Criticisms and Limitations of QOF</w:t>
            </w:r>
          </w:p>
          <w:p w14:paraId="696FA84D" w14:textId="77777777" w:rsidR="00097CD8" w:rsidRDefault="00000000">
            <w:pPr>
              <w:spacing w:before="40" w:after="40"/>
              <w:ind w:left="216"/>
            </w:pPr>
            <w:r>
              <w:rPr>
                <w:rFonts w:ascii="Calibri" w:hAnsi="Calibri"/>
                <w:color w:val="5D4037"/>
                <w:sz w:val="21"/>
              </w:rPr>
              <w:t>• Risk of treating the indicator rather than the patient — "QOF creep"</w:t>
            </w:r>
          </w:p>
          <w:p w14:paraId="7B988A61" w14:textId="77777777" w:rsidR="00097CD8" w:rsidRDefault="00000000">
            <w:pPr>
              <w:spacing w:before="40" w:after="40"/>
              <w:ind w:left="216"/>
            </w:pPr>
            <w:r>
              <w:rPr>
                <w:rFonts w:ascii="Calibri" w:hAnsi="Calibri"/>
                <w:color w:val="5D4037"/>
                <w:sz w:val="21"/>
              </w:rPr>
              <w:t>• Consultations dominated by QOF alerts rather than the patient's own agenda</w:t>
            </w:r>
          </w:p>
          <w:p w14:paraId="2601A779" w14:textId="77777777" w:rsidR="00097CD8" w:rsidRDefault="00000000">
            <w:pPr>
              <w:spacing w:before="40" w:after="40"/>
              <w:ind w:left="216"/>
            </w:pPr>
            <w:r>
              <w:rPr>
                <w:rFonts w:ascii="Calibri" w:hAnsi="Calibri"/>
                <w:color w:val="5D4037"/>
                <w:sz w:val="21"/>
              </w:rPr>
              <w:t>• Personalised Care Adjustments (PCAs / exception reporting) can be used inappropriately to inflate scores</w:t>
            </w:r>
          </w:p>
          <w:p w14:paraId="288286BA" w14:textId="77777777" w:rsidR="00097CD8" w:rsidRDefault="00000000">
            <w:pPr>
              <w:spacing w:before="40" w:after="40"/>
              <w:ind w:left="216"/>
            </w:pPr>
            <w:r>
              <w:rPr>
                <w:rFonts w:ascii="Calibri" w:hAnsi="Calibri"/>
                <w:color w:val="5D4037"/>
                <w:sz w:val="21"/>
              </w:rPr>
              <w:t>• Conditions not in QOF may be neglected (inverse care law risk)</w:t>
            </w:r>
          </w:p>
          <w:p w14:paraId="32776922" w14:textId="77777777" w:rsidR="00097CD8" w:rsidRDefault="00000000">
            <w:pPr>
              <w:spacing w:before="40" w:after="40"/>
              <w:ind w:left="216"/>
            </w:pPr>
            <w:r>
              <w:rPr>
                <w:rFonts w:ascii="Calibri" w:hAnsi="Calibri"/>
                <w:color w:val="5D4037"/>
                <w:sz w:val="21"/>
              </w:rPr>
              <w:t>• BMJ 2008 (Steel et al, 8,800 patients): shortfalls in basic care across most conditions, worse in non-QOF conditions and the elderly</w:t>
            </w:r>
          </w:p>
          <w:p w14:paraId="2A0915D8" w14:textId="77777777" w:rsidR="00097CD8" w:rsidRDefault="00000000">
            <w:pPr>
              <w:spacing w:before="40" w:after="40"/>
              <w:ind w:left="216"/>
            </w:pPr>
            <w:r>
              <w:rPr>
                <w:rFonts w:ascii="Calibri" w:hAnsi="Calibri"/>
                <w:color w:val="5D4037"/>
                <w:sz w:val="21"/>
              </w:rPr>
              <w:t>• NICE NG56 emphasises person-centred multimorbidity care — QOF's single-condition approach creates a tension</w:t>
            </w:r>
          </w:p>
          <w:p w14:paraId="3997C6CD" w14:textId="77777777" w:rsidR="00097CD8" w:rsidRDefault="00000000">
            <w:pPr>
              <w:spacing w:before="40" w:after="40"/>
              <w:ind w:left="216"/>
            </w:pPr>
            <w:r>
              <w:rPr>
                <w:rFonts w:ascii="Calibri" w:hAnsi="Calibri"/>
                <w:color w:val="5D4037"/>
                <w:sz w:val="21"/>
              </w:rPr>
              <w:t>• 2025/26 redesign addresses some issues but concentrates risk on 9 CVD indicators</w:t>
            </w:r>
          </w:p>
        </w:tc>
      </w:tr>
    </w:tbl>
    <w:p w14:paraId="707E53E8" w14:textId="77777777" w:rsidR="00097CD8" w:rsidRDefault="00097CD8">
      <w:pPr>
        <w:spacing w:after="120"/>
      </w:pPr>
    </w:p>
    <w:p w14:paraId="3965D00F" w14:textId="77777777" w:rsidR="00097CD8" w:rsidRDefault="00000000">
      <w:pPr>
        <w:spacing w:before="160" w:after="80"/>
      </w:pPr>
      <w:r>
        <w:rPr>
          <w:rFonts w:ascii="Calibri" w:hAnsi="Calibri"/>
          <w:b/>
          <w:color w:val="E0651F"/>
          <w:sz w:val="30"/>
        </w:rPr>
        <w:t>3. Disease Registers</w:t>
      </w:r>
    </w:p>
    <w:p w14:paraId="11EBB521" w14:textId="77777777" w:rsidR="00097CD8" w:rsidRDefault="00000000">
      <w:pPr>
        <w:spacing w:after="120"/>
      </w:pPr>
      <w:r>
        <w:rPr>
          <w:rFonts w:ascii="Calibri" w:hAnsi="Calibri"/>
        </w:rPr>
        <w:t>Disease registers are electronic lists of all patients within a practice who have a particular diagnosis. Although QOF 2025/26 has removed the incentive for maintaining most disease registers, they remain clinically essential for proactive, population-level care.</w:t>
      </w:r>
    </w:p>
    <w:p w14:paraId="1A907920" w14:textId="77777777" w:rsidR="00097CD8" w:rsidRDefault="00000000">
      <w:pPr>
        <w:pStyle w:val="ListBullet"/>
        <w:spacing w:after="100"/>
      </w:pPr>
      <w:r>
        <w:rPr>
          <w:rFonts w:ascii="Calibri" w:hAnsi="Calibri"/>
          <w:b/>
        </w:rPr>
        <w:t xml:space="preserve">Purpose: </w:t>
      </w:r>
      <w:r>
        <w:rPr>
          <w:rFonts w:ascii="Calibri" w:hAnsi="Calibri"/>
        </w:rPr>
        <w:t>Identify all patients with a given condition for proactive recall, risk stratification, and structured review</w:t>
      </w:r>
    </w:p>
    <w:p w14:paraId="338374B4" w14:textId="77777777" w:rsidR="00097CD8" w:rsidRDefault="00000000">
      <w:pPr>
        <w:pStyle w:val="ListBullet"/>
        <w:spacing w:after="100"/>
      </w:pPr>
      <w:r>
        <w:rPr>
          <w:rFonts w:ascii="Calibri" w:hAnsi="Calibri"/>
          <w:b/>
        </w:rPr>
        <w:t xml:space="preserve">Maintenance: </w:t>
      </w:r>
      <w:r>
        <w:rPr>
          <w:rFonts w:ascii="Calibri" w:hAnsi="Calibri"/>
        </w:rPr>
        <w:t>Registers must be regularly audited for accuracy — adding new diagnoses and removing erroneous entries</w:t>
      </w:r>
    </w:p>
    <w:p w14:paraId="5520DA15" w14:textId="77777777" w:rsidR="00097CD8" w:rsidRDefault="00000000">
      <w:pPr>
        <w:pStyle w:val="ListBullet"/>
        <w:spacing w:after="100"/>
      </w:pPr>
      <w:r>
        <w:rPr>
          <w:rFonts w:ascii="Calibri" w:hAnsi="Calibri"/>
          <w:b/>
        </w:rPr>
        <w:t xml:space="preserve">Accuracy: </w:t>
      </w:r>
      <w:r>
        <w:rPr>
          <w:rFonts w:ascii="Calibri" w:hAnsi="Calibri"/>
        </w:rPr>
        <w:t>Inaccurate registers lead to missed recalls, incorrect QOF coding, and patient safety risks</w:t>
      </w:r>
    </w:p>
    <w:p w14:paraId="685B3669" w14:textId="77777777" w:rsidR="00097CD8" w:rsidRDefault="00000000">
      <w:pPr>
        <w:pStyle w:val="ListBullet"/>
        <w:spacing w:after="100"/>
      </w:pPr>
      <w:r>
        <w:rPr>
          <w:rFonts w:ascii="Calibri" w:hAnsi="Calibri"/>
          <w:b/>
        </w:rPr>
        <w:t xml:space="preserve">Responsibility: </w:t>
      </w:r>
      <w:r>
        <w:rPr>
          <w:rFonts w:ascii="Calibri" w:hAnsi="Calibri"/>
        </w:rPr>
        <w:t>Clearly assign who is responsible for register maintenance (usually practice manager and/or nurses)</w:t>
      </w:r>
    </w:p>
    <w:p w14:paraId="0E4351BC" w14:textId="77777777" w:rsidR="00097CD8" w:rsidRDefault="00000000">
      <w:pPr>
        <w:pStyle w:val="ListBullet"/>
        <w:spacing w:after="100"/>
      </w:pPr>
      <w:r>
        <w:rPr>
          <w:rFonts w:ascii="Calibri" w:hAnsi="Calibri"/>
          <w:b/>
        </w:rPr>
        <w:t xml:space="preserve">Manual vs electronic: </w:t>
      </w:r>
      <w:r>
        <w:rPr>
          <w:rFonts w:ascii="Calibri" w:hAnsi="Calibri"/>
        </w:rPr>
        <w:t>All UK practices now use electronic registers; SNOMED CT coding is mandatory for QOF compliance</w:t>
      </w:r>
    </w:p>
    <w:p w14:paraId="47A348E0" w14:textId="77777777" w:rsidR="00097CD8" w:rsidRDefault="00000000">
      <w:pPr>
        <w:pStyle w:val="ListBullet"/>
        <w:spacing w:after="100"/>
      </w:pPr>
      <w:r>
        <w:rPr>
          <w:rFonts w:ascii="Calibri" w:hAnsi="Calibri"/>
          <w:b/>
        </w:rPr>
        <w:t xml:space="preserve">Post-QOF register changes (2025/26): </w:t>
      </w:r>
      <w:r>
        <w:rPr>
          <w:rFonts w:ascii="Calibri" w:hAnsi="Calibri"/>
        </w:rPr>
        <w:t>Registers for most conditions are no longer QOF-incentivised — risk that some practices will let register accuracy slip. Clinically, accurate registers remain essential for recall and safety.</w:t>
      </w:r>
    </w:p>
    <w:p w14:paraId="5E2FA053" w14:textId="77777777" w:rsidR="00097CD8" w:rsidRDefault="00097CD8">
      <w:pPr>
        <w:spacing w:after="120"/>
      </w:pPr>
    </w:p>
    <w:p w14:paraId="64268005" w14:textId="77777777" w:rsidR="00097CD8" w:rsidRDefault="00000000">
      <w:pPr>
        <w:spacing w:before="120" w:after="80"/>
      </w:pPr>
      <w:r>
        <w:rPr>
          <w:rFonts w:ascii="Calibri" w:hAnsi="Calibri"/>
          <w:b/>
          <w:color w:val="E0651F"/>
          <w:sz w:val="30"/>
        </w:rPr>
        <w:t>4. Clinical Protocols</w:t>
      </w:r>
    </w:p>
    <w:p w14:paraId="340A20ED" w14:textId="77777777" w:rsidR="00097CD8" w:rsidRDefault="00000000">
      <w:pPr>
        <w:spacing w:after="120"/>
      </w:pPr>
      <w:r>
        <w:rPr>
          <w:rFonts w:ascii="Calibri" w:hAnsi="Calibri"/>
        </w:rPr>
        <w:t>A clinical protocol is a standardised procedure specifying what should be done for a given clinical situation, by whom, and when. Protocols drive consistency and quality in CDM clinics.</w:t>
      </w:r>
    </w:p>
    <w:p w14:paraId="039DE72A" w14:textId="77777777" w:rsidR="00097CD8" w:rsidRDefault="00000000">
      <w:pPr>
        <w:pStyle w:val="ListBullet"/>
        <w:spacing w:after="100"/>
      </w:pPr>
      <w:r>
        <w:rPr>
          <w:rFonts w:ascii="Calibri" w:hAnsi="Calibri"/>
          <w:b/>
        </w:rPr>
        <w:t xml:space="preserve">Authority: </w:t>
      </w:r>
      <w:r>
        <w:rPr>
          <w:rFonts w:ascii="Calibri" w:hAnsi="Calibri"/>
        </w:rPr>
        <w:t>Should be evidence-based — referenced to NICE guidelines, BNF, or specialist body guidance. Not GOBSAT (Good Old Boys Sitting Around a Table).</w:t>
      </w:r>
    </w:p>
    <w:p w14:paraId="5BB9D92C" w14:textId="77777777" w:rsidR="00097CD8" w:rsidRDefault="00000000">
      <w:pPr>
        <w:pStyle w:val="ListBullet"/>
        <w:spacing w:after="100"/>
      </w:pPr>
      <w:r>
        <w:rPr>
          <w:rFonts w:ascii="Calibri" w:hAnsi="Calibri"/>
          <w:b/>
        </w:rPr>
        <w:t xml:space="preserve">Ownership: </w:t>
      </w:r>
      <w:r>
        <w:rPr>
          <w:rFonts w:ascii="Calibri" w:hAnsi="Calibri"/>
        </w:rPr>
        <w:t>Must have clinical sign-off (usually the relevant lead GP) and be regularly reviewed (at least annually, or when guidelines change)</w:t>
      </w:r>
    </w:p>
    <w:p w14:paraId="03CD5F8E" w14:textId="77777777" w:rsidR="00097CD8" w:rsidRDefault="00000000">
      <w:pPr>
        <w:pStyle w:val="ListBullet"/>
        <w:spacing w:after="100"/>
      </w:pPr>
      <w:r>
        <w:rPr>
          <w:rFonts w:ascii="Calibri" w:hAnsi="Calibri"/>
          <w:b/>
        </w:rPr>
        <w:lastRenderedPageBreak/>
        <w:t xml:space="preserve">Access: </w:t>
      </w:r>
      <w:r>
        <w:rPr>
          <w:rFonts w:ascii="Calibri" w:hAnsi="Calibri"/>
        </w:rPr>
        <w:t>All relevant staff must be able to access the protocol — stored on the practice intranet/shared drive</w:t>
      </w:r>
    </w:p>
    <w:p w14:paraId="78D773A5" w14:textId="77777777" w:rsidR="00097CD8" w:rsidRDefault="00000000">
      <w:pPr>
        <w:pStyle w:val="ListBullet"/>
        <w:spacing w:after="100"/>
      </w:pPr>
      <w:r>
        <w:rPr>
          <w:rFonts w:ascii="Calibri" w:hAnsi="Calibri"/>
          <w:b/>
        </w:rPr>
        <w:t xml:space="preserve">Who follows the protocol: </w:t>
      </w:r>
      <w:r>
        <w:rPr>
          <w:rFonts w:ascii="Calibri" w:hAnsi="Calibri"/>
        </w:rPr>
        <w:t>All staff running CDM clinics (nurses, pharmacists, HCAs). GPs also need to know what the protocol says for clinical oversight.</w:t>
      </w:r>
    </w:p>
    <w:p w14:paraId="7C7C6F75" w14:textId="77777777" w:rsidR="00097CD8" w:rsidRDefault="00000000">
      <w:pPr>
        <w:pStyle w:val="ListBullet"/>
        <w:spacing w:after="100"/>
      </w:pPr>
      <w:r>
        <w:rPr>
          <w:rFonts w:ascii="Calibri" w:hAnsi="Calibri"/>
          <w:b/>
        </w:rPr>
        <w:t xml:space="preserve">Benefits: </w:t>
      </w:r>
      <w:r>
        <w:rPr>
          <w:rFonts w:ascii="Calibri" w:hAnsi="Calibri"/>
        </w:rPr>
        <w:t>Consistency of care, safe delegation, clear audit standards, training tool for new staff</w:t>
      </w:r>
    </w:p>
    <w:p w14:paraId="4CCCD8B5" w14:textId="77777777" w:rsidR="00097CD8" w:rsidRDefault="00000000">
      <w:pPr>
        <w:pStyle w:val="ListBullet"/>
        <w:spacing w:after="100"/>
      </w:pPr>
      <w:r>
        <w:rPr>
          <w:rFonts w:ascii="Calibri" w:hAnsi="Calibri"/>
          <w:b/>
        </w:rPr>
        <w:t xml:space="preserve">Risks / limitations: </w:t>
      </w:r>
      <w:r>
        <w:rPr>
          <w:rFonts w:ascii="Calibri" w:hAnsi="Calibri"/>
        </w:rPr>
        <w:t>Outdated protocols can perpetuate out-of-date practice. Evidence-based medicine (EBM) must update GOBSAT-based protocols. Protocols may not cover all clinical complexity.</w:t>
      </w:r>
    </w:p>
    <w:p w14:paraId="69A285AC" w14:textId="77777777" w:rsidR="00097CD8" w:rsidRDefault="00097CD8">
      <w:pPr>
        <w:spacing w:after="120"/>
      </w:pPr>
    </w:p>
    <w:p w14:paraId="1AEF033C" w14:textId="77777777" w:rsidR="00097CD8" w:rsidRDefault="00000000">
      <w:pPr>
        <w:spacing w:before="120" w:after="80"/>
      </w:pPr>
      <w:r>
        <w:rPr>
          <w:rFonts w:ascii="Calibri" w:hAnsi="Calibri"/>
          <w:b/>
          <w:color w:val="E0651F"/>
          <w:sz w:val="30"/>
        </w:rPr>
        <w:t>5. Clinical Records in CDM</w:t>
      </w:r>
    </w:p>
    <w:p w14:paraId="5E5BCFEA" w14:textId="77777777" w:rsidR="00097CD8" w:rsidRDefault="00000000">
      <w:pPr>
        <w:pStyle w:val="ListBullet"/>
        <w:spacing w:after="100"/>
      </w:pPr>
      <w:r>
        <w:rPr>
          <w:rFonts w:ascii="Calibri" w:hAnsi="Calibri"/>
          <w:b/>
        </w:rPr>
        <w:t xml:space="preserve">Electronic health records (EHRs): </w:t>
      </w:r>
      <w:r>
        <w:rPr>
          <w:rFonts w:ascii="Calibri" w:hAnsi="Calibri"/>
        </w:rPr>
        <w:t>EMIS Web, SystmOne, and Vision are the main systems used in UK general practice. All CDM data should be entered electronically.</w:t>
      </w:r>
    </w:p>
    <w:p w14:paraId="034429EA" w14:textId="77777777" w:rsidR="00097CD8" w:rsidRDefault="00000000">
      <w:pPr>
        <w:pStyle w:val="ListBullet"/>
        <w:spacing w:after="100"/>
      </w:pPr>
      <w:r>
        <w:rPr>
          <w:rFonts w:ascii="Calibri" w:hAnsi="Calibri"/>
          <w:b/>
        </w:rPr>
        <w:t xml:space="preserve">SNOMED CT coding: </w:t>
      </w:r>
      <w:r>
        <w:rPr>
          <w:rFonts w:ascii="Calibri" w:hAnsi="Calibri"/>
        </w:rPr>
        <w:t>Structured clinical coding using SNOMED CT is mandatory for QOF. Avoid free-text entries for QOF-relevant clinical findings — they will not be captured by searches.</w:t>
      </w:r>
    </w:p>
    <w:p w14:paraId="6908AAAE" w14:textId="77777777" w:rsidR="00097CD8" w:rsidRDefault="00000000">
      <w:pPr>
        <w:pStyle w:val="ListBullet"/>
        <w:spacing w:after="100"/>
      </w:pPr>
      <w:r>
        <w:rPr>
          <w:rFonts w:ascii="Calibri" w:hAnsi="Calibri"/>
          <w:b/>
        </w:rPr>
        <w:t xml:space="preserve">What to record: </w:t>
      </w:r>
      <w:r>
        <w:rPr>
          <w:rFonts w:ascii="Calibri" w:hAnsi="Calibri"/>
        </w:rPr>
        <w:t>Diagnoses (coded), clinical measurements (BP, HbA1c, weight, eGFR, cholesterol), medication changes, lifestyle advice given, referrals made, patient preferences, carer details</w:t>
      </w:r>
    </w:p>
    <w:p w14:paraId="0C88C9A8" w14:textId="77777777" w:rsidR="00097CD8" w:rsidRDefault="00000000">
      <w:pPr>
        <w:pStyle w:val="ListBullet"/>
        <w:spacing w:after="100"/>
      </w:pPr>
      <w:r>
        <w:rPr>
          <w:rFonts w:ascii="Calibri" w:hAnsi="Calibri"/>
          <w:b/>
        </w:rPr>
        <w:t xml:space="preserve">Accuracy: </w:t>
      </w:r>
      <w:r>
        <w:rPr>
          <w:rFonts w:ascii="Calibri" w:hAnsi="Calibri"/>
        </w:rPr>
        <w:t>Records are a legal document. Inaccurate records are a patient safety risk and a medico-legal risk.</w:t>
      </w:r>
    </w:p>
    <w:p w14:paraId="76ACE07C" w14:textId="77777777" w:rsidR="00097CD8" w:rsidRDefault="00000000">
      <w:pPr>
        <w:pStyle w:val="ListBullet"/>
        <w:spacing w:after="100"/>
      </w:pPr>
      <w:r>
        <w:rPr>
          <w:rFonts w:ascii="Calibri" w:hAnsi="Calibri"/>
          <w:b/>
        </w:rPr>
        <w:t xml:space="preserve">Common problems: </w:t>
      </w:r>
      <w:r>
        <w:rPr>
          <w:rFonts w:ascii="Calibri" w:hAnsi="Calibri"/>
        </w:rPr>
        <w:t>Free text used instead of codes; historical inaccuracy from paper conversion; local codes used instead of SNOMED CT; inconsistent recording between clinicians</w:t>
      </w:r>
    </w:p>
    <w:p w14:paraId="612CE690" w14:textId="77777777" w:rsidR="00097CD8" w:rsidRDefault="00000000">
      <w:pPr>
        <w:pStyle w:val="ListBullet"/>
        <w:spacing w:after="100"/>
      </w:pPr>
      <w:r>
        <w:rPr>
          <w:rFonts w:ascii="Calibri" w:hAnsi="Calibri"/>
          <w:b/>
        </w:rPr>
        <w:t xml:space="preserve">Who is responsible?: </w:t>
      </w:r>
      <w:r>
        <w:rPr>
          <w:rFonts w:ascii="Calibri" w:hAnsi="Calibri"/>
        </w:rPr>
        <w:t>Every clinician who sees the patient. QOF administrator/manager oversees completeness of data for QOF reporting.</w:t>
      </w:r>
    </w:p>
    <w:p w14:paraId="12960359" w14:textId="77777777" w:rsidR="00097CD8" w:rsidRDefault="00097CD8">
      <w:pPr>
        <w:spacing w:after="120"/>
      </w:pPr>
    </w:p>
    <w:p w14:paraId="200B296D" w14:textId="77777777" w:rsidR="00097CD8" w:rsidRDefault="00000000">
      <w:pPr>
        <w:spacing w:before="120" w:after="80"/>
      </w:pPr>
      <w:r>
        <w:rPr>
          <w:rFonts w:ascii="Calibri" w:hAnsi="Calibri"/>
          <w:b/>
          <w:color w:val="E0651F"/>
          <w:sz w:val="30"/>
        </w:rPr>
        <w:t>6. Clinical Audit in CDM</w:t>
      </w:r>
    </w:p>
    <w:p w14:paraId="674107FF" w14:textId="77777777" w:rsidR="00097CD8" w:rsidRDefault="00000000">
      <w:pPr>
        <w:spacing w:after="120"/>
      </w:pPr>
      <w:r>
        <w:rPr>
          <w:rFonts w:ascii="Calibri" w:hAnsi="Calibri"/>
        </w:rPr>
        <w:t>Clinical audit is the systematic evaluation of current practice against defined standards, with the aim of improving patient care. QOF itself is a form of continuous audit at the practice level.</w:t>
      </w:r>
    </w:p>
    <w:tbl>
      <w:tblPr>
        <w:tblStyle w:val="TableGrid"/>
        <w:tblW w:w="0" w:type="auto"/>
        <w:tblLook w:val="04A0" w:firstRow="1" w:lastRow="0" w:firstColumn="1" w:lastColumn="0" w:noHBand="0" w:noVBand="1"/>
      </w:tblPr>
      <w:tblGrid>
        <w:gridCol w:w="4514"/>
        <w:gridCol w:w="4514"/>
      </w:tblGrid>
      <w:tr w:rsidR="00097CD8" w14:paraId="273E2021" w14:textId="77777777">
        <w:tc>
          <w:tcPr>
            <w:tcW w:w="4514" w:type="dxa"/>
            <w:shd w:val="clear" w:color="auto" w:fill="E0651F"/>
          </w:tcPr>
          <w:p w14:paraId="44DCB3D4" w14:textId="77777777" w:rsidR="00097CD8" w:rsidRDefault="00000000">
            <w:r>
              <w:rPr>
                <w:rFonts w:ascii="Calibri" w:hAnsi="Calibri"/>
                <w:b/>
                <w:color w:val="FFFFFF"/>
                <w:sz w:val="21"/>
              </w:rPr>
              <w:t>Audit Stage</w:t>
            </w:r>
          </w:p>
        </w:tc>
        <w:tc>
          <w:tcPr>
            <w:tcW w:w="4514" w:type="dxa"/>
            <w:shd w:val="clear" w:color="auto" w:fill="E0651F"/>
          </w:tcPr>
          <w:p w14:paraId="61EB9EF6" w14:textId="77777777" w:rsidR="00097CD8" w:rsidRDefault="00000000">
            <w:r>
              <w:rPr>
                <w:rFonts w:ascii="Calibri" w:hAnsi="Calibri"/>
                <w:b/>
                <w:color w:val="FFFFFF"/>
                <w:sz w:val="21"/>
              </w:rPr>
              <w:t>Description</w:t>
            </w:r>
          </w:p>
        </w:tc>
      </w:tr>
      <w:tr w:rsidR="00097CD8" w14:paraId="30846D8B" w14:textId="77777777">
        <w:tc>
          <w:tcPr>
            <w:tcW w:w="4514" w:type="dxa"/>
            <w:shd w:val="clear" w:color="auto" w:fill="F0F4FF"/>
          </w:tcPr>
          <w:p w14:paraId="156366E3" w14:textId="77777777" w:rsidR="00097CD8" w:rsidRDefault="00000000">
            <w:r>
              <w:rPr>
                <w:rFonts w:ascii="Calibri" w:hAnsi="Calibri"/>
                <w:b/>
                <w:sz w:val="21"/>
              </w:rPr>
              <w:t>1. Set the standard</w:t>
            </w:r>
          </w:p>
        </w:tc>
        <w:tc>
          <w:tcPr>
            <w:tcW w:w="4514" w:type="dxa"/>
            <w:shd w:val="clear" w:color="auto" w:fill="F0F4FF"/>
          </w:tcPr>
          <w:p w14:paraId="216EBE3A" w14:textId="77777777" w:rsidR="00097CD8" w:rsidRDefault="00000000">
            <w:r>
              <w:rPr>
                <w:rFonts w:ascii="Calibri" w:hAnsi="Calibri"/>
                <w:sz w:val="21"/>
              </w:rPr>
              <w:t>Define what "good care" looks like — based on NICE guideline, QOF target, or BNF</w:t>
            </w:r>
          </w:p>
        </w:tc>
      </w:tr>
      <w:tr w:rsidR="00097CD8" w14:paraId="21513873" w14:textId="77777777">
        <w:tc>
          <w:tcPr>
            <w:tcW w:w="4514" w:type="dxa"/>
            <w:shd w:val="clear" w:color="auto" w:fill="FFFFFF"/>
          </w:tcPr>
          <w:p w14:paraId="636B495B" w14:textId="77777777" w:rsidR="00097CD8" w:rsidRDefault="00000000">
            <w:r>
              <w:rPr>
                <w:rFonts w:ascii="Calibri" w:hAnsi="Calibri"/>
                <w:b/>
                <w:sz w:val="21"/>
              </w:rPr>
              <w:t>2. Collect data</w:t>
            </w:r>
          </w:p>
        </w:tc>
        <w:tc>
          <w:tcPr>
            <w:tcW w:w="4514" w:type="dxa"/>
            <w:shd w:val="clear" w:color="auto" w:fill="FFFFFF"/>
          </w:tcPr>
          <w:p w14:paraId="25EA1C6D" w14:textId="77777777" w:rsidR="00097CD8" w:rsidRDefault="00000000">
            <w:r>
              <w:rPr>
                <w:rFonts w:ascii="Calibri" w:hAnsi="Calibri"/>
                <w:sz w:val="21"/>
              </w:rPr>
              <w:t>Measure current practice against the standard (e.g., % of hypertension patients with BP ≤140/90)</w:t>
            </w:r>
          </w:p>
        </w:tc>
      </w:tr>
      <w:tr w:rsidR="00097CD8" w14:paraId="254D3619" w14:textId="77777777">
        <w:tc>
          <w:tcPr>
            <w:tcW w:w="4514" w:type="dxa"/>
            <w:shd w:val="clear" w:color="auto" w:fill="F0F4FF"/>
          </w:tcPr>
          <w:p w14:paraId="43EF45C1" w14:textId="77777777" w:rsidR="00097CD8" w:rsidRDefault="00000000">
            <w:r>
              <w:rPr>
                <w:rFonts w:ascii="Calibri" w:hAnsi="Calibri"/>
                <w:b/>
                <w:sz w:val="21"/>
              </w:rPr>
              <w:t>3. Compare</w:t>
            </w:r>
          </w:p>
        </w:tc>
        <w:tc>
          <w:tcPr>
            <w:tcW w:w="4514" w:type="dxa"/>
            <w:shd w:val="clear" w:color="auto" w:fill="F0F4FF"/>
          </w:tcPr>
          <w:p w14:paraId="4D53DCDF" w14:textId="77777777" w:rsidR="00097CD8" w:rsidRDefault="00000000">
            <w:r>
              <w:rPr>
                <w:rFonts w:ascii="Calibri" w:hAnsi="Calibri"/>
                <w:sz w:val="21"/>
              </w:rPr>
              <w:t>Identify the gap between current practice and the defined standard</w:t>
            </w:r>
          </w:p>
        </w:tc>
      </w:tr>
      <w:tr w:rsidR="00097CD8" w14:paraId="41656E0D" w14:textId="77777777">
        <w:tc>
          <w:tcPr>
            <w:tcW w:w="4514" w:type="dxa"/>
            <w:shd w:val="clear" w:color="auto" w:fill="FFFFFF"/>
          </w:tcPr>
          <w:p w14:paraId="1E2123D1" w14:textId="77777777" w:rsidR="00097CD8" w:rsidRDefault="00000000">
            <w:r>
              <w:rPr>
                <w:rFonts w:ascii="Calibri" w:hAnsi="Calibri"/>
                <w:b/>
                <w:sz w:val="21"/>
              </w:rPr>
              <w:t>4. Implement change</w:t>
            </w:r>
          </w:p>
        </w:tc>
        <w:tc>
          <w:tcPr>
            <w:tcW w:w="4514" w:type="dxa"/>
            <w:shd w:val="clear" w:color="auto" w:fill="FFFFFF"/>
          </w:tcPr>
          <w:p w14:paraId="7867CE62" w14:textId="77777777" w:rsidR="00097CD8" w:rsidRDefault="00000000">
            <w:r>
              <w:rPr>
                <w:rFonts w:ascii="Calibri" w:hAnsi="Calibri"/>
                <w:sz w:val="21"/>
              </w:rPr>
              <w:t>Develop and introduce improvements — e.g., updated recall system, nurse training, protocol update</w:t>
            </w:r>
          </w:p>
        </w:tc>
      </w:tr>
      <w:tr w:rsidR="00097CD8" w14:paraId="25894C48" w14:textId="77777777">
        <w:tc>
          <w:tcPr>
            <w:tcW w:w="4514" w:type="dxa"/>
            <w:shd w:val="clear" w:color="auto" w:fill="F0F4FF"/>
          </w:tcPr>
          <w:p w14:paraId="6B3BCAA7" w14:textId="77777777" w:rsidR="00097CD8" w:rsidRDefault="00000000">
            <w:r>
              <w:rPr>
                <w:rFonts w:ascii="Calibri" w:hAnsi="Calibri"/>
                <w:b/>
                <w:sz w:val="21"/>
              </w:rPr>
              <w:t>5. Re-audit</w:t>
            </w:r>
          </w:p>
        </w:tc>
        <w:tc>
          <w:tcPr>
            <w:tcW w:w="4514" w:type="dxa"/>
            <w:shd w:val="clear" w:color="auto" w:fill="F0F4FF"/>
          </w:tcPr>
          <w:p w14:paraId="6FDA5204" w14:textId="77777777" w:rsidR="00097CD8" w:rsidRDefault="00000000">
            <w:r>
              <w:rPr>
                <w:rFonts w:ascii="Calibri" w:hAnsi="Calibri"/>
                <w:sz w:val="21"/>
              </w:rPr>
              <w:t>"Close the loop" — measure practice again after the intervention to confirm improvement</w:t>
            </w:r>
          </w:p>
        </w:tc>
      </w:tr>
    </w:tbl>
    <w:p w14:paraId="1F401E21" w14:textId="77777777" w:rsidR="00097CD8" w:rsidRDefault="00097CD8">
      <w:pPr>
        <w:spacing w:after="80"/>
      </w:pPr>
    </w:p>
    <w:tbl>
      <w:tblPr>
        <w:tblStyle w:val="TableGrid"/>
        <w:tblW w:w="0" w:type="auto"/>
        <w:tblLook w:val="04A0" w:firstRow="1" w:lastRow="0" w:firstColumn="1" w:lastColumn="0" w:noHBand="0" w:noVBand="1"/>
      </w:tblPr>
      <w:tblGrid>
        <w:gridCol w:w="9029"/>
      </w:tblGrid>
      <w:tr w:rsidR="00097CD8" w14:paraId="1368A474" w14:textId="77777777">
        <w:tc>
          <w:tcPr>
            <w:tcW w:w="9029" w:type="dxa"/>
            <w:shd w:val="clear" w:color="auto" w:fill="E8EAF6"/>
          </w:tcPr>
          <w:p w14:paraId="79D0A5C3" w14:textId="77777777" w:rsidR="00097CD8" w:rsidRDefault="00000000">
            <w:pPr>
              <w:spacing w:before="80" w:after="80"/>
            </w:pPr>
            <w:r>
              <w:rPr>
                <w:rFonts w:ascii="Calibri" w:hAnsi="Calibri"/>
                <w:b/>
                <w:color w:val="283593"/>
                <w:sz w:val="24"/>
              </w:rPr>
              <w:t>💡 Key Audit Principles for GP Trainees</w:t>
            </w:r>
          </w:p>
          <w:p w14:paraId="54741882" w14:textId="77777777" w:rsidR="00097CD8" w:rsidRDefault="00000000">
            <w:pPr>
              <w:spacing w:before="40" w:after="40"/>
              <w:ind w:left="216"/>
            </w:pPr>
            <w:r>
              <w:rPr>
                <w:rFonts w:ascii="Calibri" w:hAnsi="Calibri"/>
                <w:color w:val="283593"/>
                <w:sz w:val="21"/>
              </w:rPr>
              <w:t>• "What gets measured gets managed" — the act of measuring performance drives improvement</w:t>
            </w:r>
          </w:p>
          <w:p w14:paraId="04DD1802" w14:textId="77777777" w:rsidR="00097CD8" w:rsidRDefault="00000000">
            <w:pPr>
              <w:spacing w:before="40" w:after="40"/>
              <w:ind w:left="216"/>
            </w:pPr>
            <w:r>
              <w:rPr>
                <w:rFonts w:ascii="Calibri" w:hAnsi="Calibri"/>
                <w:color w:val="283593"/>
                <w:sz w:val="21"/>
              </w:rPr>
              <w:t>• The most important part of the audit cycle is implementing change and re-auditing — without "closing the loop", audit is a bureaucratic exercise</w:t>
            </w:r>
          </w:p>
          <w:p w14:paraId="30EEC3F8" w14:textId="77777777" w:rsidR="00097CD8" w:rsidRDefault="00000000">
            <w:pPr>
              <w:spacing w:before="40" w:after="40"/>
              <w:ind w:left="216"/>
            </w:pPr>
            <w:r>
              <w:rPr>
                <w:rFonts w:ascii="Calibri" w:hAnsi="Calibri"/>
                <w:color w:val="283593"/>
                <w:sz w:val="21"/>
              </w:rPr>
              <w:t xml:space="preserve">• QOF reporting is not the same as clinical audit — it measures what was done, not whether it was </w:t>
            </w:r>
            <w:r>
              <w:rPr>
                <w:rFonts w:ascii="Calibri" w:hAnsi="Calibri"/>
                <w:color w:val="283593"/>
                <w:sz w:val="21"/>
              </w:rPr>
              <w:lastRenderedPageBreak/>
              <w:t>done well</w:t>
            </w:r>
          </w:p>
          <w:p w14:paraId="52E0C042" w14:textId="77777777" w:rsidR="00097CD8" w:rsidRDefault="00000000">
            <w:pPr>
              <w:spacing w:before="40" w:after="40"/>
              <w:ind w:left="216"/>
            </w:pPr>
            <w:r>
              <w:rPr>
                <w:rFonts w:ascii="Calibri" w:hAnsi="Calibri"/>
                <w:color w:val="283593"/>
                <w:sz w:val="21"/>
              </w:rPr>
              <w:t>• PCN and ICB often provide audit support tools for chronic disease management</w:t>
            </w:r>
          </w:p>
          <w:p w14:paraId="133C828A" w14:textId="77777777" w:rsidR="00097CD8" w:rsidRDefault="00000000">
            <w:pPr>
              <w:spacing w:before="40" w:after="40"/>
              <w:ind w:left="216"/>
            </w:pPr>
            <w:r>
              <w:rPr>
                <w:rFonts w:ascii="Calibri" w:hAnsi="Calibri"/>
                <w:color w:val="283593"/>
                <w:sz w:val="21"/>
              </w:rPr>
              <w:t>• Good audit topics for trainees: diabetes review completeness, BP management in hypertension, CVD risk assessment</w:t>
            </w:r>
          </w:p>
        </w:tc>
      </w:tr>
    </w:tbl>
    <w:p w14:paraId="3079B216" w14:textId="77777777" w:rsidR="00097CD8" w:rsidRDefault="00097CD8">
      <w:pPr>
        <w:spacing w:after="120"/>
      </w:pPr>
    </w:p>
    <w:p w14:paraId="47B1B575" w14:textId="77777777" w:rsidR="00097CD8" w:rsidRDefault="00000000">
      <w:pPr>
        <w:spacing w:before="160" w:after="80"/>
      </w:pPr>
      <w:r>
        <w:rPr>
          <w:rFonts w:ascii="Calibri" w:hAnsi="Calibri"/>
          <w:b/>
          <w:color w:val="E0651F"/>
          <w:sz w:val="30"/>
        </w:rPr>
        <w:t>7. Models of CDM Delivery — The Debate</w:t>
      </w:r>
    </w:p>
    <w:p w14:paraId="078B1D94" w14:textId="77777777" w:rsidR="00097CD8" w:rsidRDefault="00000000">
      <w:pPr>
        <w:spacing w:after="120"/>
      </w:pPr>
      <w:r>
        <w:rPr>
          <w:rFonts w:ascii="Calibri" w:hAnsi="Calibri"/>
        </w:rPr>
        <w:t>There is no single "right" model for organising CDM in general practice. Two broad approaches exist — often practices use a blend of both, evolving over time.</w:t>
      </w:r>
    </w:p>
    <w:tbl>
      <w:tblPr>
        <w:tblStyle w:val="TableGrid"/>
        <w:tblW w:w="0" w:type="auto"/>
        <w:tblLook w:val="04A0" w:firstRow="1" w:lastRow="0" w:firstColumn="1" w:lastColumn="0" w:noHBand="0" w:noVBand="1"/>
      </w:tblPr>
      <w:tblGrid>
        <w:gridCol w:w="3010"/>
        <w:gridCol w:w="3010"/>
        <w:gridCol w:w="3010"/>
      </w:tblGrid>
      <w:tr w:rsidR="00097CD8" w14:paraId="1CC3CA22" w14:textId="77777777">
        <w:tc>
          <w:tcPr>
            <w:tcW w:w="3010" w:type="dxa"/>
            <w:shd w:val="clear" w:color="auto" w:fill="E0651F"/>
          </w:tcPr>
          <w:p w14:paraId="7EFA6298" w14:textId="77777777" w:rsidR="00097CD8" w:rsidRDefault="00097CD8"/>
        </w:tc>
        <w:tc>
          <w:tcPr>
            <w:tcW w:w="3010" w:type="dxa"/>
            <w:shd w:val="clear" w:color="auto" w:fill="E0651F"/>
          </w:tcPr>
          <w:p w14:paraId="66A56B62" w14:textId="77777777" w:rsidR="00097CD8" w:rsidRDefault="00000000">
            <w:r>
              <w:rPr>
                <w:rFonts w:ascii="Calibri" w:hAnsi="Calibri"/>
                <w:b/>
                <w:color w:val="FFFFFF"/>
                <w:sz w:val="21"/>
              </w:rPr>
              <w:t>Polyclinic / Disease Clinic Model</w:t>
            </w:r>
          </w:p>
        </w:tc>
        <w:tc>
          <w:tcPr>
            <w:tcW w:w="3010" w:type="dxa"/>
            <w:shd w:val="clear" w:color="auto" w:fill="E0651F"/>
          </w:tcPr>
          <w:p w14:paraId="73158CB4" w14:textId="77777777" w:rsidR="00097CD8" w:rsidRDefault="00000000">
            <w:r>
              <w:rPr>
                <w:rFonts w:ascii="Calibri" w:hAnsi="Calibri"/>
                <w:b/>
                <w:color w:val="FFFFFF"/>
                <w:sz w:val="21"/>
              </w:rPr>
              <w:t>Generalist / Holistic Model</w:t>
            </w:r>
          </w:p>
        </w:tc>
      </w:tr>
      <w:tr w:rsidR="00097CD8" w14:paraId="369DC0D1" w14:textId="77777777">
        <w:tc>
          <w:tcPr>
            <w:tcW w:w="3010" w:type="dxa"/>
            <w:shd w:val="clear" w:color="auto" w:fill="FFF3EC"/>
          </w:tcPr>
          <w:p w14:paraId="1E2E2DD4" w14:textId="77777777" w:rsidR="00097CD8" w:rsidRDefault="00000000">
            <w:r>
              <w:rPr>
                <w:rFonts w:ascii="Calibri" w:hAnsi="Calibri"/>
                <w:b/>
                <w:color w:val="E0651F"/>
                <w:sz w:val="21"/>
              </w:rPr>
              <w:t>Description</w:t>
            </w:r>
          </w:p>
        </w:tc>
        <w:tc>
          <w:tcPr>
            <w:tcW w:w="3010" w:type="dxa"/>
            <w:shd w:val="clear" w:color="auto" w:fill="FFF3EC"/>
          </w:tcPr>
          <w:p w14:paraId="6CA0EFAF" w14:textId="77777777" w:rsidR="00097CD8" w:rsidRDefault="00000000">
            <w:r>
              <w:rPr>
                <w:rFonts w:ascii="Calibri" w:hAnsi="Calibri"/>
                <w:sz w:val="21"/>
              </w:rPr>
              <w:t>Separate nurse-led clinics for each condition (asthma clinic, diabetes clinic, hypertension clinic)</w:t>
            </w:r>
          </w:p>
        </w:tc>
        <w:tc>
          <w:tcPr>
            <w:tcW w:w="3010" w:type="dxa"/>
            <w:shd w:val="clear" w:color="auto" w:fill="FFF3EC"/>
          </w:tcPr>
          <w:p w14:paraId="75180C53" w14:textId="77777777" w:rsidR="00097CD8" w:rsidRDefault="00000000">
            <w:r>
              <w:rPr>
                <w:rFonts w:ascii="Calibri" w:hAnsi="Calibri"/>
                <w:sz w:val="21"/>
              </w:rPr>
              <w:t>GP (or practice nurse) manages the whole patient and all conditions within a single holistic consultation</w:t>
            </w:r>
          </w:p>
        </w:tc>
      </w:tr>
      <w:tr w:rsidR="00097CD8" w14:paraId="7BCB835D" w14:textId="77777777">
        <w:tc>
          <w:tcPr>
            <w:tcW w:w="3010" w:type="dxa"/>
            <w:shd w:val="clear" w:color="auto" w:fill="FFFFFF"/>
          </w:tcPr>
          <w:p w14:paraId="5CFAE4B8" w14:textId="77777777" w:rsidR="00097CD8" w:rsidRDefault="00000000">
            <w:r>
              <w:rPr>
                <w:rFonts w:ascii="Calibri" w:hAnsi="Calibri"/>
                <w:b/>
                <w:color w:val="E0651F"/>
                <w:sz w:val="21"/>
              </w:rPr>
              <w:t>Advantages</w:t>
            </w:r>
          </w:p>
        </w:tc>
        <w:tc>
          <w:tcPr>
            <w:tcW w:w="3010" w:type="dxa"/>
            <w:shd w:val="clear" w:color="auto" w:fill="FFFFFF"/>
          </w:tcPr>
          <w:p w14:paraId="20255C09" w14:textId="77777777" w:rsidR="00097CD8" w:rsidRDefault="00000000">
            <w:r>
              <w:rPr>
                <w:rFonts w:ascii="Calibri" w:hAnsi="Calibri"/>
                <w:sz w:val="21"/>
              </w:rPr>
              <w:t>Systematic, protocol-driven, high recall rates, efficient for QOF, consistent measurements</w:t>
            </w:r>
          </w:p>
        </w:tc>
        <w:tc>
          <w:tcPr>
            <w:tcW w:w="3010" w:type="dxa"/>
            <w:shd w:val="clear" w:color="auto" w:fill="FFFFFF"/>
          </w:tcPr>
          <w:p w14:paraId="54487C0B" w14:textId="77777777" w:rsidR="00097CD8" w:rsidRDefault="00000000">
            <w:r>
              <w:rPr>
                <w:rFonts w:ascii="Calibri" w:hAnsi="Calibri"/>
                <w:sz w:val="21"/>
              </w:rPr>
              <w:t>Holistic, NICE NG56-aligned, better for multimorbidity, relational, personalised, avoids duplication</w:t>
            </w:r>
          </w:p>
        </w:tc>
      </w:tr>
      <w:tr w:rsidR="00097CD8" w14:paraId="0DCBEB9B" w14:textId="77777777">
        <w:tc>
          <w:tcPr>
            <w:tcW w:w="3010" w:type="dxa"/>
            <w:shd w:val="clear" w:color="auto" w:fill="F0F4FF"/>
          </w:tcPr>
          <w:p w14:paraId="497B9107" w14:textId="77777777" w:rsidR="00097CD8" w:rsidRDefault="00000000">
            <w:r>
              <w:rPr>
                <w:rFonts w:ascii="Calibri" w:hAnsi="Calibri"/>
                <w:b/>
                <w:color w:val="E0651F"/>
                <w:sz w:val="21"/>
              </w:rPr>
              <w:t>Disadvantages</w:t>
            </w:r>
          </w:p>
        </w:tc>
        <w:tc>
          <w:tcPr>
            <w:tcW w:w="3010" w:type="dxa"/>
            <w:shd w:val="clear" w:color="auto" w:fill="F0F4FF"/>
          </w:tcPr>
          <w:p w14:paraId="24779854" w14:textId="77777777" w:rsidR="00097CD8" w:rsidRDefault="00000000">
            <w:r>
              <w:rPr>
                <w:rFonts w:ascii="Calibri" w:hAnsi="Calibri"/>
                <w:sz w:val="21"/>
              </w:rPr>
              <w:t>Fragmentation — patient may attend 4+ clinics for 4 conditions. Risk of "falling between two stools". Reduced continuity.</w:t>
            </w:r>
          </w:p>
        </w:tc>
        <w:tc>
          <w:tcPr>
            <w:tcW w:w="3010" w:type="dxa"/>
            <w:shd w:val="clear" w:color="auto" w:fill="F0F4FF"/>
          </w:tcPr>
          <w:p w14:paraId="1B1B9FBE" w14:textId="77777777" w:rsidR="00097CD8" w:rsidRDefault="00000000">
            <w:r>
              <w:rPr>
                <w:rFonts w:ascii="Calibri" w:hAnsi="Calibri"/>
                <w:sz w:val="21"/>
              </w:rPr>
              <w:t>Risk of missing systematic checks. Harder to ensure population-level coverage. Time-intensive for GPs.</w:t>
            </w:r>
          </w:p>
        </w:tc>
      </w:tr>
      <w:tr w:rsidR="00097CD8" w14:paraId="48839703" w14:textId="77777777">
        <w:tc>
          <w:tcPr>
            <w:tcW w:w="3010" w:type="dxa"/>
            <w:shd w:val="clear" w:color="auto" w:fill="FFFFFF"/>
          </w:tcPr>
          <w:p w14:paraId="631A59E5" w14:textId="77777777" w:rsidR="00097CD8" w:rsidRDefault="00000000">
            <w:r>
              <w:rPr>
                <w:rFonts w:ascii="Calibri" w:hAnsi="Calibri"/>
                <w:b/>
                <w:color w:val="E0651F"/>
                <w:sz w:val="21"/>
              </w:rPr>
              <w:t>Professional satisfaction</w:t>
            </w:r>
          </w:p>
        </w:tc>
        <w:tc>
          <w:tcPr>
            <w:tcW w:w="3010" w:type="dxa"/>
            <w:shd w:val="clear" w:color="auto" w:fill="FFFFFF"/>
          </w:tcPr>
          <w:p w14:paraId="04F79610" w14:textId="77777777" w:rsidR="00097CD8" w:rsidRDefault="00000000">
            <w:r>
              <w:rPr>
                <w:rFonts w:ascii="Calibri" w:hAnsi="Calibri"/>
                <w:sz w:val="21"/>
              </w:rPr>
              <w:t>Often lower for nurses/GPs — disease-focused rather than person-focused</w:t>
            </w:r>
          </w:p>
        </w:tc>
        <w:tc>
          <w:tcPr>
            <w:tcW w:w="3010" w:type="dxa"/>
            <w:shd w:val="clear" w:color="auto" w:fill="FFFFFF"/>
          </w:tcPr>
          <w:p w14:paraId="29449E8F" w14:textId="77777777" w:rsidR="00097CD8" w:rsidRDefault="00000000">
            <w:r>
              <w:rPr>
                <w:rFonts w:ascii="Calibri" w:hAnsi="Calibri"/>
                <w:sz w:val="21"/>
              </w:rPr>
              <w:t>Generally higher — care feels more meaningful; patient relationship is stronger</w:t>
            </w:r>
          </w:p>
        </w:tc>
      </w:tr>
    </w:tbl>
    <w:p w14:paraId="7B45175E" w14:textId="77777777" w:rsidR="00097CD8" w:rsidRDefault="00097CD8">
      <w:pPr>
        <w:spacing w:after="120"/>
      </w:pPr>
    </w:p>
    <w:tbl>
      <w:tblPr>
        <w:tblStyle w:val="TableGrid"/>
        <w:tblW w:w="0" w:type="auto"/>
        <w:tblLook w:val="04A0" w:firstRow="1" w:lastRow="0" w:firstColumn="1" w:lastColumn="0" w:noHBand="0" w:noVBand="1"/>
      </w:tblPr>
      <w:tblGrid>
        <w:gridCol w:w="9029"/>
      </w:tblGrid>
      <w:tr w:rsidR="00097CD8" w14:paraId="12652398" w14:textId="77777777">
        <w:tc>
          <w:tcPr>
            <w:tcW w:w="9029" w:type="dxa"/>
            <w:shd w:val="clear" w:color="auto" w:fill="1A3A6B"/>
          </w:tcPr>
          <w:p w14:paraId="249E63B7" w14:textId="77777777" w:rsidR="00097CD8" w:rsidRDefault="00000000">
            <w:pPr>
              <w:spacing w:before="80" w:after="80"/>
            </w:pPr>
            <w:r>
              <w:rPr>
                <w:rFonts w:ascii="Calibri" w:hAnsi="Calibri"/>
                <w:b/>
                <w:color w:val="FFFFFF"/>
                <w:sz w:val="24"/>
              </w:rPr>
              <w:t>📋 NICE NG56 Recommendation on Models of Care</w:t>
            </w:r>
          </w:p>
          <w:p w14:paraId="6B6432FA" w14:textId="77777777" w:rsidR="00097CD8" w:rsidRDefault="00000000">
            <w:pPr>
              <w:spacing w:before="40" w:after="40"/>
              <w:ind w:left="216"/>
            </w:pPr>
            <w:r>
              <w:rPr>
                <w:rFonts w:ascii="Calibri" w:hAnsi="Calibri"/>
                <w:color w:val="FFFFFF"/>
                <w:sz w:val="21"/>
              </w:rPr>
              <w:t>• For people with multimorbidity, a holistic consultation that reviews ALL conditions together is preferable to multiple fragmented disease-specific appointments</w:t>
            </w:r>
          </w:p>
          <w:p w14:paraId="7E04964E" w14:textId="77777777" w:rsidR="00097CD8" w:rsidRDefault="00000000">
            <w:pPr>
              <w:spacing w:before="40" w:after="40"/>
              <w:ind w:left="216"/>
            </w:pPr>
            <w:r>
              <w:rPr>
                <w:rFonts w:ascii="Calibri" w:hAnsi="Calibri"/>
                <w:color w:val="FFFFFF"/>
                <w:sz w:val="21"/>
              </w:rPr>
              <w:t>• Person-centred care plans should address the patient's priorities and reduce the total appointment burden</w:t>
            </w:r>
          </w:p>
          <w:p w14:paraId="11072759" w14:textId="77777777" w:rsidR="00097CD8" w:rsidRDefault="00000000">
            <w:pPr>
              <w:spacing w:before="40" w:after="40"/>
              <w:ind w:left="216"/>
            </w:pPr>
            <w:r>
              <w:rPr>
                <w:rFonts w:ascii="Calibri" w:hAnsi="Calibri"/>
                <w:color w:val="FFFFFF"/>
                <w:sz w:val="21"/>
              </w:rPr>
              <w:t>• Consider whether reducing treatment intensity in one condition (e.g., tight glycaemic control in frail elderly) improves overall quality of life</w:t>
            </w:r>
          </w:p>
          <w:p w14:paraId="5A7D424B" w14:textId="77777777" w:rsidR="00097CD8" w:rsidRDefault="00000000">
            <w:pPr>
              <w:spacing w:before="40" w:after="40"/>
              <w:ind w:left="216"/>
            </w:pPr>
            <w:r>
              <w:rPr>
                <w:rFonts w:ascii="Calibri" w:hAnsi="Calibri"/>
                <w:color w:val="FFFFFF"/>
                <w:sz w:val="21"/>
              </w:rPr>
              <w:t>• Care coordination — with a named lead professional for complex patients — is essential to prevent gaps in care</w:t>
            </w:r>
          </w:p>
        </w:tc>
      </w:tr>
    </w:tbl>
    <w:p w14:paraId="4D134AB8" w14:textId="77777777" w:rsidR="00097CD8" w:rsidRDefault="00097CD8">
      <w:pPr>
        <w:spacing w:after="120"/>
      </w:pPr>
    </w:p>
    <w:p w14:paraId="78266023" w14:textId="77777777" w:rsidR="00097CD8" w:rsidRDefault="00000000">
      <w:pPr>
        <w:spacing w:before="160" w:after="80"/>
      </w:pPr>
      <w:r>
        <w:rPr>
          <w:rFonts w:ascii="Calibri" w:hAnsi="Calibri"/>
          <w:b/>
          <w:color w:val="E0651F"/>
          <w:sz w:val="30"/>
        </w:rPr>
        <w:t>8. Reflective Exercise for Trainees</w:t>
      </w:r>
    </w:p>
    <w:p w14:paraId="7343231C" w14:textId="77777777" w:rsidR="00097CD8" w:rsidRDefault="00000000">
      <w:pPr>
        <w:spacing w:after="120"/>
      </w:pPr>
      <w:r>
        <w:rPr>
          <w:rFonts w:ascii="Calibri" w:hAnsi="Calibri"/>
        </w:rPr>
        <w:t>Use these prompts for small-group discussion or personal reflection. Think of a patient you have seen with one or more long-term conditions.</w:t>
      </w:r>
    </w:p>
    <w:p w14:paraId="71A6E7DF" w14:textId="77777777" w:rsidR="00097CD8" w:rsidRDefault="00000000">
      <w:pPr>
        <w:pStyle w:val="ListBullet"/>
        <w:spacing w:after="60"/>
      </w:pPr>
      <w:r>
        <w:rPr>
          <w:rFonts w:ascii="Calibri" w:hAnsi="Calibri"/>
        </w:rPr>
        <w:t>What long-term conditions does this patient have? How many? Do they have multimorbidity?</w:t>
      </w:r>
    </w:p>
    <w:p w14:paraId="2B1A5C36" w14:textId="77777777" w:rsidR="00097CD8" w:rsidRDefault="00000000">
      <w:pPr>
        <w:pStyle w:val="ListBullet"/>
        <w:spacing w:after="60"/>
      </w:pPr>
      <w:r>
        <w:rPr>
          <w:rFonts w:ascii="Calibri" w:hAnsi="Calibri"/>
        </w:rPr>
        <w:t>How do their conditions interact with each other and with their treatment?</w:t>
      </w:r>
    </w:p>
    <w:p w14:paraId="2D504362" w14:textId="77777777" w:rsidR="00097CD8" w:rsidRDefault="00000000">
      <w:pPr>
        <w:pStyle w:val="ListBullet"/>
        <w:spacing w:after="60"/>
      </w:pPr>
      <w:r>
        <w:rPr>
          <w:rFonts w:ascii="Calibri" w:hAnsi="Calibri"/>
        </w:rPr>
        <w:t>Have you ever addressed the psychological impact of their conditions? (mood, self-esteem, stigma)</w:t>
      </w:r>
    </w:p>
    <w:p w14:paraId="7B35D02E" w14:textId="77777777" w:rsidR="00097CD8" w:rsidRDefault="00000000">
      <w:pPr>
        <w:pStyle w:val="ListBullet"/>
        <w:spacing w:after="60"/>
      </w:pPr>
      <w:r>
        <w:rPr>
          <w:rFonts w:ascii="Calibri" w:hAnsi="Calibri"/>
        </w:rPr>
        <w:t>Have you explored the impact on their work, finances, relationships, housing, or mobility?</w:t>
      </w:r>
    </w:p>
    <w:p w14:paraId="5A805CC9" w14:textId="77777777" w:rsidR="00097CD8" w:rsidRDefault="00000000">
      <w:pPr>
        <w:pStyle w:val="ListBullet"/>
        <w:spacing w:after="60"/>
      </w:pPr>
      <w:r>
        <w:rPr>
          <w:rFonts w:ascii="Calibri" w:hAnsi="Calibri"/>
        </w:rPr>
        <w:t>Are their carers known to the practice? Have their carers' needs been assessed?</w:t>
      </w:r>
    </w:p>
    <w:p w14:paraId="09747067" w14:textId="77777777" w:rsidR="00097CD8" w:rsidRDefault="00000000">
      <w:pPr>
        <w:pStyle w:val="ListBullet"/>
        <w:spacing w:after="60"/>
      </w:pPr>
      <w:r>
        <w:rPr>
          <w:rFonts w:ascii="Calibri" w:hAnsi="Calibri"/>
        </w:rPr>
        <w:lastRenderedPageBreak/>
        <w:t>Is the patient's medication list safe and proportionate? Would a medicines review help?</w:t>
      </w:r>
    </w:p>
    <w:p w14:paraId="5308C9AD" w14:textId="77777777" w:rsidR="00097CD8" w:rsidRDefault="00000000">
      <w:pPr>
        <w:pStyle w:val="ListBullet"/>
        <w:spacing w:after="60"/>
      </w:pPr>
      <w:r>
        <w:rPr>
          <w:rFonts w:ascii="Calibri" w:hAnsi="Calibri"/>
        </w:rPr>
        <w:t>Which conditions does QOF track for this patient? Are any conditions being neglected because they're not in QOF?</w:t>
      </w:r>
    </w:p>
    <w:p w14:paraId="132DDCC6" w14:textId="77777777" w:rsidR="00097CD8" w:rsidRDefault="00000000">
      <w:pPr>
        <w:pStyle w:val="ListBullet"/>
        <w:spacing w:after="60"/>
      </w:pPr>
      <w:r>
        <w:rPr>
          <w:rFonts w:ascii="Calibri" w:hAnsi="Calibri"/>
        </w:rPr>
        <w:t>Who else in the MDT is involved? Are there any gaps in care coordination?</w:t>
      </w:r>
    </w:p>
    <w:p w14:paraId="617B531F" w14:textId="77777777" w:rsidR="00097CD8" w:rsidRDefault="00000000">
      <w:pPr>
        <w:pStyle w:val="ListBullet"/>
        <w:spacing w:after="60"/>
      </w:pPr>
      <w:r>
        <w:rPr>
          <w:rFonts w:ascii="Calibri" w:hAnsi="Calibri"/>
        </w:rPr>
        <w:t>If you ran an audit on this patient's care against NICE NG56, what would it find?</w:t>
      </w:r>
    </w:p>
    <w:p w14:paraId="5330B922" w14:textId="77777777" w:rsidR="00097CD8" w:rsidRDefault="00097CD8">
      <w:pPr>
        <w:spacing w:after="120"/>
      </w:pPr>
    </w:p>
    <w:tbl>
      <w:tblPr>
        <w:tblStyle w:val="TableGrid"/>
        <w:tblW w:w="0" w:type="auto"/>
        <w:tblLook w:val="04A0" w:firstRow="1" w:lastRow="0" w:firstColumn="1" w:lastColumn="0" w:noHBand="0" w:noVBand="1"/>
      </w:tblPr>
      <w:tblGrid>
        <w:gridCol w:w="9029"/>
      </w:tblGrid>
      <w:tr w:rsidR="00097CD8" w14:paraId="42EC08B9" w14:textId="77777777">
        <w:tc>
          <w:tcPr>
            <w:tcW w:w="9029" w:type="dxa"/>
            <w:shd w:val="clear" w:color="auto" w:fill="1A3A6B"/>
          </w:tcPr>
          <w:p w14:paraId="0F3B2446" w14:textId="77777777" w:rsidR="00097CD8" w:rsidRDefault="00000000">
            <w:pPr>
              <w:spacing w:before="80" w:after="80"/>
            </w:pPr>
            <w:r>
              <w:rPr>
                <w:rFonts w:ascii="Calibri" w:hAnsi="Calibri"/>
                <w:b/>
                <w:color w:val="FFFFFF"/>
                <w:sz w:val="24"/>
              </w:rPr>
              <w:t>📝 Quick Reference Summary</w:t>
            </w:r>
          </w:p>
          <w:p w14:paraId="6AEB3984" w14:textId="77777777" w:rsidR="00097CD8" w:rsidRDefault="00000000">
            <w:pPr>
              <w:spacing w:before="40" w:after="40"/>
              <w:ind w:left="216"/>
            </w:pPr>
            <w:r>
              <w:rPr>
                <w:rFonts w:ascii="Calibri" w:hAnsi="Calibri"/>
                <w:color w:val="FFFFFF"/>
                <w:sz w:val="21"/>
              </w:rPr>
              <w:t>• Guidance hierarchy: NICE &gt; NICE CKS &gt; NICE Pathways &gt; Named specialist body &gt; BNF &gt; GPNotebook</w:t>
            </w:r>
          </w:p>
          <w:p w14:paraId="5D0A5D9C" w14:textId="77777777" w:rsidR="00097CD8" w:rsidRDefault="00000000">
            <w:pPr>
              <w:spacing w:before="40" w:after="40"/>
              <w:ind w:left="216"/>
            </w:pPr>
            <w:r>
              <w:rPr>
                <w:rFonts w:ascii="Calibri" w:hAnsi="Calibri"/>
                <w:color w:val="FFFFFF"/>
                <w:sz w:val="21"/>
              </w:rPr>
              <w:t>• QOF 2025/26: 564 points, £225.49/point, 32 indicators retired, focus on CVD outcomes</w:t>
            </w:r>
          </w:p>
          <w:p w14:paraId="71B60FCC" w14:textId="77777777" w:rsidR="00097CD8" w:rsidRDefault="00000000">
            <w:pPr>
              <w:spacing w:before="40" w:after="40"/>
              <w:ind w:left="216"/>
            </w:pPr>
            <w:r>
              <w:rPr>
                <w:rFonts w:ascii="Calibri" w:hAnsi="Calibri"/>
                <w:color w:val="FFFFFF"/>
                <w:sz w:val="21"/>
              </w:rPr>
              <w:t>• CVD indicator focus: BP targets for hypertension, CHD, stroke, DM; statin prescribing; cholesterol targets</w:t>
            </w:r>
          </w:p>
          <w:p w14:paraId="7088F50D" w14:textId="77777777" w:rsidR="00097CD8" w:rsidRDefault="00000000">
            <w:pPr>
              <w:spacing w:before="40" w:after="40"/>
              <w:ind w:left="216"/>
            </w:pPr>
            <w:r>
              <w:rPr>
                <w:rFonts w:ascii="Calibri" w:hAnsi="Calibri"/>
                <w:color w:val="FFFFFF"/>
                <w:sz w:val="21"/>
              </w:rPr>
              <w:t>• Disease registers remain clinically essential even though no longer QOF-incentivised</w:t>
            </w:r>
          </w:p>
          <w:p w14:paraId="512DDBF2" w14:textId="77777777" w:rsidR="00097CD8" w:rsidRDefault="00000000">
            <w:pPr>
              <w:spacing w:before="40" w:after="40"/>
              <w:ind w:left="216"/>
            </w:pPr>
            <w:r>
              <w:rPr>
                <w:rFonts w:ascii="Calibri" w:hAnsi="Calibri"/>
                <w:color w:val="FFFFFF"/>
                <w:sz w:val="21"/>
              </w:rPr>
              <w:t>• Protocols must be evidence-based, current, and clearly owned — not GOBSAT</w:t>
            </w:r>
          </w:p>
          <w:p w14:paraId="675BC63A" w14:textId="77777777" w:rsidR="00097CD8" w:rsidRDefault="00000000">
            <w:pPr>
              <w:spacing w:before="40" w:after="40"/>
              <w:ind w:left="216"/>
            </w:pPr>
            <w:r>
              <w:rPr>
                <w:rFonts w:ascii="Calibri" w:hAnsi="Calibri"/>
                <w:color w:val="FFFFFF"/>
                <w:sz w:val="21"/>
              </w:rPr>
              <w:t>• Records: use SNOMED CT codes, not free text; records are a legal document</w:t>
            </w:r>
          </w:p>
          <w:p w14:paraId="46D08DD0" w14:textId="77777777" w:rsidR="00097CD8" w:rsidRDefault="00000000">
            <w:pPr>
              <w:spacing w:before="40" w:after="40"/>
              <w:ind w:left="216"/>
            </w:pPr>
            <w:r>
              <w:rPr>
                <w:rFonts w:ascii="Calibri" w:hAnsi="Calibri"/>
                <w:color w:val="FFFFFF"/>
                <w:sz w:val="21"/>
              </w:rPr>
              <w:t>• Audit: set standard → measure → compare → change → re-audit (close the loop)</w:t>
            </w:r>
          </w:p>
          <w:p w14:paraId="49DD503C" w14:textId="77777777" w:rsidR="00097CD8" w:rsidRDefault="00000000">
            <w:pPr>
              <w:spacing w:before="40" w:after="40"/>
              <w:ind w:left="216"/>
            </w:pPr>
            <w:r>
              <w:rPr>
                <w:rFonts w:ascii="Calibri" w:hAnsi="Calibri"/>
                <w:color w:val="FFFFFF"/>
                <w:sz w:val="21"/>
              </w:rPr>
              <w:t>• No single model of CDM is best — most practices blend disease clinics with holistic GP-led care</w:t>
            </w:r>
          </w:p>
          <w:p w14:paraId="4A5BE84F" w14:textId="77777777" w:rsidR="00097CD8" w:rsidRDefault="00000000">
            <w:pPr>
              <w:spacing w:before="40" w:after="40"/>
              <w:ind w:left="216"/>
            </w:pPr>
            <w:r>
              <w:rPr>
                <w:rFonts w:ascii="Calibri" w:hAnsi="Calibri"/>
                <w:color w:val="FFFFFF"/>
                <w:sz w:val="21"/>
              </w:rPr>
              <w:t>• NICE NG56: person-centred care, shared decisions, deprescribing, reduce treatment burden</w:t>
            </w:r>
          </w:p>
        </w:tc>
      </w:tr>
    </w:tbl>
    <w:p w14:paraId="74177BDE" w14:textId="77777777" w:rsidR="00097CD8" w:rsidRDefault="00097CD8">
      <w:pPr>
        <w:spacing w:after="120"/>
      </w:pPr>
    </w:p>
    <w:tbl>
      <w:tblPr>
        <w:tblStyle w:val="TableGrid"/>
        <w:tblW w:w="0" w:type="auto"/>
        <w:tblLook w:val="04A0" w:firstRow="1" w:lastRow="0" w:firstColumn="1" w:lastColumn="0" w:noHBand="0" w:noVBand="1"/>
      </w:tblPr>
      <w:tblGrid>
        <w:gridCol w:w="9029"/>
      </w:tblGrid>
      <w:tr w:rsidR="00097CD8" w14:paraId="18B14272" w14:textId="77777777">
        <w:tc>
          <w:tcPr>
            <w:tcW w:w="9029" w:type="dxa"/>
            <w:shd w:val="clear" w:color="auto" w:fill="FFF9C4"/>
          </w:tcPr>
          <w:p w14:paraId="43F7EB9C" w14:textId="77777777" w:rsidR="00097CD8" w:rsidRDefault="00000000">
            <w:pPr>
              <w:spacing w:before="80" w:after="80"/>
            </w:pPr>
            <w:r>
              <w:rPr>
                <w:rFonts w:ascii="Calibri" w:hAnsi="Calibri"/>
                <w:b/>
                <w:color w:val="5D4037"/>
                <w:sz w:val="24"/>
              </w:rPr>
              <w:t>⚠ Disclaimer</w:t>
            </w:r>
          </w:p>
          <w:p w14:paraId="1916922C" w14:textId="77777777" w:rsidR="00097CD8" w:rsidRDefault="00000000">
            <w:pPr>
              <w:spacing w:before="40" w:after="40"/>
              <w:ind w:left="216"/>
            </w:pPr>
            <w:r>
              <w:rPr>
                <w:rFonts w:ascii="Calibri" w:hAnsi="Calibri"/>
                <w:color w:val="5D4037"/>
                <w:sz w:val="21"/>
              </w:rPr>
              <w:t>• Always double check this advice and drug doses with the latest NICE/BNF guidance.</w:t>
            </w:r>
          </w:p>
          <w:p w14:paraId="11F254F0" w14:textId="77777777" w:rsidR="00097CD8" w:rsidRDefault="00000000">
            <w:pPr>
              <w:spacing w:before="40" w:after="40"/>
              <w:ind w:left="216"/>
            </w:pPr>
            <w:r>
              <w:rPr>
                <w:rFonts w:ascii="Calibri" w:hAnsi="Calibri"/>
                <w:color w:val="5D4037"/>
                <w:sz w:val="21"/>
              </w:rPr>
              <w:t>• This document is for educational purposes only.</w:t>
            </w:r>
          </w:p>
        </w:tc>
      </w:tr>
    </w:tbl>
    <w:p w14:paraId="634EDF49" w14:textId="77777777" w:rsidR="00097CD8" w:rsidRDefault="00097CD8">
      <w:pPr>
        <w:spacing w:after="120"/>
      </w:pPr>
    </w:p>
    <w:sectPr w:rsidR="00097CD8" w:rsidSect="00034616">
      <w:footerReference w:type="default" r:id="rId8"/>
      <w:pgSz w:w="11909" w:h="16834"/>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95FC60" w14:textId="77777777" w:rsidR="00242B14" w:rsidRDefault="00242B14">
      <w:pPr>
        <w:spacing w:after="0" w:line="240" w:lineRule="auto"/>
      </w:pPr>
      <w:r>
        <w:separator/>
      </w:r>
    </w:p>
  </w:endnote>
  <w:endnote w:type="continuationSeparator" w:id="0">
    <w:p w14:paraId="4F2BB884" w14:textId="77777777" w:rsidR="00242B14" w:rsidRDefault="00242B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6B1F7" w14:textId="77777777" w:rsidR="00097CD8" w:rsidRDefault="00000000">
    <w:pPr>
      <w:pStyle w:val="Footer"/>
      <w:jc w:val="center"/>
    </w:pPr>
    <w:r>
      <w:rPr>
        <w:rFonts w:ascii="Calibri" w:hAnsi="Calibri"/>
        <w:color w:val="777777"/>
        <w:sz w:val="18"/>
      </w:rPr>
      <w:t>A free resource provided by www.bradfordvts.co.uk, Dr Ramesh Mehay, original date unknown, revised May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22C26E" w14:textId="77777777" w:rsidR="00242B14" w:rsidRDefault="00242B14">
      <w:pPr>
        <w:spacing w:after="0" w:line="240" w:lineRule="auto"/>
      </w:pPr>
      <w:r>
        <w:separator/>
      </w:r>
    </w:p>
  </w:footnote>
  <w:footnote w:type="continuationSeparator" w:id="0">
    <w:p w14:paraId="2545E281" w14:textId="77777777" w:rsidR="00242B14" w:rsidRDefault="00242B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90696691">
    <w:abstractNumId w:val="8"/>
  </w:num>
  <w:num w:numId="2" w16cid:durableId="470749078">
    <w:abstractNumId w:val="6"/>
  </w:num>
  <w:num w:numId="3" w16cid:durableId="253591055">
    <w:abstractNumId w:val="5"/>
  </w:num>
  <w:num w:numId="4" w16cid:durableId="178084223">
    <w:abstractNumId w:val="4"/>
  </w:num>
  <w:num w:numId="5" w16cid:durableId="244607484">
    <w:abstractNumId w:val="7"/>
  </w:num>
  <w:num w:numId="6" w16cid:durableId="608582176">
    <w:abstractNumId w:val="3"/>
  </w:num>
  <w:num w:numId="7" w16cid:durableId="1624117550">
    <w:abstractNumId w:val="2"/>
  </w:num>
  <w:num w:numId="8" w16cid:durableId="789931184">
    <w:abstractNumId w:val="1"/>
  </w:num>
  <w:num w:numId="9" w16cid:durableId="11282334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97CD8"/>
    <w:rsid w:val="0015074B"/>
    <w:rsid w:val="00242B14"/>
    <w:rsid w:val="0029639D"/>
    <w:rsid w:val="00326F90"/>
    <w:rsid w:val="00AA1D8D"/>
    <w:rsid w:val="00B47730"/>
    <w:rsid w:val="00BC03E1"/>
    <w:rsid w:val="00CB0664"/>
    <w:rsid w:val="00D07AD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13217B7"/>
  <w14:defaultImageDpi w14:val="300"/>
  <w15:docId w15:val="{DF188194-601D-4684-BD20-9693CC4B5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2058</Words>
  <Characters>11733</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13764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Ramesh Mehay</cp:lastModifiedBy>
  <cp:revision>3</cp:revision>
  <dcterms:created xsi:type="dcterms:W3CDTF">2013-12-23T23:15:00Z</dcterms:created>
  <dcterms:modified xsi:type="dcterms:W3CDTF">2026-05-08T13:02:00Z</dcterms:modified>
  <cp:category/>
</cp:coreProperties>
</file>