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972"/>
      </w:tblGrid>
      <w:tr w:rsidR="00F94A90" w14:paraId="6A3A70BE" w14:textId="77777777">
        <w:tc>
          <w:tcPr>
            <w:tcW w:w="9972" w:type="dxa"/>
            <w:shd w:val="clear" w:color="auto" w:fill="E0651F"/>
          </w:tcPr>
          <w:p w14:paraId="66D73C8A" w14:textId="77777777" w:rsidR="00F94A90" w:rsidRDefault="00000000">
            <w:pPr>
              <w:jc w:val="center"/>
            </w:pPr>
            <w:r>
              <w:rPr>
                <w:b/>
                <w:color w:val="FFFFFF"/>
                <w:sz w:val="20"/>
              </w:rPr>
              <w:t>BRADFORD VTS TEACHING AIDS</w:t>
            </w:r>
          </w:p>
        </w:tc>
      </w:tr>
      <w:tr w:rsidR="00F94A90" w14:paraId="3B052665" w14:textId="77777777">
        <w:tc>
          <w:tcPr>
            <w:tcW w:w="9972" w:type="dxa"/>
            <w:shd w:val="clear" w:color="auto" w:fill="E0651F"/>
          </w:tcPr>
          <w:p w14:paraId="42ED3667" w14:textId="77777777" w:rsidR="00F94A90" w:rsidRDefault="00000000">
            <w:pPr>
              <w:jc w:val="center"/>
              <w:rPr>
                <w:b/>
                <w:color w:val="FFFFFF"/>
                <w:sz w:val="52"/>
              </w:rPr>
            </w:pPr>
            <w:r>
              <w:rPr>
                <w:b/>
                <w:color w:val="FFFFFF"/>
                <w:sz w:val="52"/>
              </w:rPr>
              <w:t>Dermatology: Top Ten Tips</w:t>
            </w:r>
          </w:p>
          <w:p w14:paraId="5F041777" w14:textId="0DDF8793" w:rsidR="00534811" w:rsidRDefault="00534811" w:rsidP="00534811"/>
        </w:tc>
      </w:tr>
      <w:tr w:rsidR="00F94A90" w14:paraId="169F19AE" w14:textId="77777777">
        <w:tc>
          <w:tcPr>
            <w:tcW w:w="9972" w:type="dxa"/>
            <w:shd w:val="clear" w:color="auto" w:fill="E0651F"/>
          </w:tcPr>
          <w:p w14:paraId="4F9EB553" w14:textId="77777777" w:rsidR="00F94A90" w:rsidRDefault="00000000">
            <w:pPr>
              <w:jc w:val="center"/>
            </w:pPr>
            <w:r>
              <w:rPr>
                <w:i/>
                <w:color w:val="FFFFFF"/>
              </w:rPr>
              <w:t>Quick Reference · Bradford VTS · May 2026</w:t>
            </w:r>
          </w:p>
        </w:tc>
      </w:tr>
    </w:tbl>
    <w:p w14:paraId="70A8EA98" w14:textId="77777777" w:rsidR="00F94A90" w:rsidRDefault="00F94A90"/>
    <w:p w14:paraId="1B3CC6E0" w14:textId="77777777" w:rsidR="00F94A90" w:rsidRDefault="00000000">
      <w:pPr>
        <w:pStyle w:val="Heading1"/>
      </w:pPr>
      <w:r>
        <w:rPr>
          <w:color w:val="E0651F"/>
        </w:rPr>
        <w:t>Your Top Ten Clinical Pearls</w:t>
      </w:r>
    </w:p>
    <w:tbl>
      <w:tblPr>
        <w:tblStyle w:val="TableGrid"/>
        <w:tblW w:w="0" w:type="auto"/>
        <w:tblLook w:val="04A0" w:firstRow="1" w:lastRow="0" w:firstColumn="1" w:lastColumn="0" w:noHBand="0" w:noVBand="1"/>
      </w:tblPr>
      <w:tblGrid>
        <w:gridCol w:w="9972"/>
      </w:tblGrid>
      <w:tr w:rsidR="00F94A90" w14:paraId="57803E42" w14:textId="77777777">
        <w:tc>
          <w:tcPr>
            <w:tcW w:w="9972" w:type="dxa"/>
            <w:shd w:val="clear" w:color="auto" w:fill="2E4057"/>
          </w:tcPr>
          <w:p w14:paraId="05A64A62" w14:textId="77777777" w:rsidR="00F94A90" w:rsidRDefault="00000000">
            <w:r>
              <w:rPr>
                <w:b/>
                <w:color w:val="FFFFFF"/>
                <w:sz w:val="24"/>
              </w:rPr>
              <w:t>1. Right steroid, right site, right duration</w:t>
            </w:r>
          </w:p>
        </w:tc>
      </w:tr>
      <w:tr w:rsidR="00F94A90" w14:paraId="776EE986" w14:textId="77777777">
        <w:tc>
          <w:tcPr>
            <w:tcW w:w="9972" w:type="dxa"/>
            <w:shd w:val="clear" w:color="auto" w:fill="E8F4F8"/>
          </w:tcPr>
          <w:p w14:paraId="6DE14DB4" w14:textId="77777777" w:rsidR="00F94A90" w:rsidRDefault="00000000">
            <w:r>
              <w:rPr>
                <w:sz w:val="20"/>
              </w:rPr>
              <w:t>This is the single most important rule in dermatology prescribing. Face/flexures/genitalia/infants → hydrocortisone 1% only. Trunk/limbs → potent (Betnovate, Elocon) for significant flares. Never apply potent steroids to sensitive sites. Always set a review date.</w:t>
            </w:r>
          </w:p>
        </w:tc>
      </w:tr>
    </w:tbl>
    <w:p w14:paraId="7501B2B0" w14:textId="77777777" w:rsidR="00F94A90" w:rsidRDefault="00F94A90"/>
    <w:tbl>
      <w:tblPr>
        <w:tblStyle w:val="TableGrid"/>
        <w:tblW w:w="0" w:type="auto"/>
        <w:tblLook w:val="04A0" w:firstRow="1" w:lastRow="0" w:firstColumn="1" w:lastColumn="0" w:noHBand="0" w:noVBand="1"/>
      </w:tblPr>
      <w:tblGrid>
        <w:gridCol w:w="9972"/>
      </w:tblGrid>
      <w:tr w:rsidR="00F94A90" w14:paraId="39A483C3" w14:textId="77777777">
        <w:tc>
          <w:tcPr>
            <w:tcW w:w="9972" w:type="dxa"/>
            <w:shd w:val="clear" w:color="auto" w:fill="16A085"/>
          </w:tcPr>
          <w:p w14:paraId="5D30F143" w14:textId="77777777" w:rsidR="00F94A90" w:rsidRDefault="00000000">
            <w:r>
              <w:rPr>
                <w:b/>
                <w:color w:val="FFFFFF"/>
                <w:sz w:val="24"/>
              </w:rPr>
              <w:t>2. Emollients are a treatment — not an afterthought</w:t>
            </w:r>
          </w:p>
        </w:tc>
      </w:tr>
      <w:tr w:rsidR="00F94A90" w14:paraId="2B08F4E1" w14:textId="77777777">
        <w:tc>
          <w:tcPr>
            <w:tcW w:w="9972" w:type="dxa"/>
            <w:shd w:val="clear" w:color="auto" w:fill="F0FFF0"/>
          </w:tcPr>
          <w:p w14:paraId="775FA34F" w14:textId="77777777" w:rsidR="00F94A90" w:rsidRDefault="00000000">
            <w:r>
              <w:rPr>
                <w:sz w:val="20"/>
              </w:rPr>
              <w:t>Liberal and frequent emollient use (500g/week for adults) is the cornerstone of eczema and dry skin management. Address "steroid phobia" with clear, confident counselling. NEVER recommend aqueous cream as a leave-on emollient (SLS irritant). ALWAYS warn about paraffin fire risk.</w:t>
            </w:r>
          </w:p>
        </w:tc>
      </w:tr>
    </w:tbl>
    <w:p w14:paraId="11A713DD" w14:textId="77777777" w:rsidR="00F94A90" w:rsidRDefault="00F94A90"/>
    <w:tbl>
      <w:tblPr>
        <w:tblStyle w:val="TableGrid"/>
        <w:tblW w:w="0" w:type="auto"/>
        <w:tblLook w:val="04A0" w:firstRow="1" w:lastRow="0" w:firstColumn="1" w:lastColumn="0" w:noHBand="0" w:noVBand="1"/>
      </w:tblPr>
      <w:tblGrid>
        <w:gridCol w:w="9972"/>
      </w:tblGrid>
      <w:tr w:rsidR="00F94A90" w14:paraId="2A51BF48" w14:textId="77777777">
        <w:tc>
          <w:tcPr>
            <w:tcW w:w="9972" w:type="dxa"/>
            <w:shd w:val="clear" w:color="auto" w:fill="C0392B"/>
          </w:tcPr>
          <w:p w14:paraId="51B1BAA2" w14:textId="77777777" w:rsidR="00F94A90" w:rsidRDefault="00000000">
            <w:r>
              <w:rPr>
                <w:b/>
                <w:color w:val="FFFFFF"/>
                <w:sz w:val="24"/>
              </w:rPr>
              <w:t>3. Never biopsy a suspected melanoma in primary care</w:t>
            </w:r>
          </w:p>
        </w:tc>
      </w:tr>
      <w:tr w:rsidR="00F94A90" w14:paraId="062B047B" w14:textId="77777777">
        <w:tc>
          <w:tcPr>
            <w:tcW w:w="9972" w:type="dxa"/>
            <w:shd w:val="clear" w:color="auto" w:fill="FFF0F0"/>
          </w:tcPr>
          <w:p w14:paraId="1D23EC40" w14:textId="77777777" w:rsidR="00F94A90" w:rsidRDefault="00000000">
            <w:r>
              <w:rPr>
                <w:sz w:val="20"/>
              </w:rPr>
              <w:t>Refer with the lesion INTACT for specialist assessment. Use the 7-point checklist — score ≥3 = 2-week wait referral. Know the features: asymmetry, irregular border, colour variation, diameter &gt;6mm, evolution. Do not forget amelanotic melanoma (no colour change).</w:t>
            </w:r>
          </w:p>
        </w:tc>
      </w:tr>
    </w:tbl>
    <w:p w14:paraId="3B57A31F" w14:textId="77777777" w:rsidR="00F94A90" w:rsidRDefault="00F94A90"/>
    <w:tbl>
      <w:tblPr>
        <w:tblStyle w:val="TableGrid"/>
        <w:tblW w:w="0" w:type="auto"/>
        <w:tblLook w:val="04A0" w:firstRow="1" w:lastRow="0" w:firstColumn="1" w:lastColumn="0" w:noHBand="0" w:noVBand="1"/>
      </w:tblPr>
      <w:tblGrid>
        <w:gridCol w:w="9972"/>
      </w:tblGrid>
      <w:tr w:rsidR="00F94A90" w14:paraId="72A24726" w14:textId="77777777">
        <w:tc>
          <w:tcPr>
            <w:tcW w:w="9972" w:type="dxa"/>
            <w:shd w:val="clear" w:color="auto" w:fill="E07020"/>
          </w:tcPr>
          <w:p w14:paraId="2C19BE32" w14:textId="77777777" w:rsidR="00F94A90" w:rsidRDefault="00000000">
            <w:r>
              <w:rPr>
                <w:b/>
                <w:color w:val="FFFFFF"/>
                <w:sz w:val="24"/>
              </w:rPr>
              <w:t>4. Exclude arterial disease before compression bandaging</w:t>
            </w:r>
          </w:p>
        </w:tc>
      </w:tr>
      <w:tr w:rsidR="00F94A90" w14:paraId="7C91F014" w14:textId="77777777">
        <w:tc>
          <w:tcPr>
            <w:tcW w:w="9972" w:type="dxa"/>
            <w:shd w:val="clear" w:color="auto" w:fill="FFF8E1"/>
          </w:tcPr>
          <w:p w14:paraId="5690657A" w14:textId="77777777" w:rsidR="00F94A90" w:rsidRDefault="00000000">
            <w:r>
              <w:rPr>
                <w:sz w:val="20"/>
              </w:rPr>
              <w:t>Always do an ABPI before starting compression therapy for a leg ulcer. ABPI 0.8–1.3 = safe for full compression. ABPI &lt;0.8 = arterial disease — refer or modified compression. ABPI &gt;1.3 = calcified arteries — refer to vascular. Getting this wrong can cause serious harm.</w:t>
            </w:r>
          </w:p>
        </w:tc>
      </w:tr>
    </w:tbl>
    <w:p w14:paraId="05B42BA7" w14:textId="77777777" w:rsidR="00F94A90" w:rsidRDefault="00F94A90"/>
    <w:tbl>
      <w:tblPr>
        <w:tblStyle w:val="TableGrid"/>
        <w:tblW w:w="0" w:type="auto"/>
        <w:tblLook w:val="04A0" w:firstRow="1" w:lastRow="0" w:firstColumn="1" w:lastColumn="0" w:noHBand="0" w:noVBand="1"/>
      </w:tblPr>
      <w:tblGrid>
        <w:gridCol w:w="9972"/>
      </w:tblGrid>
      <w:tr w:rsidR="00F94A90" w14:paraId="21DA51AC" w14:textId="77777777">
        <w:tc>
          <w:tcPr>
            <w:tcW w:w="9972" w:type="dxa"/>
            <w:shd w:val="clear" w:color="auto" w:fill="8E44AD"/>
          </w:tcPr>
          <w:p w14:paraId="6BFB46DC" w14:textId="77777777" w:rsidR="00F94A90" w:rsidRDefault="00000000">
            <w:r>
              <w:rPr>
                <w:b/>
                <w:color w:val="FFFFFF"/>
                <w:sz w:val="24"/>
              </w:rPr>
              <w:t>5. Scabies: treat all household contacts simultaneously</w:t>
            </w:r>
          </w:p>
        </w:tc>
      </w:tr>
      <w:tr w:rsidR="00F94A90" w14:paraId="60832F96" w14:textId="77777777">
        <w:tc>
          <w:tcPr>
            <w:tcW w:w="9972" w:type="dxa"/>
            <w:shd w:val="clear" w:color="auto" w:fill="F5F0FF"/>
          </w:tcPr>
          <w:p w14:paraId="4F7BEEC1" w14:textId="77777777" w:rsidR="00F94A90" w:rsidRDefault="00000000">
            <w:r>
              <w:rPr>
                <w:sz w:val="20"/>
              </w:rPr>
              <w:t>Apply permethrin 5% cream to the whole body (including scalp/face in children and elderly) from neck down. Leave for 8–12 hours. Repeat after 7 days. Treat ALL close contacts at the same time — retreating one person while others remain infected will fail. Hot-wash clothing and bedding (&gt;50°C).</w:t>
            </w:r>
          </w:p>
        </w:tc>
      </w:tr>
    </w:tbl>
    <w:p w14:paraId="23C586A7" w14:textId="77777777" w:rsidR="00F94A90" w:rsidRDefault="00F94A90"/>
    <w:tbl>
      <w:tblPr>
        <w:tblStyle w:val="TableGrid"/>
        <w:tblW w:w="0" w:type="auto"/>
        <w:tblLook w:val="04A0" w:firstRow="1" w:lastRow="0" w:firstColumn="1" w:lastColumn="0" w:noHBand="0" w:noVBand="1"/>
      </w:tblPr>
      <w:tblGrid>
        <w:gridCol w:w="9972"/>
      </w:tblGrid>
      <w:tr w:rsidR="00F94A90" w14:paraId="798055E8" w14:textId="77777777">
        <w:tc>
          <w:tcPr>
            <w:tcW w:w="9972" w:type="dxa"/>
            <w:shd w:val="clear" w:color="auto" w:fill="C0392B"/>
          </w:tcPr>
          <w:p w14:paraId="6BCB837D" w14:textId="77777777" w:rsidR="00F94A90" w:rsidRDefault="00000000">
            <w:r>
              <w:rPr>
                <w:b/>
                <w:color w:val="FFFFFF"/>
                <w:sz w:val="24"/>
              </w:rPr>
              <w:t>6. Eczema herpeticum is a dermatological emergency</w:t>
            </w:r>
          </w:p>
        </w:tc>
      </w:tr>
      <w:tr w:rsidR="00F94A90" w14:paraId="20D36648" w14:textId="77777777">
        <w:tc>
          <w:tcPr>
            <w:tcW w:w="9972" w:type="dxa"/>
            <w:shd w:val="clear" w:color="auto" w:fill="FFE8E8"/>
          </w:tcPr>
          <w:p w14:paraId="4B6C9D17" w14:textId="77777777" w:rsidR="00F94A90" w:rsidRDefault="00000000">
            <w:r>
              <w:rPr>
                <w:sz w:val="20"/>
              </w:rPr>
              <w:t>Punched-out, monomorphic erosions on a background of atopic eczema — especially on the face. Caused by herpes simplex virus. Same-day urgent referral to dermatology. Start oral aciclovir 400mg 5× daily immediately. Do NOT mistake it for infected eczema and treat with antibiotics alone.</w:t>
            </w:r>
          </w:p>
        </w:tc>
      </w:tr>
    </w:tbl>
    <w:p w14:paraId="69079359" w14:textId="77777777" w:rsidR="00F94A90" w:rsidRDefault="00F94A90"/>
    <w:tbl>
      <w:tblPr>
        <w:tblStyle w:val="TableGrid"/>
        <w:tblW w:w="0" w:type="auto"/>
        <w:tblLook w:val="04A0" w:firstRow="1" w:lastRow="0" w:firstColumn="1" w:lastColumn="0" w:noHBand="0" w:noVBand="1"/>
      </w:tblPr>
      <w:tblGrid>
        <w:gridCol w:w="9972"/>
      </w:tblGrid>
      <w:tr w:rsidR="00F94A90" w14:paraId="150A63CF" w14:textId="77777777">
        <w:tc>
          <w:tcPr>
            <w:tcW w:w="9972" w:type="dxa"/>
            <w:shd w:val="clear" w:color="auto" w:fill="2E4057"/>
          </w:tcPr>
          <w:p w14:paraId="62ACAA33" w14:textId="77777777" w:rsidR="00F94A90" w:rsidRDefault="00000000">
            <w:r>
              <w:rPr>
                <w:b/>
                <w:color w:val="FFFFFF"/>
                <w:sz w:val="24"/>
              </w:rPr>
              <w:t>7. Confirm nail infection before treating onychomycosis</w:t>
            </w:r>
          </w:p>
        </w:tc>
      </w:tr>
      <w:tr w:rsidR="00F94A90" w14:paraId="08A222F7" w14:textId="77777777">
        <w:tc>
          <w:tcPr>
            <w:tcW w:w="9972" w:type="dxa"/>
            <w:shd w:val="clear" w:color="auto" w:fill="E8F0FF"/>
          </w:tcPr>
          <w:p w14:paraId="4AA3CAA6" w14:textId="77777777" w:rsidR="00F94A90" w:rsidRDefault="00000000">
            <w:r>
              <w:rPr>
                <w:sz w:val="20"/>
              </w:rPr>
              <w:t>Oral terbinafine (6 weeks fingernail, 12 weeks toenail) has significant side effects (hepatotoxicity). Always send nail clippings for microscopy and culture FIRST. Many "thick nails" are psoriasis, trauma, or lichen planus — not fungal. False positive treatment wastes resources and risks patient harm.</w:t>
            </w:r>
          </w:p>
        </w:tc>
      </w:tr>
    </w:tbl>
    <w:p w14:paraId="4F241D58" w14:textId="77777777" w:rsidR="00F94A90" w:rsidRDefault="00F94A90"/>
    <w:p w14:paraId="1C599748" w14:textId="77777777" w:rsidR="00534811" w:rsidRDefault="00534811"/>
    <w:tbl>
      <w:tblPr>
        <w:tblStyle w:val="TableGrid"/>
        <w:tblW w:w="0" w:type="auto"/>
        <w:tblLook w:val="04A0" w:firstRow="1" w:lastRow="0" w:firstColumn="1" w:lastColumn="0" w:noHBand="0" w:noVBand="1"/>
      </w:tblPr>
      <w:tblGrid>
        <w:gridCol w:w="9972"/>
      </w:tblGrid>
      <w:tr w:rsidR="00F94A90" w14:paraId="41F432C6" w14:textId="77777777">
        <w:tc>
          <w:tcPr>
            <w:tcW w:w="9972" w:type="dxa"/>
            <w:shd w:val="clear" w:color="auto" w:fill="16A085"/>
          </w:tcPr>
          <w:p w14:paraId="37869AFA" w14:textId="77777777" w:rsidR="00F94A90" w:rsidRDefault="00000000">
            <w:r>
              <w:rPr>
                <w:b/>
                <w:color w:val="FFFFFF"/>
                <w:sz w:val="24"/>
              </w:rPr>
              <w:lastRenderedPageBreak/>
              <w:t>8. Rosacea is not acne — do not treat with retinoids</w:t>
            </w:r>
          </w:p>
        </w:tc>
      </w:tr>
      <w:tr w:rsidR="00F94A90" w14:paraId="2A9AF7BF" w14:textId="77777777">
        <w:tc>
          <w:tcPr>
            <w:tcW w:w="9972" w:type="dxa"/>
            <w:shd w:val="clear" w:color="auto" w:fill="E8FFF0"/>
          </w:tcPr>
          <w:p w14:paraId="504CBA7C" w14:textId="77777777" w:rsidR="00F94A90" w:rsidRDefault="00000000">
            <w:r>
              <w:rPr>
                <w:sz w:val="20"/>
              </w:rPr>
              <w:t>Rosacea has NO comedones (blackheads/whiteheads). Central facial distribution; flushing; telangiectasia; papulopustular lesions. Retinoids worsen flushing/erythema. Treat with topical azelaic acid or ivermectin (Soolantra 1% cream) for mild-moderate. Oral doxycycline 40mg OD (Efracea — subantimicrobial dose) for moderate papulopustular rosacea.</w:t>
            </w:r>
          </w:p>
        </w:tc>
      </w:tr>
    </w:tbl>
    <w:p w14:paraId="161F25EB" w14:textId="77777777" w:rsidR="00F94A90" w:rsidRDefault="00F94A90"/>
    <w:tbl>
      <w:tblPr>
        <w:tblStyle w:val="TableGrid"/>
        <w:tblW w:w="0" w:type="auto"/>
        <w:tblLook w:val="04A0" w:firstRow="1" w:lastRow="0" w:firstColumn="1" w:lastColumn="0" w:noHBand="0" w:noVBand="1"/>
      </w:tblPr>
      <w:tblGrid>
        <w:gridCol w:w="9972"/>
      </w:tblGrid>
      <w:tr w:rsidR="00F94A90" w14:paraId="10A05F4D" w14:textId="77777777">
        <w:tc>
          <w:tcPr>
            <w:tcW w:w="9972" w:type="dxa"/>
            <w:shd w:val="clear" w:color="auto" w:fill="8E44AD"/>
          </w:tcPr>
          <w:p w14:paraId="43FE5F72" w14:textId="77777777" w:rsidR="00F94A90" w:rsidRDefault="00000000">
            <w:r>
              <w:rPr>
                <w:b/>
                <w:color w:val="FFFFFF"/>
                <w:sz w:val="24"/>
              </w:rPr>
              <w:t>9. Penicillin allergy: challenge the label</w:t>
            </w:r>
          </w:p>
        </w:tc>
      </w:tr>
      <w:tr w:rsidR="00F94A90" w14:paraId="60109892" w14:textId="77777777">
        <w:tc>
          <w:tcPr>
            <w:tcW w:w="9972" w:type="dxa"/>
            <w:shd w:val="clear" w:color="auto" w:fill="FFF0FF"/>
          </w:tcPr>
          <w:p w14:paraId="7374BA00" w14:textId="77777777" w:rsidR="00F94A90" w:rsidRDefault="00000000">
            <w:r>
              <w:rPr>
                <w:sz w:val="20"/>
              </w:rPr>
              <w:t>Only ~1% of patients labelled "penicillin allergic" have true IgE-mediated allergy on formal testing. Over-labelling leads to use of broader-spectrum antibiotics, higher C. difficile risk, higher costs, and worse patient outcomes. Document the reaction and timeline carefully. Consider formal de-labelling where appropriate — refer to allergy clinic.</w:t>
            </w:r>
          </w:p>
        </w:tc>
      </w:tr>
    </w:tbl>
    <w:p w14:paraId="77B9FB91" w14:textId="77777777" w:rsidR="00F94A90" w:rsidRDefault="00F94A90"/>
    <w:tbl>
      <w:tblPr>
        <w:tblStyle w:val="TableGrid"/>
        <w:tblW w:w="0" w:type="auto"/>
        <w:tblLook w:val="04A0" w:firstRow="1" w:lastRow="0" w:firstColumn="1" w:lastColumn="0" w:noHBand="0" w:noVBand="1"/>
      </w:tblPr>
      <w:tblGrid>
        <w:gridCol w:w="9972"/>
      </w:tblGrid>
      <w:tr w:rsidR="00F94A90" w14:paraId="31EB5800" w14:textId="77777777">
        <w:tc>
          <w:tcPr>
            <w:tcW w:w="9972" w:type="dxa"/>
            <w:shd w:val="clear" w:color="auto" w:fill="C0392B"/>
          </w:tcPr>
          <w:p w14:paraId="34F4E469" w14:textId="77777777" w:rsidR="00F94A90" w:rsidRDefault="00000000">
            <w:r>
              <w:rPr>
                <w:b/>
                <w:color w:val="FFFFFF"/>
                <w:sz w:val="24"/>
              </w:rPr>
              <w:t>10. Anaphylaxis: adrenaline FIRST, everything else after</w:t>
            </w:r>
          </w:p>
        </w:tc>
      </w:tr>
      <w:tr w:rsidR="00F94A90" w14:paraId="71EA89F9" w14:textId="77777777">
        <w:tc>
          <w:tcPr>
            <w:tcW w:w="9972" w:type="dxa"/>
            <w:shd w:val="clear" w:color="auto" w:fill="FFE8E8"/>
          </w:tcPr>
          <w:p w14:paraId="2C9BD942" w14:textId="77777777" w:rsidR="00F94A90" w:rsidRDefault="00000000">
            <w:r>
              <w:rPr>
                <w:sz w:val="20"/>
              </w:rPr>
              <w:t>IM adrenaline 1:1000 (0.5mg = 0.5ml for adults) into the outer thigh. Do NOT delay for antihistamines or steroids — they are secondary agents. Call 999. Prescribe TWO adrenaline auto-injectors on discharge. Write an action plan. Refer to allergy clinic. Take serum tryptase 1–6 hours post-reaction.</w:t>
            </w:r>
          </w:p>
        </w:tc>
      </w:tr>
    </w:tbl>
    <w:p w14:paraId="4DBBFCDC" w14:textId="77777777" w:rsidR="00F94A90" w:rsidRDefault="00F94A90"/>
    <w:p w14:paraId="3FE050E0" w14:textId="77777777" w:rsidR="00F94A90" w:rsidRDefault="00000000">
      <w:pPr>
        <w:pStyle w:val="Heading1"/>
      </w:pPr>
      <w:r>
        <w:t>Quick Reference: Key Thresholds &amp; Doses</w:t>
      </w:r>
    </w:p>
    <w:tbl>
      <w:tblPr>
        <w:tblStyle w:val="TableGrid"/>
        <w:tblW w:w="0" w:type="auto"/>
        <w:tblLook w:val="04A0" w:firstRow="1" w:lastRow="0" w:firstColumn="1" w:lastColumn="0" w:noHBand="0" w:noVBand="1"/>
      </w:tblPr>
      <w:tblGrid>
        <w:gridCol w:w="4986"/>
        <w:gridCol w:w="4986"/>
      </w:tblGrid>
      <w:tr w:rsidR="00F94A90" w14:paraId="13428589" w14:textId="77777777">
        <w:tc>
          <w:tcPr>
            <w:tcW w:w="4986" w:type="dxa"/>
            <w:shd w:val="clear" w:color="auto" w:fill="2E4057"/>
          </w:tcPr>
          <w:p w14:paraId="1B8B69C2" w14:textId="77777777" w:rsidR="00F94A90" w:rsidRDefault="00000000">
            <w:r>
              <w:rPr>
                <w:b/>
                <w:color w:val="FFFFFF"/>
                <w:sz w:val="20"/>
              </w:rPr>
              <w:t>Clinical Point</w:t>
            </w:r>
          </w:p>
        </w:tc>
        <w:tc>
          <w:tcPr>
            <w:tcW w:w="4986" w:type="dxa"/>
            <w:shd w:val="clear" w:color="auto" w:fill="2E4057"/>
          </w:tcPr>
          <w:p w14:paraId="4E64FCC9" w14:textId="77777777" w:rsidR="00F94A90" w:rsidRDefault="00000000">
            <w:r>
              <w:rPr>
                <w:b/>
                <w:color w:val="FFFFFF"/>
                <w:sz w:val="20"/>
              </w:rPr>
              <w:t>Key Number / Dose</w:t>
            </w:r>
          </w:p>
        </w:tc>
      </w:tr>
      <w:tr w:rsidR="00F94A90" w14:paraId="1D4885E0" w14:textId="77777777">
        <w:tc>
          <w:tcPr>
            <w:tcW w:w="4986" w:type="dxa"/>
            <w:shd w:val="clear" w:color="auto" w:fill="F5F5F5"/>
          </w:tcPr>
          <w:p w14:paraId="7A099C6D" w14:textId="77777777" w:rsidR="00F94A90" w:rsidRDefault="00000000">
            <w:r>
              <w:rPr>
                <w:sz w:val="20"/>
              </w:rPr>
              <w:t>ABPI safe for compression</w:t>
            </w:r>
          </w:p>
        </w:tc>
        <w:tc>
          <w:tcPr>
            <w:tcW w:w="4986" w:type="dxa"/>
            <w:shd w:val="clear" w:color="auto" w:fill="F5F5F5"/>
          </w:tcPr>
          <w:p w14:paraId="5DC3029F" w14:textId="77777777" w:rsidR="00F94A90" w:rsidRDefault="00000000">
            <w:r>
              <w:rPr>
                <w:sz w:val="20"/>
              </w:rPr>
              <w:t>0.8 – 1.3</w:t>
            </w:r>
          </w:p>
        </w:tc>
      </w:tr>
      <w:tr w:rsidR="00F94A90" w14:paraId="49E42387" w14:textId="77777777">
        <w:tc>
          <w:tcPr>
            <w:tcW w:w="4986" w:type="dxa"/>
          </w:tcPr>
          <w:p w14:paraId="02449C60" w14:textId="77777777" w:rsidR="00F94A90" w:rsidRDefault="00000000">
            <w:r>
              <w:rPr>
                <w:sz w:val="20"/>
              </w:rPr>
              <w:t>7-point checklist — 2WW threshold</w:t>
            </w:r>
          </w:p>
        </w:tc>
        <w:tc>
          <w:tcPr>
            <w:tcW w:w="4986" w:type="dxa"/>
          </w:tcPr>
          <w:p w14:paraId="1D2FB29E" w14:textId="77777777" w:rsidR="00F94A90" w:rsidRDefault="00000000">
            <w:r>
              <w:rPr>
                <w:sz w:val="20"/>
              </w:rPr>
              <w:t>Score ≥3</w:t>
            </w:r>
          </w:p>
        </w:tc>
      </w:tr>
      <w:tr w:rsidR="00F94A90" w14:paraId="6244811E" w14:textId="77777777">
        <w:tc>
          <w:tcPr>
            <w:tcW w:w="4986" w:type="dxa"/>
            <w:shd w:val="clear" w:color="auto" w:fill="F5F5F5"/>
          </w:tcPr>
          <w:p w14:paraId="5033D180" w14:textId="77777777" w:rsidR="00F94A90" w:rsidRDefault="00000000">
            <w:r>
              <w:rPr>
                <w:sz w:val="20"/>
              </w:rPr>
              <w:t>Adrenaline — adult anaphylaxis</w:t>
            </w:r>
          </w:p>
        </w:tc>
        <w:tc>
          <w:tcPr>
            <w:tcW w:w="4986" w:type="dxa"/>
            <w:shd w:val="clear" w:color="auto" w:fill="F5F5F5"/>
          </w:tcPr>
          <w:p w14:paraId="6EF90512" w14:textId="77777777" w:rsidR="00F94A90" w:rsidRDefault="00000000">
            <w:r>
              <w:rPr>
                <w:sz w:val="20"/>
              </w:rPr>
              <w:t>0.5mg IM (0.5ml of 1:1000)</w:t>
            </w:r>
          </w:p>
        </w:tc>
      </w:tr>
      <w:tr w:rsidR="00F94A90" w14:paraId="529B475D" w14:textId="77777777">
        <w:tc>
          <w:tcPr>
            <w:tcW w:w="4986" w:type="dxa"/>
          </w:tcPr>
          <w:p w14:paraId="791A4638" w14:textId="77777777" w:rsidR="00F94A90" w:rsidRDefault="00000000">
            <w:r>
              <w:rPr>
                <w:sz w:val="20"/>
              </w:rPr>
              <w:t>EpiPen — adult dose</w:t>
            </w:r>
          </w:p>
        </w:tc>
        <w:tc>
          <w:tcPr>
            <w:tcW w:w="4986" w:type="dxa"/>
          </w:tcPr>
          <w:p w14:paraId="0004C8E2" w14:textId="77777777" w:rsidR="00F94A90" w:rsidRDefault="00000000">
            <w:r>
              <w:rPr>
                <w:sz w:val="20"/>
              </w:rPr>
              <w:t>0.3mg (&gt;30kg)</w:t>
            </w:r>
          </w:p>
        </w:tc>
      </w:tr>
      <w:tr w:rsidR="00F94A90" w14:paraId="7E1A68DF" w14:textId="77777777">
        <w:tc>
          <w:tcPr>
            <w:tcW w:w="4986" w:type="dxa"/>
            <w:shd w:val="clear" w:color="auto" w:fill="F5F5F5"/>
          </w:tcPr>
          <w:p w14:paraId="2A0D9CA5" w14:textId="77777777" w:rsidR="00F94A90" w:rsidRDefault="00000000">
            <w:r>
              <w:rPr>
                <w:sz w:val="20"/>
              </w:rPr>
              <w:t>Permethrin — scabies</w:t>
            </w:r>
          </w:p>
        </w:tc>
        <w:tc>
          <w:tcPr>
            <w:tcW w:w="4986" w:type="dxa"/>
            <w:shd w:val="clear" w:color="auto" w:fill="F5F5F5"/>
          </w:tcPr>
          <w:p w14:paraId="673F2FD2" w14:textId="77777777" w:rsidR="00F94A90" w:rsidRDefault="00000000">
            <w:r>
              <w:rPr>
                <w:sz w:val="20"/>
              </w:rPr>
              <w:t>5% cream × 2, 7 days apart; all contacts</w:t>
            </w:r>
          </w:p>
        </w:tc>
      </w:tr>
      <w:tr w:rsidR="00F94A90" w14:paraId="76CDA761" w14:textId="77777777">
        <w:tc>
          <w:tcPr>
            <w:tcW w:w="4986" w:type="dxa"/>
          </w:tcPr>
          <w:p w14:paraId="56362E31" w14:textId="77777777" w:rsidR="00F94A90" w:rsidRDefault="00000000">
            <w:r>
              <w:rPr>
                <w:sz w:val="20"/>
              </w:rPr>
              <w:t>Aciclovir — eczema herpeticum (adult)</w:t>
            </w:r>
          </w:p>
        </w:tc>
        <w:tc>
          <w:tcPr>
            <w:tcW w:w="4986" w:type="dxa"/>
          </w:tcPr>
          <w:p w14:paraId="7796FF50" w14:textId="77777777" w:rsidR="00F94A90" w:rsidRDefault="00000000">
            <w:r>
              <w:rPr>
                <w:sz w:val="20"/>
              </w:rPr>
              <w:t>400mg 5× daily × 5–10 days</w:t>
            </w:r>
          </w:p>
        </w:tc>
      </w:tr>
      <w:tr w:rsidR="00F94A90" w14:paraId="2B53F3D8" w14:textId="77777777">
        <w:tc>
          <w:tcPr>
            <w:tcW w:w="4986" w:type="dxa"/>
            <w:shd w:val="clear" w:color="auto" w:fill="F5F5F5"/>
          </w:tcPr>
          <w:p w14:paraId="4A9B363D" w14:textId="77777777" w:rsidR="00F94A90" w:rsidRDefault="00000000">
            <w:r>
              <w:rPr>
                <w:sz w:val="20"/>
              </w:rPr>
              <w:t>Aciclovir — herpes zoster (adult)</w:t>
            </w:r>
          </w:p>
        </w:tc>
        <w:tc>
          <w:tcPr>
            <w:tcW w:w="4986" w:type="dxa"/>
            <w:shd w:val="clear" w:color="auto" w:fill="F5F5F5"/>
          </w:tcPr>
          <w:p w14:paraId="3F7CA1B2" w14:textId="77777777" w:rsidR="00F94A90" w:rsidRDefault="00000000">
            <w:r>
              <w:rPr>
                <w:sz w:val="20"/>
              </w:rPr>
              <w:t>800mg 5× daily × 7 days (or valaciclovir 1g TDS × 7 days)</w:t>
            </w:r>
          </w:p>
        </w:tc>
      </w:tr>
      <w:tr w:rsidR="00F94A90" w14:paraId="0F939ABF" w14:textId="77777777">
        <w:tc>
          <w:tcPr>
            <w:tcW w:w="4986" w:type="dxa"/>
          </w:tcPr>
          <w:p w14:paraId="4EBE7890" w14:textId="77777777" w:rsidR="00F94A90" w:rsidRDefault="00000000">
            <w:r>
              <w:rPr>
                <w:sz w:val="20"/>
              </w:rPr>
              <w:t>Emollient quantity — adult eczema</w:t>
            </w:r>
          </w:p>
        </w:tc>
        <w:tc>
          <w:tcPr>
            <w:tcW w:w="4986" w:type="dxa"/>
          </w:tcPr>
          <w:p w14:paraId="7C241702" w14:textId="77777777" w:rsidR="00F94A90" w:rsidRDefault="00000000">
            <w:r>
              <w:rPr>
                <w:sz w:val="20"/>
              </w:rPr>
              <w:t>~500g/week</w:t>
            </w:r>
          </w:p>
        </w:tc>
      </w:tr>
      <w:tr w:rsidR="00F94A90" w14:paraId="3A3AB974" w14:textId="77777777">
        <w:tc>
          <w:tcPr>
            <w:tcW w:w="4986" w:type="dxa"/>
            <w:shd w:val="clear" w:color="auto" w:fill="F5F5F5"/>
          </w:tcPr>
          <w:p w14:paraId="2CA43DF8" w14:textId="77777777" w:rsidR="00F94A90" w:rsidRDefault="00000000">
            <w:r>
              <w:rPr>
                <w:sz w:val="20"/>
              </w:rPr>
              <w:t>Terbinafine — toenail fungal</w:t>
            </w:r>
          </w:p>
        </w:tc>
        <w:tc>
          <w:tcPr>
            <w:tcW w:w="4986" w:type="dxa"/>
            <w:shd w:val="clear" w:color="auto" w:fill="F5F5F5"/>
          </w:tcPr>
          <w:p w14:paraId="33EA2FDB" w14:textId="77777777" w:rsidR="00F94A90" w:rsidRDefault="00000000">
            <w:r>
              <w:rPr>
                <w:sz w:val="20"/>
              </w:rPr>
              <w:t>250mg OD × 12 weeks (confirm with clippings first)</w:t>
            </w:r>
          </w:p>
        </w:tc>
      </w:tr>
      <w:tr w:rsidR="00F94A90" w14:paraId="3A77F649" w14:textId="77777777">
        <w:tc>
          <w:tcPr>
            <w:tcW w:w="4986" w:type="dxa"/>
          </w:tcPr>
          <w:p w14:paraId="79E96942" w14:textId="77777777" w:rsidR="00F94A90" w:rsidRDefault="00000000">
            <w:r>
              <w:rPr>
                <w:sz w:val="20"/>
              </w:rPr>
              <w:t>Doxycycline — rosacea (subantimicrobial)</w:t>
            </w:r>
          </w:p>
        </w:tc>
        <w:tc>
          <w:tcPr>
            <w:tcW w:w="4986" w:type="dxa"/>
          </w:tcPr>
          <w:p w14:paraId="0A780C2E" w14:textId="77777777" w:rsidR="00F94A90" w:rsidRDefault="00000000">
            <w:r>
              <w:rPr>
                <w:sz w:val="20"/>
              </w:rPr>
              <w:t>40mg OD (Efracea); 100mg standard dose for acne</w:t>
            </w:r>
          </w:p>
        </w:tc>
      </w:tr>
      <w:tr w:rsidR="00F94A90" w14:paraId="11334638" w14:textId="77777777">
        <w:tc>
          <w:tcPr>
            <w:tcW w:w="4986" w:type="dxa"/>
            <w:shd w:val="clear" w:color="auto" w:fill="F5F5F5"/>
          </w:tcPr>
          <w:p w14:paraId="2730237D" w14:textId="77777777" w:rsidR="00F94A90" w:rsidRDefault="00000000">
            <w:r>
              <w:rPr>
                <w:sz w:val="20"/>
              </w:rPr>
              <w:t>Lymecycline — acne</w:t>
            </w:r>
          </w:p>
        </w:tc>
        <w:tc>
          <w:tcPr>
            <w:tcW w:w="4986" w:type="dxa"/>
            <w:shd w:val="clear" w:color="auto" w:fill="F5F5F5"/>
          </w:tcPr>
          <w:p w14:paraId="7CCE4B7F" w14:textId="77777777" w:rsidR="00F94A90" w:rsidRDefault="00000000">
            <w:r>
              <w:rPr>
                <w:sz w:val="20"/>
              </w:rPr>
              <w:t>408mg OD × 12 weeks minimum</w:t>
            </w:r>
          </w:p>
        </w:tc>
      </w:tr>
      <w:tr w:rsidR="00F94A90" w14:paraId="6B25E568" w14:textId="77777777">
        <w:tc>
          <w:tcPr>
            <w:tcW w:w="4986" w:type="dxa"/>
          </w:tcPr>
          <w:p w14:paraId="77198837" w14:textId="77777777" w:rsidR="00F94A90" w:rsidRDefault="00000000">
            <w:r>
              <w:rPr>
                <w:sz w:val="20"/>
              </w:rPr>
              <w:t>Flucloxacillin — cellulitis/impetigo (adult)</w:t>
            </w:r>
          </w:p>
        </w:tc>
        <w:tc>
          <w:tcPr>
            <w:tcW w:w="4986" w:type="dxa"/>
          </w:tcPr>
          <w:p w14:paraId="298B96D3" w14:textId="77777777" w:rsidR="00F94A90" w:rsidRDefault="00000000">
            <w:r>
              <w:rPr>
                <w:sz w:val="20"/>
              </w:rPr>
              <w:t>500mg QDS × 7 days</w:t>
            </w:r>
          </w:p>
        </w:tc>
      </w:tr>
    </w:tbl>
    <w:p w14:paraId="27DEAEEF" w14:textId="77777777" w:rsidR="00F94A90" w:rsidRDefault="00F94A90"/>
    <w:tbl>
      <w:tblPr>
        <w:tblStyle w:val="TableGrid"/>
        <w:tblW w:w="0" w:type="auto"/>
        <w:tblLook w:val="04A0" w:firstRow="1" w:lastRow="0" w:firstColumn="1" w:lastColumn="0" w:noHBand="0" w:noVBand="1"/>
      </w:tblPr>
      <w:tblGrid>
        <w:gridCol w:w="9972"/>
      </w:tblGrid>
      <w:tr w:rsidR="00F94A90" w14:paraId="348C4137" w14:textId="77777777">
        <w:tc>
          <w:tcPr>
            <w:tcW w:w="9972" w:type="dxa"/>
            <w:shd w:val="clear" w:color="auto" w:fill="FFF3CD"/>
          </w:tcPr>
          <w:p w14:paraId="24E9CCE2" w14:textId="77777777" w:rsidR="00F94A90" w:rsidRDefault="00F94A90"/>
          <w:p w14:paraId="3865CD93" w14:textId="77777777" w:rsidR="00F94A90" w:rsidRDefault="00000000">
            <w:r>
              <w:t>⚠ Disclaimer: Always double check this advice and drug doses with the latest NICE/BNF guidance. This document is for educational purposes only.</w:t>
            </w:r>
          </w:p>
        </w:tc>
      </w:tr>
    </w:tbl>
    <w:p w14:paraId="03AEB965" w14:textId="77777777" w:rsidR="00F94A90" w:rsidRDefault="00F94A90"/>
    <w:sectPr w:rsidR="00F94A90" w:rsidSect="00034616">
      <w:footerReference w:type="default" r:id="rId8"/>
      <w:pgSz w:w="12240" w:h="15840"/>
      <w:pgMar w:top="850" w:right="1134" w:bottom="85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A1479" w14:textId="77777777" w:rsidR="008C5243" w:rsidRDefault="008C5243">
      <w:pPr>
        <w:spacing w:after="0" w:line="240" w:lineRule="auto"/>
      </w:pPr>
      <w:r>
        <w:separator/>
      </w:r>
    </w:p>
  </w:endnote>
  <w:endnote w:type="continuationSeparator" w:id="0">
    <w:p w14:paraId="13B41F4D" w14:textId="77777777" w:rsidR="008C5243" w:rsidRDefault="008C5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D781" w14:textId="77777777" w:rsidR="00F94A90" w:rsidRDefault="00000000">
    <w:pPr>
      <w:pStyle w:val="Footer"/>
    </w:pPr>
    <w:r>
      <w:rPr>
        <w:color w:val="777777"/>
        <w:sz w:val="16"/>
      </w:rPr>
      <w:t>A free resource provided by www.bradfordvts.co.uk, Dr Ramesh Mehay, revised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0DEF0" w14:textId="77777777" w:rsidR="008C5243" w:rsidRDefault="008C5243">
      <w:pPr>
        <w:spacing w:after="0" w:line="240" w:lineRule="auto"/>
      </w:pPr>
      <w:r>
        <w:separator/>
      </w:r>
    </w:p>
  </w:footnote>
  <w:footnote w:type="continuationSeparator" w:id="0">
    <w:p w14:paraId="046E4F13" w14:textId="77777777" w:rsidR="008C5243" w:rsidRDefault="008C52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34477346">
    <w:abstractNumId w:val="8"/>
  </w:num>
  <w:num w:numId="2" w16cid:durableId="1390423382">
    <w:abstractNumId w:val="6"/>
  </w:num>
  <w:num w:numId="3" w16cid:durableId="539168781">
    <w:abstractNumId w:val="5"/>
  </w:num>
  <w:num w:numId="4" w16cid:durableId="1898273140">
    <w:abstractNumId w:val="4"/>
  </w:num>
  <w:num w:numId="5" w16cid:durableId="595945951">
    <w:abstractNumId w:val="7"/>
  </w:num>
  <w:num w:numId="6" w16cid:durableId="1272856471">
    <w:abstractNumId w:val="3"/>
  </w:num>
  <w:num w:numId="7" w16cid:durableId="1399784410">
    <w:abstractNumId w:val="2"/>
  </w:num>
  <w:num w:numId="8" w16cid:durableId="849757789">
    <w:abstractNumId w:val="1"/>
  </w:num>
  <w:num w:numId="9" w16cid:durableId="739450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34811"/>
    <w:rsid w:val="008C5243"/>
    <w:rsid w:val="00956D77"/>
    <w:rsid w:val="00AA1D8D"/>
    <w:rsid w:val="00B47730"/>
    <w:rsid w:val="00CB0664"/>
    <w:rsid w:val="00F94A9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3AA250"/>
  <w14:defaultImageDpi w14:val="300"/>
  <w15:docId w15:val="{A774A030-9E8B-4048-B4C3-740F8F34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685</Words>
  <Characters>3906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3</cp:revision>
  <dcterms:created xsi:type="dcterms:W3CDTF">2013-12-23T23:15:00Z</dcterms:created>
  <dcterms:modified xsi:type="dcterms:W3CDTF">2026-05-09T13:52:00Z</dcterms:modified>
  <cp:category/>
</cp:coreProperties>
</file>