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71073E" w14:paraId="7580ED9E" w14:textId="77777777">
        <w:trPr>
          <w:jc w:val="center"/>
        </w:trPr>
        <w:tc>
          <w:tcPr>
            <w:tcW w:w="9638" w:type="dxa"/>
            <w:shd w:val="clear" w:color="auto" w:fill="E0651F"/>
          </w:tcPr>
          <w:p w14:paraId="1AC53F07" w14:textId="77777777" w:rsidR="0071073E" w:rsidRDefault="00000000">
            <w:pPr>
              <w:jc w:val="center"/>
            </w:pPr>
            <w:r>
              <w:rPr>
                <w:b/>
                <w:caps/>
                <w:color w:val="FFFFFF"/>
              </w:rPr>
              <w:t>BRADFORD VTS TEACHING AIDS</w:t>
            </w:r>
          </w:p>
          <w:p w14:paraId="1C0FB2E8" w14:textId="77777777" w:rsidR="0071073E" w:rsidRDefault="00000000">
            <w:pPr>
              <w:jc w:val="center"/>
            </w:pPr>
            <w:r>
              <w:rPr>
                <w:b/>
                <w:color w:val="FFFFFF"/>
                <w:sz w:val="56"/>
              </w:rPr>
              <w:t>T2DM Medication Algorithm: NICE NG28 February 2026</w:t>
            </w:r>
          </w:p>
          <w:p w14:paraId="214F2D13" w14:textId="77777777" w:rsidR="0071073E" w:rsidRDefault="00000000">
            <w:pPr>
              <w:jc w:val="center"/>
            </w:pPr>
            <w:r>
              <w:rPr>
                <w:i/>
                <w:color w:val="FFE0CC"/>
                <w:sz w:val="26"/>
              </w:rPr>
              <w:t>Seven Comorbidity Pathways · Bradford VTS · May 2026</w:t>
            </w:r>
          </w:p>
        </w:tc>
      </w:tr>
    </w:tbl>
    <w:p w14:paraId="6E28BDAF" w14:textId="77777777" w:rsidR="0071073E" w:rsidRDefault="0071073E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71073E" w14:paraId="5AA2F4DF" w14:textId="77777777">
        <w:tc>
          <w:tcPr>
            <w:tcW w:w="9406" w:type="dxa"/>
            <w:shd w:val="clear" w:color="auto" w:fill="FDECEA"/>
          </w:tcPr>
          <w:p w14:paraId="2C01C302" w14:textId="77777777" w:rsidR="0071073E" w:rsidRDefault="00000000">
            <w:r>
              <w:rPr>
                <w:b/>
                <w:color w:val="B30000"/>
              </w:rPr>
              <w:t xml:space="preserve">⭐ HEADLINE CHANGE — February 2026: </w:t>
            </w:r>
            <w:r>
              <w:rPr>
                <w:color w:val="B30000"/>
              </w:rPr>
              <w:t>NICE NG28 was significantly updated in February 2026. The major change: SGLT2 inhibitors are now FIRST-LINE alongside metformin MR for ALL people with T2DM, regardless of comorbidities. Seven separate pathways account for key comorbidities. This replaces the previous "add SGLT2i only for CVD/CKD" approach.</w:t>
            </w:r>
          </w:p>
        </w:tc>
      </w:tr>
    </w:tbl>
    <w:p w14:paraId="6148B567" w14:textId="4899880C" w:rsidR="0071073E" w:rsidRDefault="00000000">
      <w:r>
        <w:rPr>
          <w:b/>
          <w:color w:val="1F4E79"/>
          <w:sz w:val="28"/>
        </w:rPr>
        <w:t>Before Prescribing — Always Do These First</w:t>
      </w:r>
    </w:p>
    <w:p w14:paraId="3D641FE9" w14:textId="77777777" w:rsidR="0071073E" w:rsidRDefault="00000000">
      <w:r>
        <w:t>✅ Reinforce diet and lifestyle at every consultation</w:t>
      </w:r>
      <w:r>
        <w:br/>
        <w:t>✅ Assess: obesity, cardiovascular status, heart failure status, renal function, frailty</w:t>
      </w:r>
      <w:r>
        <w:br/>
        <w:t>✅ Discuss benefits and risks of each medicine with patient (shared decision-making)</w:t>
      </w:r>
      <w:r>
        <w:br/>
        <w:t>✅ Check for contraindications to each drug class</w:t>
      </w:r>
      <w:r>
        <w:br/>
        <w:t>✅ Before SGLT2i: DKA history? Dehydration risk? Ketogenic diet?</w:t>
      </w:r>
      <w:r>
        <w:br/>
        <w:t>✅ If more than one comorbidity: discuss which to prioritise with patient</w:t>
      </w:r>
      <w:r>
        <w:br/>
        <w:t>✅ Provide personalised sick day rules at initiation</w:t>
      </w:r>
    </w:p>
    <w:p w14:paraId="45291246" w14:textId="77777777" w:rsidR="0071073E" w:rsidRDefault="00000000">
      <w:r>
        <w:rPr>
          <w:b/>
          <w:color w:val="1F4E79"/>
          <w:sz w:val="28"/>
        </w:rPr>
        <w:t>The Seven Comorbidity Pathways (NICE NG28 February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71073E" w14:paraId="20CF7412" w14:textId="77777777">
        <w:tc>
          <w:tcPr>
            <w:tcW w:w="3135" w:type="dxa"/>
            <w:shd w:val="clear" w:color="auto" w:fill="1F4E79"/>
          </w:tcPr>
          <w:p w14:paraId="53AEDF18" w14:textId="77777777" w:rsidR="0071073E" w:rsidRDefault="00000000">
            <w:r>
              <w:rPr>
                <w:b/>
                <w:color w:val="FFFFFF"/>
              </w:rPr>
              <w:t>Comorbidity / Group</w:t>
            </w:r>
          </w:p>
        </w:tc>
        <w:tc>
          <w:tcPr>
            <w:tcW w:w="3135" w:type="dxa"/>
            <w:shd w:val="clear" w:color="auto" w:fill="1F4E79"/>
          </w:tcPr>
          <w:p w14:paraId="76B1897C" w14:textId="77777777" w:rsidR="0071073E" w:rsidRDefault="00000000">
            <w:r>
              <w:rPr>
                <w:b/>
                <w:color w:val="FFFFFF"/>
              </w:rPr>
              <w:t>First-Line Treatment</w:t>
            </w:r>
          </w:p>
        </w:tc>
        <w:tc>
          <w:tcPr>
            <w:tcW w:w="3135" w:type="dxa"/>
            <w:shd w:val="clear" w:color="auto" w:fill="1F4E79"/>
          </w:tcPr>
          <w:p w14:paraId="13F45E39" w14:textId="77777777" w:rsidR="0071073E" w:rsidRDefault="00000000">
            <w:r>
              <w:rPr>
                <w:b/>
                <w:color w:val="FFFFFF"/>
              </w:rPr>
              <w:t>Notes</w:t>
            </w:r>
          </w:p>
        </w:tc>
      </w:tr>
      <w:tr w:rsidR="0071073E" w14:paraId="5D865C4B" w14:textId="77777777">
        <w:tc>
          <w:tcPr>
            <w:tcW w:w="3135" w:type="dxa"/>
            <w:shd w:val="clear" w:color="auto" w:fill="FFFFFF"/>
          </w:tcPr>
          <w:p w14:paraId="51A49554" w14:textId="77777777" w:rsidR="0071073E" w:rsidRDefault="00000000">
            <w:r>
              <w:rPr>
                <w:sz w:val="18"/>
              </w:rPr>
              <w:t>No relevant comorbidity</w:t>
            </w:r>
          </w:p>
        </w:tc>
        <w:tc>
          <w:tcPr>
            <w:tcW w:w="3135" w:type="dxa"/>
            <w:shd w:val="clear" w:color="auto" w:fill="FFFFFF"/>
          </w:tcPr>
          <w:p w14:paraId="32019999" w14:textId="77777777" w:rsidR="0071073E" w:rsidRDefault="00000000">
            <w:r>
              <w:rPr>
                <w:sz w:val="18"/>
              </w:rPr>
              <w:t>Metformin MR + SGLT2 inhibitor</w:t>
            </w:r>
          </w:p>
        </w:tc>
        <w:tc>
          <w:tcPr>
            <w:tcW w:w="3135" w:type="dxa"/>
            <w:shd w:val="clear" w:color="auto" w:fill="FFFFFF"/>
          </w:tcPr>
          <w:p w14:paraId="026E5382" w14:textId="77777777" w:rsidR="0071073E" w:rsidRDefault="00000000">
            <w:r>
              <w:rPr>
                <w:sz w:val="18"/>
              </w:rPr>
              <w:t>If metformin CI: SGLT2i monotherapy</w:t>
            </w:r>
          </w:p>
        </w:tc>
      </w:tr>
      <w:tr w:rsidR="0071073E" w14:paraId="7DB6B78D" w14:textId="77777777">
        <w:tc>
          <w:tcPr>
            <w:tcW w:w="3135" w:type="dxa"/>
            <w:shd w:val="clear" w:color="auto" w:fill="EBF5FB"/>
          </w:tcPr>
          <w:p w14:paraId="068FA0B0" w14:textId="77777777" w:rsidR="0071073E" w:rsidRDefault="00000000">
            <w:r>
              <w:rPr>
                <w:sz w:val="18"/>
              </w:rPr>
              <w:t>Obesity (BMI ≥30 or ≥27.5 South Asian)</w:t>
            </w:r>
          </w:p>
        </w:tc>
        <w:tc>
          <w:tcPr>
            <w:tcW w:w="3135" w:type="dxa"/>
            <w:shd w:val="clear" w:color="auto" w:fill="EBF5FB"/>
          </w:tcPr>
          <w:p w14:paraId="4F143895" w14:textId="77777777" w:rsidR="0071073E" w:rsidRDefault="00000000">
            <w:r>
              <w:rPr>
                <w:sz w:val="18"/>
              </w:rPr>
              <w:t>Metformin MR + SGLT2 inhibitor</w:t>
            </w:r>
          </w:p>
        </w:tc>
        <w:tc>
          <w:tcPr>
            <w:tcW w:w="3135" w:type="dxa"/>
            <w:shd w:val="clear" w:color="auto" w:fill="EBF5FB"/>
          </w:tcPr>
          <w:p w14:paraId="55CB9241" w14:textId="77777777" w:rsidR="0071073E" w:rsidRDefault="00000000">
            <w:r>
              <w:rPr>
                <w:sz w:val="18"/>
              </w:rPr>
              <w:t>Add GLP-1 RA or tirzepatide if further glucose-lowering needed. If metformin CI: SGLT2i → then consider GLP-1 RA/tirzepatide</w:t>
            </w:r>
          </w:p>
        </w:tc>
      </w:tr>
      <w:tr w:rsidR="0071073E" w14:paraId="17826226" w14:textId="77777777">
        <w:tc>
          <w:tcPr>
            <w:tcW w:w="3135" w:type="dxa"/>
            <w:shd w:val="clear" w:color="auto" w:fill="FFFFFF"/>
          </w:tcPr>
          <w:p w14:paraId="65ACAAA9" w14:textId="77777777" w:rsidR="0071073E" w:rsidRDefault="00000000">
            <w:r>
              <w:rPr>
                <w:sz w:val="18"/>
              </w:rPr>
              <w:t>Atherosclerotic CVD (ASCVD)</w:t>
            </w:r>
          </w:p>
        </w:tc>
        <w:tc>
          <w:tcPr>
            <w:tcW w:w="3135" w:type="dxa"/>
            <w:shd w:val="clear" w:color="auto" w:fill="FFFFFF"/>
          </w:tcPr>
          <w:p w14:paraId="2C1BFAC6" w14:textId="77777777" w:rsidR="0071073E" w:rsidRDefault="00000000">
            <w:r>
              <w:rPr>
                <w:sz w:val="18"/>
              </w:rPr>
              <w:t>Metformin MR + SGLT2 inhibitor + semaglutide SC (up to 1mg weekly)</w:t>
            </w:r>
          </w:p>
        </w:tc>
        <w:tc>
          <w:tcPr>
            <w:tcW w:w="3135" w:type="dxa"/>
            <w:shd w:val="clear" w:color="auto" w:fill="FFFFFF"/>
          </w:tcPr>
          <w:p w14:paraId="48704E8D" w14:textId="77777777" w:rsidR="0071073E" w:rsidRDefault="00000000">
            <w:r>
              <w:rPr>
                <w:sz w:val="18"/>
              </w:rPr>
              <w:t>TRIPLE first-line therapy. Initiate sequentially. If metformin CI: SGLT2i + semaglutide SC</w:t>
            </w:r>
          </w:p>
        </w:tc>
      </w:tr>
      <w:tr w:rsidR="0071073E" w14:paraId="51989CC3" w14:textId="77777777">
        <w:tc>
          <w:tcPr>
            <w:tcW w:w="3135" w:type="dxa"/>
            <w:shd w:val="clear" w:color="auto" w:fill="EBF5FB"/>
          </w:tcPr>
          <w:p w14:paraId="7FFC06FF" w14:textId="77777777" w:rsidR="0071073E" w:rsidRDefault="00000000">
            <w:r>
              <w:rPr>
                <w:sz w:val="18"/>
              </w:rPr>
              <w:t>Heart Failure</w:t>
            </w:r>
          </w:p>
        </w:tc>
        <w:tc>
          <w:tcPr>
            <w:tcW w:w="3135" w:type="dxa"/>
            <w:shd w:val="clear" w:color="auto" w:fill="EBF5FB"/>
          </w:tcPr>
          <w:p w14:paraId="02A55183" w14:textId="77777777" w:rsidR="0071073E" w:rsidRDefault="00000000">
            <w:r>
              <w:rPr>
                <w:sz w:val="18"/>
              </w:rPr>
              <w:t>Metformin MR + SGLT2 inhibitor</w:t>
            </w:r>
          </w:p>
        </w:tc>
        <w:tc>
          <w:tcPr>
            <w:tcW w:w="3135" w:type="dxa"/>
            <w:shd w:val="clear" w:color="auto" w:fill="EBF5FB"/>
          </w:tcPr>
          <w:p w14:paraId="1B34BF39" w14:textId="77777777" w:rsidR="0071073E" w:rsidRDefault="00000000">
            <w:r>
              <w:rPr>
                <w:sz w:val="18"/>
              </w:rPr>
              <w:t>Avoid pioglitazone (fluid retention). If metformin CI: SGLT2i monotherapy</w:t>
            </w:r>
          </w:p>
        </w:tc>
      </w:tr>
      <w:tr w:rsidR="0071073E" w14:paraId="399C5A8C" w14:textId="77777777">
        <w:tc>
          <w:tcPr>
            <w:tcW w:w="3135" w:type="dxa"/>
            <w:shd w:val="clear" w:color="auto" w:fill="FFFFFF"/>
          </w:tcPr>
          <w:p w14:paraId="66C2D861" w14:textId="77777777" w:rsidR="0071073E" w:rsidRDefault="00000000">
            <w:r>
              <w:rPr>
                <w:sz w:val="18"/>
              </w:rPr>
              <w:t>Chronic Kidney Disease (CKD)</w:t>
            </w:r>
          </w:p>
        </w:tc>
        <w:tc>
          <w:tcPr>
            <w:tcW w:w="3135" w:type="dxa"/>
            <w:shd w:val="clear" w:color="auto" w:fill="FFFFFF"/>
          </w:tcPr>
          <w:p w14:paraId="5BF3DE86" w14:textId="77777777" w:rsidR="0071073E" w:rsidRDefault="00000000">
            <w:r>
              <w:rPr>
                <w:sz w:val="18"/>
              </w:rPr>
              <w:t>eGFR &gt;30: Metformin MR + SGLT2i</w:t>
            </w:r>
            <w:r>
              <w:rPr>
                <w:sz w:val="18"/>
              </w:rPr>
              <w:br/>
              <w:t>eGFR 20–30: Dapagliflozin or empagliflozin + DPP4i</w:t>
            </w:r>
            <w:r>
              <w:rPr>
                <w:sz w:val="18"/>
              </w:rPr>
              <w:br/>
              <w:t>eGFR &lt;20: DPP4i (linagliptin preferred)</w:t>
            </w:r>
          </w:p>
        </w:tc>
        <w:tc>
          <w:tcPr>
            <w:tcW w:w="3135" w:type="dxa"/>
            <w:shd w:val="clear" w:color="auto" w:fill="FFFFFF"/>
          </w:tcPr>
          <w:p w14:paraId="35AC99FD" w14:textId="77777777" w:rsidR="0071073E" w:rsidRDefault="00000000">
            <w:r>
              <w:rPr>
                <w:sz w:val="18"/>
              </w:rPr>
              <w:t>Stop metformin if eGFR &lt;30; reduce to 1g/day if eGFR 30–45. Continue SGLT2i for renal protection even at lower eGFR.</w:t>
            </w:r>
          </w:p>
        </w:tc>
      </w:tr>
      <w:tr w:rsidR="0071073E" w14:paraId="27C2344E" w14:textId="77777777">
        <w:tc>
          <w:tcPr>
            <w:tcW w:w="3135" w:type="dxa"/>
            <w:shd w:val="clear" w:color="auto" w:fill="EBF5FB"/>
          </w:tcPr>
          <w:p w14:paraId="3E4A8C52" w14:textId="77777777" w:rsidR="0071073E" w:rsidRDefault="00000000">
            <w:r>
              <w:rPr>
                <w:sz w:val="18"/>
              </w:rPr>
              <w:t>Early-onset T2DM (onset &lt;40 years)</w:t>
            </w:r>
          </w:p>
        </w:tc>
        <w:tc>
          <w:tcPr>
            <w:tcW w:w="3135" w:type="dxa"/>
            <w:shd w:val="clear" w:color="auto" w:fill="EBF5FB"/>
          </w:tcPr>
          <w:p w14:paraId="4CF5E900" w14:textId="77777777" w:rsidR="0071073E" w:rsidRDefault="00000000">
            <w:r>
              <w:rPr>
                <w:sz w:val="18"/>
              </w:rPr>
              <w:t>Metformin MR + SGLT2 inhibitor + consider GLP-1 RA or tirzepatide</w:t>
            </w:r>
          </w:p>
        </w:tc>
        <w:tc>
          <w:tcPr>
            <w:tcW w:w="3135" w:type="dxa"/>
            <w:shd w:val="clear" w:color="auto" w:fill="EBF5FB"/>
          </w:tcPr>
          <w:p w14:paraId="10F87C38" w14:textId="77777777" w:rsidR="0071073E" w:rsidRDefault="00000000">
            <w:r>
              <w:rPr>
                <w:sz w:val="18"/>
              </w:rPr>
              <w:t>High lifetime CVD risk → earlier use of GLP-1 RA/tirzepatide reduces risk</w:t>
            </w:r>
          </w:p>
        </w:tc>
      </w:tr>
      <w:tr w:rsidR="0071073E" w14:paraId="77B62052" w14:textId="77777777">
        <w:tc>
          <w:tcPr>
            <w:tcW w:w="3135" w:type="dxa"/>
            <w:shd w:val="clear" w:color="auto" w:fill="FFFFFF"/>
          </w:tcPr>
          <w:p w14:paraId="605D6482" w14:textId="77777777" w:rsidR="0071073E" w:rsidRDefault="00000000">
            <w:r>
              <w:rPr>
                <w:sz w:val="18"/>
              </w:rPr>
              <w:t>Frailty</w:t>
            </w:r>
          </w:p>
        </w:tc>
        <w:tc>
          <w:tcPr>
            <w:tcW w:w="3135" w:type="dxa"/>
            <w:shd w:val="clear" w:color="auto" w:fill="FFFFFF"/>
          </w:tcPr>
          <w:p w14:paraId="79E5B6B3" w14:textId="77777777" w:rsidR="0071073E" w:rsidRDefault="00000000">
            <w:r>
              <w:rPr>
                <w:sz w:val="18"/>
              </w:rPr>
              <w:t>Metformin MR alone (add SGLT2i only if frailty does not risk adverse effects)</w:t>
            </w:r>
          </w:p>
        </w:tc>
        <w:tc>
          <w:tcPr>
            <w:tcW w:w="3135" w:type="dxa"/>
            <w:shd w:val="clear" w:color="auto" w:fill="FFFFFF"/>
          </w:tcPr>
          <w:p w14:paraId="7C9EEB4F" w14:textId="77777777" w:rsidR="0071073E" w:rsidRDefault="00000000">
            <w:r>
              <w:rPr>
                <w:sz w:val="18"/>
              </w:rPr>
              <w:t>If metformin CI + frailty OK with SGLT2i: SGLT2i. If metformin CI + frailty NOT OK with SGLT2i: DPP4i. Relaxed HbA1c target (58+). Minimise medications.</w:t>
            </w:r>
          </w:p>
        </w:tc>
      </w:tr>
    </w:tbl>
    <w:p w14:paraId="2102D5EA" w14:textId="77777777" w:rsidR="0071073E" w:rsidRDefault="0071073E"/>
    <w:p w14:paraId="04D529AF" w14:textId="77777777" w:rsidR="0071073E" w:rsidRDefault="00000000">
      <w:r>
        <w:rPr>
          <w:b/>
          <w:color w:val="1F4E79"/>
          <w:sz w:val="28"/>
        </w:rPr>
        <w:t>Additional Therapies (Step 2 if Targets Not Met)</w:t>
      </w:r>
    </w:p>
    <w:p w14:paraId="00ACD07B" w14:textId="77777777" w:rsidR="0071073E" w:rsidRDefault="00000000">
      <w:r>
        <w:t>• DPP-4 inhibitor — if additional glucose lowering needed but GLP-1 RA/tirzepatide not indicated or not used</w:t>
      </w:r>
      <w:r>
        <w:br/>
        <w:t xml:space="preserve">  → Do NOT combine DPP4i with GLP-1 RA or tirzepatide</w:t>
      </w:r>
      <w:r>
        <w:br/>
        <w:t>• GLP-1 RA or tirzepatide — if further glucose lowering or weight loss needed (especially obesity/early-onset pathways)</w:t>
      </w:r>
      <w:r>
        <w:br/>
        <w:t>• Sulfonylurea — if DPP4i CI/not tolerated and GLP-1 RA not appropriate; eGFR &gt;30</w:t>
      </w:r>
      <w:r>
        <w:br/>
        <w:t>• Pioglitazone — if DPP4i CI/not tolerated/not effective; avoid in HF, bladder cancer</w:t>
      </w:r>
      <w:r>
        <w:br/>
        <w:t>• Insulin — if HbA1c remains above individualised target despite optimised oral/injectable therapy</w:t>
      </w:r>
      <w:r>
        <w:br/>
      </w:r>
      <w:r>
        <w:br/>
        <w:t>Continuing medications when targets reached:</w:t>
      </w:r>
      <w:r>
        <w:br/>
        <w:t>• Continue SGLT2i for CV/renal benefits even if glycaemic target met</w:t>
      </w:r>
      <w:r>
        <w:br/>
        <w:t>• Stop GLP-1 RA/tirzepatide if BMI &lt;18.5 or not achieving targets AND not prescribed for CVD benefit</w:t>
      </w:r>
    </w:p>
    <w:p w14:paraId="00C6B11D" w14:textId="77777777" w:rsidR="0071073E" w:rsidRDefault="00000000" w:rsidP="00E96D07">
      <w:pPr>
        <w:spacing w:after="0"/>
      </w:pPr>
      <w:r>
        <w:rPr>
          <w:b/>
          <w:color w:val="1F4E79"/>
          <w:sz w:val="28"/>
        </w:rPr>
        <w:t>HbA1c Targets (NICE NG28 February 2026)</w:t>
      </w:r>
    </w:p>
    <w:p w14:paraId="61856260" w14:textId="77777777" w:rsidR="0071073E" w:rsidRDefault="00000000">
      <w:r>
        <w:t>• 48 mmol/mol (6.5%): Target if on diet alone OR single non-hypoglycaemic drug</w:t>
      </w:r>
      <w:r>
        <w:br/>
        <w:t>• 53 mmol/mol (7.0%): Target if on drug(s) with hypo risk (SU, insulin) OR ≥2 drugs</w:t>
      </w:r>
      <w:r>
        <w:br/>
        <w:t>• 58 mmol/mol (7.5%) or relaxed: Frailty, limited life expectancy, recurrent hypoglycaemia, patient preference</w:t>
      </w:r>
      <w:r>
        <w:br/>
        <w:t>• 75 mmol/mol (9.0%): Consider insulin initiation if HbA1c at or above this on maximised therapy</w:t>
      </w:r>
      <w:r>
        <w:br/>
      </w:r>
      <w:r>
        <w:br/>
        <w:t>Measure HbA1c: Every 3 months until stable → then 6-monthly</w:t>
      </w:r>
    </w:p>
    <w:p w14:paraId="551BF518" w14:textId="77777777" w:rsidR="0071073E" w:rsidRDefault="00000000" w:rsidP="00E96D07">
      <w:pPr>
        <w:spacing w:after="0"/>
      </w:pPr>
      <w:r>
        <w:rPr>
          <w:b/>
          <w:color w:val="1F4E79"/>
          <w:sz w:val="28"/>
        </w:rPr>
        <w:t>Insulin Initiation (T2DM)</w:t>
      </w:r>
    </w:p>
    <w:p w14:paraId="2C9680BF" w14:textId="77777777" w:rsidR="0071073E" w:rsidRDefault="00000000">
      <w:r>
        <w:t>When: HbA1c above individualised target despite optimised oral/injectable therapy</w:t>
      </w:r>
      <w:r>
        <w:br/>
        <w:t>Initial insulin: Once-daily or twice-daily BASAL insulin (long-acting analogue)</w:t>
      </w:r>
      <w:r>
        <w:br/>
        <w:t>• Start: 10 units long-acting (glargine/detemir/degludec) at bedtime</w:t>
      </w:r>
      <w:r>
        <w:br/>
        <w:t>• Titrate: Increase by 2 units every 3 days if fasting BG consistently &gt;7 mmol/L</w:t>
      </w:r>
      <w:r>
        <w:br/>
        <w:t>• If HbA1c ≥75 mmol/mol: consider basal + rapid-acting (or pre-mixed) from outset</w:t>
      </w:r>
      <w:r>
        <w:br/>
        <w:t>Continue: Metformin MR + SGLT2i when starting insulin (cardiorenal benefit persists)</w:t>
      </w:r>
      <w:r>
        <w:br/>
        <w:t>Biosimilar insulin: use least expensive option for new initiations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71073E" w14:paraId="3E5FA7E9" w14:textId="77777777">
        <w:tc>
          <w:tcPr>
            <w:tcW w:w="9406" w:type="dxa"/>
            <w:shd w:val="clear" w:color="auto" w:fill="F0F8FF"/>
          </w:tcPr>
          <w:p w14:paraId="24D5EFDD" w14:textId="77777777" w:rsidR="0071073E" w:rsidRDefault="00000000">
            <w:r>
              <w:rPr>
                <w:b/>
                <w:color w:val="003366"/>
              </w:rPr>
              <w:t xml:space="preserve">📝 AKT Rapid Summary: </w:t>
            </w:r>
            <w:r>
              <w:rPr>
                <w:color w:val="003366"/>
              </w:rPr>
              <w:t>AKT summary of NICE NG28 Feb 2026:</w:t>
            </w:r>
            <w:r>
              <w:rPr>
                <w:color w:val="003366"/>
              </w:rPr>
              <w:br/>
              <w:t>• First-line = Metformin MR + SGLT2i (for ALL T2DM)</w:t>
            </w:r>
            <w:r>
              <w:rPr>
                <w:color w:val="003366"/>
              </w:rPr>
              <w:br/>
              <w:t>• ASCVD = triple first-line: metformin MR + SGLT2i + semaglutide SC</w:t>
            </w:r>
            <w:r>
              <w:rPr>
                <w:color w:val="003366"/>
              </w:rPr>
              <w:br/>
              <w:t>• CKD eGFR 20–30: dapagliflozin/empagliflozin + DPP4i</w:t>
            </w:r>
            <w:r>
              <w:rPr>
                <w:color w:val="003366"/>
              </w:rPr>
              <w:br/>
              <w:t>• Frailty: metformin MR alone; relaxed HbA1c target</w:t>
            </w:r>
            <w:r>
              <w:rPr>
                <w:color w:val="003366"/>
              </w:rPr>
              <w:br/>
              <w:t>• Linagliptin: only DPP4i without renal dose adjustment</w:t>
            </w:r>
            <w:r>
              <w:rPr>
                <w:color w:val="003366"/>
              </w:rPr>
              <w:br/>
              <w:t>• Tirzepatide: early-onset + obesity pathways</w:t>
            </w:r>
            <w:r>
              <w:rPr>
                <w:color w:val="003366"/>
              </w:rPr>
              <w:br/>
              <w:t>• Pioglitazone: avoid in HF</w:t>
            </w:r>
            <w:r>
              <w:rPr>
                <w:color w:val="003366"/>
              </w:rPr>
              <w:br/>
              <w:t>• Glibenclamide: avoid in elderly/renal impairment</w:t>
            </w:r>
          </w:p>
        </w:tc>
      </w:tr>
    </w:tbl>
    <w:p w14:paraId="76B95914" w14:textId="77777777" w:rsidR="0071073E" w:rsidRDefault="0071073E"/>
    <w:p w14:paraId="3F9B4063" w14:textId="77777777" w:rsidR="0071073E" w:rsidRDefault="0071073E"/>
    <w:p w14:paraId="4201F400" w14:textId="77777777" w:rsidR="0071073E" w:rsidRDefault="00000000">
      <w:pPr>
        <w:jc w:val="center"/>
      </w:pPr>
      <w:r>
        <w:rPr>
          <w:i/>
          <w:color w:val="606060"/>
          <w:sz w:val="18"/>
        </w:rPr>
        <w:t>A free resource provided by www.bradfordvts.co.uk, Dr Ramesh Mehay, revised May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71073E" w14:paraId="277E157F" w14:textId="77777777">
        <w:tc>
          <w:tcPr>
            <w:tcW w:w="9406" w:type="dxa"/>
            <w:shd w:val="clear" w:color="auto" w:fill="FFF3CD"/>
          </w:tcPr>
          <w:p w14:paraId="5FFA7C44" w14:textId="77777777" w:rsidR="0071073E" w:rsidRDefault="00000000">
            <w:r>
              <w:rPr>
                <w:b/>
                <w:color w:val="7D4A00"/>
              </w:rPr>
              <w:t xml:space="preserve">⚠ Disclaimer: </w:t>
            </w:r>
            <w:r>
              <w:rPr>
                <w:color w:val="7D4A00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2B0B65FB" w14:textId="77777777" w:rsidR="0071073E" w:rsidRDefault="0071073E"/>
    <w:sectPr w:rsidR="0071073E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8259320">
    <w:abstractNumId w:val="8"/>
  </w:num>
  <w:num w:numId="2" w16cid:durableId="386992992">
    <w:abstractNumId w:val="6"/>
  </w:num>
  <w:num w:numId="3" w16cid:durableId="1205479322">
    <w:abstractNumId w:val="5"/>
  </w:num>
  <w:num w:numId="4" w16cid:durableId="844709953">
    <w:abstractNumId w:val="4"/>
  </w:num>
  <w:num w:numId="5" w16cid:durableId="282613108">
    <w:abstractNumId w:val="7"/>
  </w:num>
  <w:num w:numId="6" w16cid:durableId="1821650458">
    <w:abstractNumId w:val="3"/>
  </w:num>
  <w:num w:numId="7" w16cid:durableId="945238371">
    <w:abstractNumId w:val="2"/>
  </w:num>
  <w:num w:numId="8" w16cid:durableId="1163353098">
    <w:abstractNumId w:val="1"/>
  </w:num>
  <w:num w:numId="9" w16cid:durableId="123247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18E9"/>
    <w:rsid w:val="0071073E"/>
    <w:rsid w:val="00AA1D8D"/>
    <w:rsid w:val="00B47730"/>
    <w:rsid w:val="00CB0664"/>
    <w:rsid w:val="00E96D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8CFEBE"/>
  <w14:defaultImageDpi w14:val="300"/>
  <w15:docId w15:val="{50CC3A7D-2B33-4E12-BFF7-88FF0E7F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4208</Characters>
  <Application>Microsoft Office Word</Application>
  <DocSecurity>0</DocSecurity>
  <Lines>107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2026-05-08T14:09:00Z</dcterms:modified>
  <cp:category/>
</cp:coreProperties>
</file>