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8969A2" w14:paraId="611CB382" w14:textId="77777777">
        <w:trPr>
          <w:jc w:val="center"/>
        </w:trPr>
        <w:tc>
          <w:tcPr>
            <w:tcW w:w="9638" w:type="dxa"/>
            <w:shd w:val="clear" w:color="auto" w:fill="E0651F"/>
          </w:tcPr>
          <w:p w14:paraId="2066DA63" w14:textId="77777777" w:rsidR="008969A2" w:rsidRDefault="00000000">
            <w:pPr>
              <w:jc w:val="center"/>
            </w:pPr>
            <w:r>
              <w:rPr>
                <w:b/>
                <w:caps/>
                <w:color w:val="FFFFFF"/>
              </w:rPr>
              <w:t>BRADFORD VTS TEACHING AIDS</w:t>
            </w:r>
          </w:p>
          <w:p w14:paraId="24D4CA94" w14:textId="77777777" w:rsidR="008969A2" w:rsidRDefault="00000000">
            <w:pPr>
              <w:jc w:val="center"/>
            </w:pPr>
            <w:r>
              <w:rPr>
                <w:b/>
                <w:color w:val="FFFFFF"/>
                <w:sz w:val="56"/>
              </w:rPr>
              <w:t>T2DM Drug Formulary: Non-Insulin Agents</w:t>
            </w:r>
          </w:p>
          <w:p w14:paraId="126C559A" w14:textId="77777777" w:rsidR="008969A2" w:rsidRDefault="00000000">
            <w:pPr>
              <w:jc w:val="center"/>
            </w:pPr>
            <w:r>
              <w:rPr>
                <w:i/>
                <w:color w:val="FFE0CC"/>
                <w:sz w:val="26"/>
              </w:rPr>
              <w:t>Verified to NICE NG28 February 2026 &amp; BNF 2026 · Bradford VTS · May 2026</w:t>
            </w:r>
          </w:p>
        </w:tc>
      </w:tr>
    </w:tbl>
    <w:p w14:paraId="251F75C5" w14:textId="77777777" w:rsidR="008969A2" w:rsidRDefault="008969A2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8969A2" w14:paraId="687343B8" w14:textId="77777777">
        <w:tc>
          <w:tcPr>
            <w:tcW w:w="9406" w:type="dxa"/>
            <w:shd w:val="clear" w:color="auto" w:fill="E8F4FD"/>
          </w:tcPr>
          <w:p w14:paraId="42F5BD7D" w14:textId="77777777" w:rsidR="008969A2" w:rsidRDefault="00000000">
            <w:r>
              <w:rPr>
                <w:b/>
                <w:color w:val="0B3D6B"/>
              </w:rPr>
              <w:t xml:space="preserve">⭐ HEADLINE — NICE NG28 FEBRUARY 2026: </w:t>
            </w:r>
            <w:r>
              <w:rPr>
                <w:color w:val="0B3D6B"/>
              </w:rPr>
              <w:t>NICE NG28 (February 2026) updated first-line treatment to metformin MR + SGLT2 inhibitor for ALL people with T2DM (unless contraindicated). This is the biggest change in T2DM management in a decade. This formulary covers all non-insulin agents with current doses, contraindications, and safety monitoring.</w:t>
            </w:r>
          </w:p>
        </w:tc>
      </w:tr>
    </w:tbl>
    <w:p w14:paraId="28F9C57C" w14:textId="77777777" w:rsidR="008969A2" w:rsidRDefault="008969A2"/>
    <w:p w14:paraId="1119DF25" w14:textId="77777777" w:rsidR="008969A2" w:rsidRDefault="00000000">
      <w:r>
        <w:rPr>
          <w:b/>
          <w:color w:val="1F4E79"/>
          <w:sz w:val="28"/>
        </w:rPr>
        <w:t>1. METFORMIN — FIRST-LINE (Biguanide)</w:t>
      </w:r>
    </w:p>
    <w:p w14:paraId="289251A7" w14:textId="77777777" w:rsidR="008969A2" w:rsidRDefault="00000000">
      <w:r>
        <w:t>MOA: Reduces hepatic glucose output; improves peripheral insulin sensitivity; minimal hypoglycaemia risk</w:t>
      </w:r>
      <w:r>
        <w:br/>
      </w:r>
      <w:r>
        <w:br/>
        <w:t>Preparation (NICE NG28 Feb 2026): MODIFIED-RELEASE (MR) PREFERRED</w:t>
      </w:r>
      <w:r>
        <w:br/>
        <w:t>• Better GI tolerability, improved adherence, similar cost</w:t>
      </w:r>
      <w:r>
        <w:br/>
        <w:t>• Standard-release: can continue if effective and tolerated; can crush (dysphagia patients)</w:t>
      </w:r>
      <w:r>
        <w:br/>
      </w:r>
      <w:r>
        <w:br/>
        <w:t>Dosing (BNF 2026):</w:t>
      </w:r>
      <w:r>
        <w:br/>
        <w:t>• Week 1: Metformin MR 500mg OD with evening meal</w:t>
      </w:r>
      <w:r>
        <w:br/>
        <w:t>• Week 2: 500mg BD</w:t>
      </w:r>
      <w:r>
        <w:br/>
        <w:t>• Week 3: Titrate to 1g–2g OD (max 2g OD or 1g BD)</w:t>
      </w:r>
      <w:r>
        <w:br/>
        <w:t>• Max dose: 2g/day (some guidelines allow 2.5g in large patients)</w:t>
      </w:r>
      <w:r>
        <w:br/>
      </w:r>
      <w:r>
        <w:br/>
        <w:t>eGFR adjustments:</w:t>
      </w:r>
      <w:r>
        <w:br/>
        <w:t>• eGFR ≥45: standard dosing</w:t>
      </w:r>
      <w:r>
        <w:br/>
        <w:t>• eGFR 30–44: reduce maximum dose to 1g/day</w:t>
      </w:r>
      <w:r>
        <w:br/>
        <w:t>• eGFR &lt;30: CONTRAINDICATED — STOP</w:t>
      </w:r>
      <w:r>
        <w:br/>
      </w:r>
      <w:r>
        <w:br/>
        <w:t>Contraindications: eGFR &lt;30, severe hepatic impairment, acute illness with dehydration (SADMAN)</w:t>
      </w:r>
      <w:r>
        <w:br/>
        <w:t>Special: Safe in pregnancy; caution in alcoholics; sick day rules apply</w:t>
      </w:r>
      <w:r>
        <w:br/>
        <w:t>Side effects: Nausea, diarrhoea, metallic taste (much less common with MR)</w:t>
      </w:r>
      <w:r>
        <w:br/>
        <w:t>Monitoring: Annual eGFR and LFTs</w:t>
      </w:r>
    </w:p>
    <w:p w14:paraId="5816FAEC" w14:textId="77777777" w:rsidR="00561EA6" w:rsidRDefault="00561EA6"/>
    <w:p w14:paraId="10534AE3" w14:textId="77777777" w:rsidR="008969A2" w:rsidRDefault="00000000">
      <w:r>
        <w:rPr>
          <w:b/>
          <w:color w:val="1F4E79"/>
          <w:sz w:val="28"/>
        </w:rPr>
        <w:lastRenderedPageBreak/>
        <w:t>2. SGLT2 INHIBITORS — FIRST-LINE (Gliflozins)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8969A2" w14:paraId="71D2E7C5" w14:textId="77777777">
        <w:tc>
          <w:tcPr>
            <w:tcW w:w="9406" w:type="dxa"/>
            <w:shd w:val="clear" w:color="auto" w:fill="E8F8F1"/>
          </w:tcPr>
          <w:p w14:paraId="666CAA6C" w14:textId="77777777" w:rsidR="008969A2" w:rsidRDefault="00000000">
            <w:r>
              <w:rPr>
                <w:b/>
                <w:color w:val="0B5E35"/>
              </w:rPr>
              <w:t xml:space="preserve">⭐ NEW 2026: </w:t>
            </w:r>
            <w:r>
              <w:rPr>
                <w:color w:val="0B5E35"/>
              </w:rPr>
              <w:t>NOW FIRST-LINE FOR ALL T2DM (NICE NG28 February 2026) — not just for those with CVD/CKD!</w:t>
            </w:r>
            <w:r>
              <w:rPr>
                <w:color w:val="0B5E35"/>
              </w:rPr>
              <w:br/>
              <w:t>Benefits: CV protection, renal protection, heart failure benefit, weight loss, low hypo risk.</w:t>
            </w:r>
          </w:p>
        </w:tc>
      </w:tr>
    </w:tbl>
    <w:p w14:paraId="4312580B" w14:textId="77777777" w:rsidR="008969A2" w:rsidRDefault="008969A2"/>
    <w:p w14:paraId="31C871FE" w14:textId="77777777" w:rsidR="008969A2" w:rsidRDefault="00000000">
      <w:r>
        <w:t>Agents (BNF 2026):</w:t>
      </w:r>
      <w:r>
        <w:br/>
        <w:t>• Dapagliflozin (Forxiga) 10mg OD — now generic; most cost-effective choice</w:t>
      </w:r>
      <w:r>
        <w:br/>
        <w:t>• Empagliflozin (Jardiance) 10–25mg OD — can titrate to 25mg for additional HbA1c/weight benefit</w:t>
      </w:r>
      <w:r>
        <w:br/>
        <w:t>• Canagliflozin (Invokana) 100mg OD → 300mg OD if tolerated</w:t>
      </w:r>
      <w:r>
        <w:br/>
      </w:r>
      <w:r>
        <w:br/>
        <w:t>eGFR thresholds (NICE NG28 Feb 2026):</w:t>
      </w:r>
      <w:r>
        <w:br/>
        <w:t>• eGFR &gt;30: initiate (full glycaemic + cardiorenal benefit)</w:t>
      </w:r>
      <w:r>
        <w:br/>
        <w:t>• eGFR 20–30: dapagliflozin or empagliflozin for CKD cardiorenal protection (NICE TA775/TA942)</w:t>
      </w:r>
      <w:r>
        <w:br/>
        <w:t>• eGFR &lt;20: avoid for glycaemic use</w:t>
      </w:r>
      <w:r>
        <w:br/>
      </w:r>
      <w:r>
        <w:br/>
        <w:t>Before initiating — ALWAYS CHECK:</w:t>
      </w:r>
      <w:r>
        <w:br/>
        <w:t>• Previous DKA (contraindicated)</w:t>
      </w:r>
      <w:r>
        <w:br/>
        <w:t>• Risk of dehydration/volume depletion</w:t>
      </w:r>
      <w:r>
        <w:br/>
        <w:t>• Very low carbohydrate / ketogenic diet (DKA risk)</w:t>
      </w:r>
      <w:r>
        <w:br/>
        <w:t>• Active UTI or recurrent genital infections (relative caution)</w:t>
      </w:r>
      <w:r>
        <w:br/>
        <w:t>• Do NOT start during intercurrent illness</w:t>
      </w:r>
      <w:r>
        <w:br/>
      </w:r>
      <w:r>
        <w:br/>
        <w:t>Side effects: Genital thrush/UTIs, Fournier's gangrene (rare — urgent surgery), euglycaemic DKA (check ketones if unwell), polyuria, postural hypotension</w:t>
      </w:r>
      <w:r>
        <w:br/>
        <w:t>MHRA: Stop in acute illness; check ketones if unwell; DKA risk even with near-normal glucose</w:t>
      </w:r>
      <w:r>
        <w:br/>
        <w:t>STOP for: Surgery/procedures requiring fasting; contrast procedures; acute illness; ketogenic diet</w:t>
      </w:r>
      <w:r>
        <w:br/>
        <w:t>Contraindications: DKA history, eGFR &lt;20 (glycaemic use), pregnancy</w:t>
      </w:r>
    </w:p>
    <w:p w14:paraId="71C9E880" w14:textId="77777777" w:rsidR="008969A2" w:rsidRDefault="00000000">
      <w:r>
        <w:rPr>
          <w:b/>
          <w:color w:val="1F4E79"/>
          <w:sz w:val="28"/>
        </w:rPr>
        <w:t>3. GLP-1 RECEPTOR AGONISTS</w:t>
      </w:r>
    </w:p>
    <w:p w14:paraId="69E95E6C" w14:textId="77777777" w:rsidR="008969A2" w:rsidRDefault="00000000">
      <w:r>
        <w:t>MOA: Stimulate glucose-dependent insulin release; suppress glucagon; delay gastric emptying; reduce appetite</w:t>
      </w:r>
      <w:r>
        <w:br/>
      </w:r>
      <w:r>
        <w:br/>
        <w:t>Agents (BNF 2026):</w:t>
      </w:r>
      <w:r>
        <w:br/>
        <w:t>• Semaglutide SC (Ozempic): 0.25mg weekly → 0.5mg → 1mg (NICE NG28: up to 1mg for T2DM)</w:t>
      </w:r>
      <w:r>
        <w:br/>
        <w:t>• Dulaglutide (Trulicity): 0.75mg → 1.5mg weekly SC</w:t>
      </w:r>
      <w:r>
        <w:br/>
        <w:t>• Liraglutide (Victoza): 0.6mg → 1.2mg → 1.8mg OD SC</w:t>
      </w:r>
      <w:r>
        <w:br/>
        <w:t>• Oral semaglutide (Rybelsus): 3mg → 7mg → 14mg OD (on empty stomach, 30 min before food)</w:t>
      </w:r>
      <w:r>
        <w:br/>
      </w:r>
      <w:r>
        <w:br/>
        <w:t>When to use (NICE NG28 Feb 2026):</w:t>
      </w:r>
      <w:r>
        <w:br/>
        <w:t>• ASCVD pathway: subcutaneous semaglutide (up to 1mg) as FIRST-LINE TRIPLE therapy with metformin + SGLT2i</w:t>
      </w:r>
      <w:r>
        <w:br/>
      </w:r>
      <w:r>
        <w:lastRenderedPageBreak/>
        <w:t>• Early-onset T2DM (&lt;40y): consider GLP-1 RA or tirzepatide as first additional therapy</w:t>
      </w:r>
      <w:r>
        <w:br/>
        <w:t>• Obesity: consider as additional therapy if further glucose-lowering/weight loss needed</w:t>
      </w:r>
      <w:r>
        <w:br/>
        <w:t>• Do NOT combine with DPP-4 inhibitors (same mechanism class)</w:t>
      </w:r>
      <w:r>
        <w:br/>
      </w:r>
      <w:r>
        <w:br/>
        <w:t>Key benefits: Significant weight loss, proven CV outcomes (LEADER, SUSTAIN-6, PIONEER 6), low hypo risk</w:t>
      </w:r>
      <w:r>
        <w:br/>
      </w:r>
      <w:r>
        <w:br/>
        <w:t>Side effects: Nausea (most common; usually transient), vomiting, diarrhoea, pancreatitis (rare), NAION (very rare visual loss with semaglutide)</w:t>
      </w:r>
      <w:r>
        <w:br/>
        <w:t>MHRA: Pancreatitis warning; GLP-1 use in pregnancy; NAION — urgent ophthalmology if sudden vision loss</w:t>
      </w:r>
      <w:r>
        <w:br/>
        <w:t>Stop if: BMI &lt;18.5; not achieving glycaemic/weight targets (and not for CVD benefit)</w:t>
      </w:r>
      <w:r>
        <w:br/>
        <w:t>Contraindications: Personal/family history medullary thyroid cancer or MEN2, pancreatitis, pregnancy</w:t>
      </w:r>
    </w:p>
    <w:p w14:paraId="38D8530A" w14:textId="77777777" w:rsidR="008969A2" w:rsidRDefault="00000000">
      <w:r>
        <w:rPr>
          <w:b/>
          <w:color w:val="1F4E79"/>
          <w:sz w:val="28"/>
        </w:rPr>
        <w:t>4. TIRZEPATIDE (Mounjaro) — NEW 2026</w:t>
      </w:r>
    </w:p>
    <w:p w14:paraId="5DF67F7F" w14:textId="77777777" w:rsidR="008969A2" w:rsidRDefault="00000000">
      <w:r>
        <w:t>MOA: Dual GIP/GLP-1 receptor agonist — greater HbA1c and weight reduction than GLP-1 RA monotherapy</w:t>
      </w:r>
      <w:r>
        <w:br/>
        <w:t>Dose: 2.5mg SC weekly → titrate to 5mg, 10mg, 15mg at 4-weekly intervals (max 15mg/week)</w:t>
      </w:r>
      <w:r>
        <w:br/>
        <w:t>NICE NG28 Feb 2026: consider for early-onset T2DM (&lt;40y) and obesity pathway</w:t>
      </w:r>
      <w:r>
        <w:br/>
        <w:t>NOT yet recommended for ASCVD pathway (evidence pending at Feb 2026 guideline)</w:t>
      </w:r>
      <w:r>
        <w:br/>
        <w:t>Side effects: Similar to GLP-1 RA (nausea, diarrhoea, pancreatitis risk)</w:t>
      </w:r>
      <w:r>
        <w:br/>
        <w:t>Contraindications: Similar to GLP-1 RA; pregnancy; MEN2; personal/family history of medullary thyroid cancer</w:t>
      </w:r>
    </w:p>
    <w:p w14:paraId="5486154F" w14:textId="77777777" w:rsidR="008969A2" w:rsidRDefault="00000000">
      <w:r>
        <w:rPr>
          <w:b/>
          <w:color w:val="1F4E79"/>
          <w:sz w:val="28"/>
        </w:rPr>
        <w:t>5. DPP-4 INHIBITORS (Gliptins)</w:t>
      </w:r>
    </w:p>
    <w:p w14:paraId="36EC604D" w14:textId="77777777" w:rsidR="008969A2" w:rsidRDefault="00000000">
      <w:r>
        <w:t>MOA: Inhibit DPP-4 → increase endogenous GLP-1/GIP → glucose-dependent insulin release</w:t>
      </w:r>
      <w:r>
        <w:br/>
        <w:t>Now used mainly as ADDITIONAL therapy (not first-line); prioritise GLP-1 RA/tirzepatide where indicated</w:t>
      </w:r>
      <w:r>
        <w:br/>
        <w:t>Do NOT use alongside GLP-1 RA or tirzepatide</w:t>
      </w:r>
      <w:r>
        <w:br/>
      </w:r>
      <w:r>
        <w:br/>
        <w:t>Agents &amp; doses (BNF 2026):</w:t>
      </w:r>
      <w:r>
        <w:br/>
        <w:t>• Sitagliptin (Januvia) 100mg OD — reduce to 50mg if eGFR 30–50; 25mg if eGFR &lt;30</w:t>
      </w:r>
      <w:r>
        <w:br/>
        <w:t>• Alogliptin (Vipidia) 25mg OD — reduce to 12.5mg if eGFR 30–60; 6.25mg if eGFR &lt;30</w:t>
      </w:r>
      <w:r>
        <w:br/>
        <w:t>• Linagliptin (Trajenta) 5mg OD — NO renal dose adjustment (biliary excretion); use across all eGFR ranges</w:t>
      </w:r>
      <w:r>
        <w:br/>
        <w:t>• Saxagliptin: AVOID in heart failure (increased hospitalisation risk)</w:t>
      </w:r>
      <w:r>
        <w:br/>
      </w:r>
      <w:r>
        <w:br/>
        <w:t>Benefits: Weight neutral, low hypo risk, well tolerated</w:t>
      </w:r>
      <w:r>
        <w:br/>
        <w:t>Side effects: Nasopharyngitis, UTI, arthralgia, pancreatitis (rare), cholangiocarcinoma (rare)</w:t>
      </w:r>
      <w:r>
        <w:br/>
        <w:t>Key point: Linagliptin = only DPP4i not requiring renal dose adjustment — remember for AKT!</w:t>
      </w:r>
    </w:p>
    <w:p w14:paraId="4A44DFE2" w14:textId="77777777" w:rsidR="00561EA6" w:rsidRDefault="00561EA6">
      <w:pPr>
        <w:rPr>
          <w:b/>
          <w:color w:val="1F4E79"/>
          <w:sz w:val="28"/>
        </w:rPr>
      </w:pPr>
    </w:p>
    <w:p w14:paraId="76DDE0A1" w14:textId="77777777" w:rsidR="00561EA6" w:rsidRDefault="00561EA6">
      <w:pPr>
        <w:rPr>
          <w:b/>
          <w:color w:val="1F4E79"/>
          <w:sz w:val="28"/>
        </w:rPr>
      </w:pPr>
    </w:p>
    <w:p w14:paraId="25373354" w14:textId="4F4DCDD2" w:rsidR="008969A2" w:rsidRDefault="00000000">
      <w:r>
        <w:rPr>
          <w:b/>
          <w:color w:val="1F4E79"/>
          <w:sz w:val="28"/>
        </w:rPr>
        <w:lastRenderedPageBreak/>
        <w:t>6. SULFONYLUREAS</w:t>
      </w:r>
    </w:p>
    <w:p w14:paraId="51B8F0AF" w14:textId="693C90E8" w:rsidR="008969A2" w:rsidRDefault="00000000">
      <w:r>
        <w:t>MOA: Stimulate insulin secretion from pancreatic beta cells (only work if residual beta-cell function)</w:t>
      </w:r>
      <w:r>
        <w:br/>
        <w:t>Benefits: Very effective HbA1c lowering, cheap, rapid (useful if symptomatic at diagnosis)</w:t>
      </w:r>
      <w:r>
        <w:br/>
        <w:t>Preferred agents (BNF 2026):</w:t>
      </w:r>
      <w:r>
        <w:br/>
        <w:t>• Gliclazide MR (Diamicron MR) 30mg OD → titrate to 60mg → 90mg → 120mg OD</w:t>
      </w:r>
      <w:r>
        <w:br/>
        <w:t xml:space="preserve">  (max 120mg OD as MR; can use 80mg BD standard release)</w:t>
      </w:r>
      <w:r>
        <w:br/>
        <w:t>• Glimepiride 1–4mg OD (max 6mg); taken with breakfast</w:t>
      </w:r>
      <w:r>
        <w:br/>
        <w:t>• Glipizide: shorter-acting; useful if irregular meals</w:t>
      </w:r>
      <w:r>
        <w:br/>
        <w:t>AVOID: Glibenclamide (very long-acting; high hypo risk — especially in elderly, CKD)</w:t>
      </w:r>
      <w:r>
        <w:br/>
      </w:r>
      <w:r>
        <w:br/>
        <w:t>Major risks: Hypoglycaemia (especially elderly, CKD, irregular meals, alcohol), weight gain</w:t>
      </w:r>
      <w:r>
        <w:br/>
        <w:t>eGFR: Caution if eGFR &lt;30 (reduced clearance → prolonged hypo risk)</w:t>
      </w:r>
      <w:r>
        <w:br/>
        <w:t>Monitoring: Annual U&amp;Es and LFTs</w:t>
      </w:r>
      <w:r>
        <w:br/>
        <w:t>Driving: Must inform DVLA if hypoglycaemia concerns; need BM strips/lancets</w:t>
      </w:r>
      <w:r>
        <w:br/>
        <w:t>Contraindications: Pregnancy, breastfeeding, severe hepatic impairment; glibenclamide in renal impairment</w:t>
      </w:r>
    </w:p>
    <w:p w14:paraId="3EF65B3E" w14:textId="77777777" w:rsidR="008969A2" w:rsidRDefault="00000000">
      <w:r>
        <w:rPr>
          <w:b/>
          <w:color w:val="1F4E79"/>
          <w:sz w:val="28"/>
        </w:rPr>
        <w:t>7. PIOGLITAZONE (Thiazolidinedione)</w:t>
      </w:r>
    </w:p>
    <w:p w14:paraId="0C17220F" w14:textId="77777777" w:rsidR="008969A2" w:rsidRDefault="00000000">
      <w:r>
        <w:t>MOA: PPAR-γ agonist → reduces peripheral insulin resistance</w:t>
      </w:r>
      <w:r>
        <w:br/>
        <w:t>Dose: 15mg OD → 30mg → 45mg OD</w:t>
      </w:r>
      <w:r>
        <w:br/>
        <w:t>Benefits: Low hypo risk, safe with low eGFR, cheap, reduces liver fat (NASH benefit)</w:t>
      </w:r>
      <w:r>
        <w:br/>
        <w:t>Risks: Weight gain, fluid retention, heart failure exacerbation, increased distal fracture risk, bladder cancer risk</w:t>
      </w:r>
      <w:r>
        <w:br/>
      </w:r>
      <w:r>
        <w:br/>
        <w:t>Before initiating:</w:t>
      </w:r>
      <w:r>
        <w:br/>
        <w:t>• Urine dipstick for haematuria (bladder cancer screen)</w:t>
      </w:r>
      <w:r>
        <w:br/>
        <w:t>• Warn about bladder cancer red flags: haematuria → urgent urology</w:t>
      </w:r>
      <w:r>
        <w:br/>
        <w:t>• Review for heart failure signs (oedema, dyspnoea)</w:t>
      </w:r>
      <w:r>
        <w:br/>
      </w:r>
      <w:r>
        <w:br/>
        <w:t>Contraindications: Heart failure, bladder cancer (history or active), hepatic impairment, pregnancy, breastfeeding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8969A2" w14:paraId="16D0FD27" w14:textId="77777777">
        <w:tc>
          <w:tcPr>
            <w:tcW w:w="9406" w:type="dxa"/>
            <w:shd w:val="clear" w:color="auto" w:fill="F0F8FF"/>
          </w:tcPr>
          <w:p w14:paraId="6E824654" w14:textId="77777777" w:rsidR="008969A2" w:rsidRDefault="00000000">
            <w:r>
              <w:rPr>
                <w:b/>
                <w:color w:val="003366"/>
              </w:rPr>
              <w:t xml:space="preserve">📝 In the Exam: </w:t>
            </w:r>
            <w:r>
              <w:rPr>
                <w:color w:val="003366"/>
              </w:rPr>
              <w:t>AKT: SGLT2i = first-line with metformin MR (NICE NG28 Feb 2026). Linagliptin = no renal dose adjustment. Glibenclamide = avoid in elderly/CKD. Pioglitazone = avoid in HF/bladder cancer. Tirzepatide = new dual GIP/GLP-1.</w:t>
            </w:r>
            <w:r>
              <w:rPr>
                <w:color w:val="003366"/>
              </w:rPr>
              <w:br/>
              <w:t>SCA: Explain SGLT2i benefits and risks; counsel on sick day rules, genital hygiene, when to stop.</w:t>
            </w:r>
          </w:p>
        </w:tc>
      </w:tr>
    </w:tbl>
    <w:p w14:paraId="270B427F" w14:textId="5159486E" w:rsidR="008969A2" w:rsidRDefault="008969A2" w:rsidP="00561EA6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8969A2" w14:paraId="664DBC89" w14:textId="77777777">
        <w:tc>
          <w:tcPr>
            <w:tcW w:w="9406" w:type="dxa"/>
            <w:shd w:val="clear" w:color="auto" w:fill="FFF3CD"/>
          </w:tcPr>
          <w:p w14:paraId="7602D90D" w14:textId="77777777" w:rsidR="008969A2" w:rsidRDefault="00000000">
            <w:r>
              <w:rPr>
                <w:b/>
                <w:color w:val="7D4A00"/>
              </w:rPr>
              <w:t xml:space="preserve">⚠ Disclaimer: </w:t>
            </w:r>
            <w:r>
              <w:rPr>
                <w:color w:val="7D4A0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4F46B480" w14:textId="77777777" w:rsidR="008969A2" w:rsidRDefault="008969A2"/>
    <w:sectPr w:rsidR="008969A2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7C96" w14:textId="77777777" w:rsidR="00C338B4" w:rsidRDefault="00C338B4" w:rsidP="00561EA6">
      <w:pPr>
        <w:spacing w:after="0" w:line="240" w:lineRule="auto"/>
      </w:pPr>
      <w:r>
        <w:separator/>
      </w:r>
    </w:p>
  </w:endnote>
  <w:endnote w:type="continuationSeparator" w:id="0">
    <w:p w14:paraId="2B4574EE" w14:textId="77777777" w:rsidR="00C338B4" w:rsidRDefault="00C338B4" w:rsidP="0056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E4A4" w14:textId="00632F2E" w:rsidR="00561EA6" w:rsidRDefault="00561EA6">
    <w:pPr>
      <w:pStyle w:val="Footer"/>
    </w:pPr>
    <w:r>
      <w:rPr>
        <w:i/>
        <w:color w:val="606060"/>
        <w:sz w:val="18"/>
      </w:rPr>
      <w:t>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4BAF" w14:textId="77777777" w:rsidR="00C338B4" w:rsidRDefault="00C338B4" w:rsidP="00561EA6">
      <w:pPr>
        <w:spacing w:after="0" w:line="240" w:lineRule="auto"/>
      </w:pPr>
      <w:r>
        <w:separator/>
      </w:r>
    </w:p>
  </w:footnote>
  <w:footnote w:type="continuationSeparator" w:id="0">
    <w:p w14:paraId="3AD9ACAE" w14:textId="77777777" w:rsidR="00C338B4" w:rsidRDefault="00C338B4" w:rsidP="0056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2294214">
    <w:abstractNumId w:val="8"/>
  </w:num>
  <w:num w:numId="2" w16cid:durableId="486092802">
    <w:abstractNumId w:val="6"/>
  </w:num>
  <w:num w:numId="3" w16cid:durableId="1111895824">
    <w:abstractNumId w:val="5"/>
  </w:num>
  <w:num w:numId="4" w16cid:durableId="1203857812">
    <w:abstractNumId w:val="4"/>
  </w:num>
  <w:num w:numId="5" w16cid:durableId="2050719290">
    <w:abstractNumId w:val="7"/>
  </w:num>
  <w:num w:numId="6" w16cid:durableId="886799962">
    <w:abstractNumId w:val="3"/>
  </w:num>
  <w:num w:numId="7" w16cid:durableId="1701737105">
    <w:abstractNumId w:val="2"/>
  </w:num>
  <w:num w:numId="8" w16cid:durableId="552497106">
    <w:abstractNumId w:val="1"/>
  </w:num>
  <w:num w:numId="9" w16cid:durableId="185768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4202"/>
    <w:rsid w:val="00561EA6"/>
    <w:rsid w:val="008969A2"/>
    <w:rsid w:val="00AA1D8D"/>
    <w:rsid w:val="00B47730"/>
    <w:rsid w:val="00C338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F3501"/>
  <w14:defaultImageDpi w14:val="300"/>
  <w15:docId w15:val="{417BCFF3-DF08-419A-A446-D0B99426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6641</Characters>
  <Application>Microsoft Office Word</Application>
  <DocSecurity>0</DocSecurity>
  <Lines>150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2026-05-08T14:08:00Z</dcterms:modified>
  <cp:category/>
</cp:coreProperties>
</file>