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634DF5" w14:paraId="5B0D9A40" w14:textId="77777777">
        <w:trPr>
          <w:jc w:val="center"/>
        </w:trPr>
        <w:tc>
          <w:tcPr>
            <w:tcW w:w="9638" w:type="dxa"/>
            <w:shd w:val="clear" w:color="auto" w:fill="E0651F"/>
          </w:tcPr>
          <w:p w14:paraId="0EE7D316" w14:textId="77777777" w:rsidR="00634DF5" w:rsidRDefault="00000000">
            <w:pPr>
              <w:jc w:val="center"/>
            </w:pPr>
            <w:r>
              <w:rPr>
                <w:b/>
                <w:caps/>
                <w:color w:val="FFFFFF"/>
              </w:rPr>
              <w:t>BRADFORD VTS TEACHING AIDS</w:t>
            </w:r>
          </w:p>
          <w:p w14:paraId="6E99A86A" w14:textId="77777777" w:rsidR="00634DF5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HbA1c Explained: DCCT &amp; IFCC Units</w:t>
            </w:r>
          </w:p>
          <w:p w14:paraId="17DED7E8" w14:textId="77777777" w:rsidR="00634DF5" w:rsidRDefault="00000000">
            <w:pPr>
              <w:jc w:val="center"/>
            </w:pPr>
            <w:r>
              <w:rPr>
                <w:i/>
                <w:color w:val="FFE0CC"/>
                <w:sz w:val="26"/>
              </w:rPr>
              <w:t>Clinical Quick Reference · Bradford VTS · May 2026</w:t>
            </w:r>
          </w:p>
        </w:tc>
      </w:tr>
    </w:tbl>
    <w:p w14:paraId="33E36138" w14:textId="77777777" w:rsidR="00634DF5" w:rsidRDefault="00634DF5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34DF5" w14:paraId="0FCDFDAB" w14:textId="77777777">
        <w:tc>
          <w:tcPr>
            <w:tcW w:w="9406" w:type="dxa"/>
            <w:shd w:val="clear" w:color="auto" w:fill="E8F4FD"/>
          </w:tcPr>
          <w:p w14:paraId="35155E43" w14:textId="77777777" w:rsidR="00634DF5" w:rsidRDefault="00000000">
            <w:r>
              <w:rPr>
                <w:b/>
                <w:color w:val="0B3D6B"/>
              </w:rPr>
              <w:t xml:space="preserve">🔑 Key Points: </w:t>
            </w:r>
            <w:r>
              <w:rPr>
                <w:color w:val="0B3D6B"/>
              </w:rPr>
              <w:t>HbA1c is the gold-standard measure of long-term glycaemic control. It reflects average blood glucose over approximately 8–12 weeks. Two units exist: old DCCT (%) and new IFCC (mmol/mol). Since 2011, UK uses IFCC mmol/mol as primary unit.</w:t>
            </w:r>
          </w:p>
        </w:tc>
      </w:tr>
    </w:tbl>
    <w:p w14:paraId="6C894DFA" w14:textId="77777777" w:rsidR="00634DF5" w:rsidRDefault="00634DF5"/>
    <w:p w14:paraId="6A816D3F" w14:textId="77777777" w:rsidR="00634DF5" w:rsidRDefault="00000000">
      <w:r>
        <w:rPr>
          <w:b/>
          <w:color w:val="1F4E79"/>
          <w:sz w:val="28"/>
        </w:rPr>
        <w:t>1. What is HbA1c?</w:t>
      </w:r>
    </w:p>
    <w:p w14:paraId="02490CCA" w14:textId="77777777" w:rsidR="00634DF5" w:rsidRDefault="00000000">
      <w:r>
        <w:t>Haemoglobin A1c (HbA1c) is glycated haemoglobin — haemoglobin A with glucose bound to the beta-chain.</w:t>
      </w:r>
      <w:r>
        <w:br/>
      </w:r>
      <w:r>
        <w:br/>
        <w:t>• Glucose in the blood binds irreversibly to haemoglobin via non-enzymatic glycation</w:t>
      </w:r>
      <w:r>
        <w:br/>
        <w:t>• Rate of glycation is proportional to blood glucose concentration</w:t>
      </w:r>
      <w:r>
        <w:br/>
        <w:t>• Reflects average blood glucose over the lifespan of red blood cells (~120 days)</w:t>
      </w:r>
      <w:r>
        <w:br/>
        <w:t>• Most weight given to the 4–8 weeks before the test (newer cells)</w:t>
      </w:r>
      <w:r>
        <w:br/>
        <w:t>• Not affected by a single high or low reading — reflects sustained control</w:t>
      </w:r>
      <w:r>
        <w:br/>
      </w:r>
      <w:r>
        <w:br/>
        <w:t>Why is HbA1c important?</w:t>
      </w:r>
      <w:r>
        <w:br/>
        <w:t>• Predicts risk of microvascular complications (retinopathy, nephropathy, neuropathy)</w:t>
      </w:r>
      <w:r>
        <w:br/>
        <w:t>• UKPDS: every 1% (11 mmol/mol) reduction in HbA1c → 37% reduction in microvascular disease</w:t>
      </w:r>
      <w:r>
        <w:br/>
        <w:t>• Used for: diagnosis, target-setting, monitoring response to treatment</w:t>
      </w:r>
    </w:p>
    <w:p w14:paraId="477C615F" w14:textId="77777777" w:rsidR="00634DF5" w:rsidRDefault="00000000">
      <w:r>
        <w:rPr>
          <w:b/>
          <w:color w:val="1F4E79"/>
          <w:sz w:val="28"/>
        </w:rPr>
        <w:t>2. DCCT vs IFCC — The Two Unit Systems</w:t>
      </w:r>
    </w:p>
    <w:p w14:paraId="09B05801" w14:textId="77777777" w:rsidR="00634DF5" w:rsidRDefault="00000000">
      <w:r>
        <w:t>DCCT (Diabetes Control and Complications Trial) — OLD system:</w:t>
      </w:r>
      <w:r>
        <w:br/>
        <w:t>• Used percentage (%) notation</w:t>
      </w:r>
      <w:r>
        <w:br/>
        <w:t>• Example: 7.0%</w:t>
      </w:r>
      <w:r>
        <w:br/>
        <w:t>• Used in trials (UKPDS, DCCT, ACCORD) — still quoted in literature</w:t>
      </w:r>
      <w:r>
        <w:br/>
      </w:r>
      <w:r>
        <w:br/>
        <w:t>IFCC (International Federation of Clinical Chemistry) — NEW/CURRENT system:</w:t>
      </w:r>
      <w:r>
        <w:br/>
        <w:t>• Used mmol/mol notation</w:t>
      </w:r>
      <w:r>
        <w:br/>
        <w:t>• UK adopted IFCC as PRIMARY reporting unit from June 2011</w:t>
      </w:r>
      <w:r>
        <w:br/>
        <w:t>• More precise and standardised internationally</w:t>
      </w:r>
      <w:r>
        <w:br/>
        <w:t>• Example: 53 mmol/mol</w:t>
      </w:r>
      <w:r>
        <w:br/>
      </w:r>
      <w:r>
        <w:br/>
        <w:t>IMPORTANT: Both units are still used in practice. GP trainees must be fluent in both.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634DF5" w14:paraId="1289E84E" w14:textId="77777777">
        <w:tc>
          <w:tcPr>
            <w:tcW w:w="3135" w:type="dxa"/>
            <w:shd w:val="clear" w:color="auto" w:fill="1F4E79"/>
          </w:tcPr>
          <w:p w14:paraId="4D2CC45A" w14:textId="77777777" w:rsidR="00634DF5" w:rsidRDefault="00000000">
            <w:r>
              <w:rPr>
                <w:b/>
                <w:color w:val="FFFFFF"/>
                <w:sz w:val="20"/>
              </w:rPr>
              <w:lastRenderedPageBreak/>
              <w:t>DCCT (%)</w:t>
            </w:r>
          </w:p>
        </w:tc>
        <w:tc>
          <w:tcPr>
            <w:tcW w:w="3135" w:type="dxa"/>
            <w:shd w:val="clear" w:color="auto" w:fill="1F4E79"/>
          </w:tcPr>
          <w:p w14:paraId="49758E0E" w14:textId="77777777" w:rsidR="00634DF5" w:rsidRDefault="00000000">
            <w:r>
              <w:rPr>
                <w:b/>
                <w:color w:val="FFFFFF"/>
                <w:sz w:val="20"/>
              </w:rPr>
              <w:t>IFCC (mmol/mol)</w:t>
            </w:r>
          </w:p>
        </w:tc>
        <w:tc>
          <w:tcPr>
            <w:tcW w:w="3135" w:type="dxa"/>
            <w:shd w:val="clear" w:color="auto" w:fill="1F4E79"/>
          </w:tcPr>
          <w:p w14:paraId="3DD7955D" w14:textId="77777777" w:rsidR="00634DF5" w:rsidRDefault="00000000">
            <w:r>
              <w:rPr>
                <w:b/>
                <w:color w:val="FFFFFF"/>
                <w:sz w:val="20"/>
              </w:rPr>
              <w:t>Clinical Significance</w:t>
            </w:r>
          </w:p>
        </w:tc>
      </w:tr>
      <w:tr w:rsidR="00634DF5" w14:paraId="16D926E3" w14:textId="77777777">
        <w:tc>
          <w:tcPr>
            <w:tcW w:w="3135" w:type="dxa"/>
            <w:shd w:val="clear" w:color="auto" w:fill="FFFFFF"/>
          </w:tcPr>
          <w:p w14:paraId="4FA1B1CE" w14:textId="77777777" w:rsidR="00634DF5" w:rsidRDefault="00000000">
            <w:r>
              <w:rPr>
                <w:sz w:val="20"/>
              </w:rPr>
              <w:t>4.0%</w:t>
            </w:r>
          </w:p>
        </w:tc>
        <w:tc>
          <w:tcPr>
            <w:tcW w:w="3135" w:type="dxa"/>
            <w:shd w:val="clear" w:color="auto" w:fill="FFFFFF"/>
          </w:tcPr>
          <w:p w14:paraId="092F11E4" w14:textId="77777777" w:rsidR="00634DF5" w:rsidRDefault="00000000">
            <w:r>
              <w:rPr>
                <w:sz w:val="20"/>
              </w:rPr>
              <w:t>20</w:t>
            </w:r>
          </w:p>
        </w:tc>
        <w:tc>
          <w:tcPr>
            <w:tcW w:w="3135" w:type="dxa"/>
            <w:shd w:val="clear" w:color="auto" w:fill="FFFFFF"/>
          </w:tcPr>
          <w:p w14:paraId="6DCE1A70" w14:textId="77777777" w:rsidR="00634DF5" w:rsidRDefault="00000000">
            <w:r>
              <w:rPr>
                <w:sz w:val="20"/>
              </w:rPr>
              <w:t>Normal (non-diabetic range)</w:t>
            </w:r>
          </w:p>
        </w:tc>
      </w:tr>
      <w:tr w:rsidR="00634DF5" w14:paraId="731E7F50" w14:textId="77777777">
        <w:tc>
          <w:tcPr>
            <w:tcW w:w="3135" w:type="dxa"/>
            <w:shd w:val="clear" w:color="auto" w:fill="EBF5FB"/>
          </w:tcPr>
          <w:p w14:paraId="23B59108" w14:textId="77777777" w:rsidR="00634DF5" w:rsidRDefault="00000000">
            <w:r>
              <w:rPr>
                <w:sz w:val="20"/>
              </w:rPr>
              <w:t>5.0%</w:t>
            </w:r>
          </w:p>
        </w:tc>
        <w:tc>
          <w:tcPr>
            <w:tcW w:w="3135" w:type="dxa"/>
            <w:shd w:val="clear" w:color="auto" w:fill="EBF5FB"/>
          </w:tcPr>
          <w:p w14:paraId="0789AD16" w14:textId="77777777" w:rsidR="00634DF5" w:rsidRDefault="00000000">
            <w:r>
              <w:rPr>
                <w:sz w:val="20"/>
              </w:rPr>
              <w:t>31</w:t>
            </w:r>
          </w:p>
        </w:tc>
        <w:tc>
          <w:tcPr>
            <w:tcW w:w="3135" w:type="dxa"/>
            <w:shd w:val="clear" w:color="auto" w:fill="EBF5FB"/>
          </w:tcPr>
          <w:p w14:paraId="47C1DBEA" w14:textId="77777777" w:rsidR="00634DF5" w:rsidRDefault="00000000">
            <w:r>
              <w:rPr>
                <w:sz w:val="20"/>
              </w:rPr>
              <w:t>Normal (non-diabetic range)</w:t>
            </w:r>
          </w:p>
        </w:tc>
      </w:tr>
      <w:tr w:rsidR="00634DF5" w14:paraId="3102CB8F" w14:textId="77777777">
        <w:tc>
          <w:tcPr>
            <w:tcW w:w="3135" w:type="dxa"/>
            <w:shd w:val="clear" w:color="auto" w:fill="FFFFFF"/>
          </w:tcPr>
          <w:p w14:paraId="7407220F" w14:textId="77777777" w:rsidR="00634DF5" w:rsidRDefault="00000000">
            <w:r>
              <w:rPr>
                <w:sz w:val="20"/>
              </w:rPr>
              <w:t>5.7%</w:t>
            </w:r>
          </w:p>
        </w:tc>
        <w:tc>
          <w:tcPr>
            <w:tcW w:w="3135" w:type="dxa"/>
            <w:shd w:val="clear" w:color="auto" w:fill="FFFFFF"/>
          </w:tcPr>
          <w:p w14:paraId="50B29F58" w14:textId="77777777" w:rsidR="00634DF5" w:rsidRDefault="00000000">
            <w:r>
              <w:rPr>
                <w:sz w:val="20"/>
              </w:rPr>
              <w:t>39</w:t>
            </w:r>
          </w:p>
        </w:tc>
        <w:tc>
          <w:tcPr>
            <w:tcW w:w="3135" w:type="dxa"/>
            <w:shd w:val="clear" w:color="auto" w:fill="FFFFFF"/>
          </w:tcPr>
          <w:p w14:paraId="6F97E395" w14:textId="77777777" w:rsidR="00634DF5" w:rsidRDefault="00000000">
            <w:r>
              <w:rPr>
                <w:sz w:val="20"/>
              </w:rPr>
              <w:t>Upper limit of normal</w:t>
            </w:r>
          </w:p>
        </w:tc>
      </w:tr>
      <w:tr w:rsidR="00634DF5" w14:paraId="6B06A89A" w14:textId="77777777">
        <w:tc>
          <w:tcPr>
            <w:tcW w:w="3135" w:type="dxa"/>
            <w:shd w:val="clear" w:color="auto" w:fill="EBF5FB"/>
          </w:tcPr>
          <w:p w14:paraId="5347ED50" w14:textId="77777777" w:rsidR="00634DF5" w:rsidRDefault="00000000">
            <w:r>
              <w:rPr>
                <w:sz w:val="20"/>
              </w:rPr>
              <w:t>6.0%</w:t>
            </w:r>
          </w:p>
        </w:tc>
        <w:tc>
          <w:tcPr>
            <w:tcW w:w="3135" w:type="dxa"/>
            <w:shd w:val="clear" w:color="auto" w:fill="EBF5FB"/>
          </w:tcPr>
          <w:p w14:paraId="0967F107" w14:textId="77777777" w:rsidR="00634DF5" w:rsidRDefault="00000000">
            <w:r>
              <w:rPr>
                <w:sz w:val="20"/>
              </w:rPr>
              <w:t>42</w:t>
            </w:r>
          </w:p>
        </w:tc>
        <w:tc>
          <w:tcPr>
            <w:tcW w:w="3135" w:type="dxa"/>
            <w:shd w:val="clear" w:color="auto" w:fill="EBF5FB"/>
          </w:tcPr>
          <w:p w14:paraId="739660A6" w14:textId="77777777" w:rsidR="00634DF5" w:rsidRDefault="00000000">
            <w:r>
              <w:rPr>
                <w:sz w:val="20"/>
              </w:rPr>
              <w:t>Prediabetes threshold (lower)</w:t>
            </w:r>
          </w:p>
        </w:tc>
      </w:tr>
      <w:tr w:rsidR="00634DF5" w14:paraId="6568B1E1" w14:textId="77777777">
        <w:tc>
          <w:tcPr>
            <w:tcW w:w="3135" w:type="dxa"/>
            <w:shd w:val="clear" w:color="auto" w:fill="FFFFFF"/>
          </w:tcPr>
          <w:p w14:paraId="797F1626" w14:textId="77777777" w:rsidR="00634DF5" w:rsidRDefault="00000000">
            <w:r>
              <w:rPr>
                <w:sz w:val="20"/>
              </w:rPr>
              <w:t>6.4%</w:t>
            </w:r>
          </w:p>
        </w:tc>
        <w:tc>
          <w:tcPr>
            <w:tcW w:w="3135" w:type="dxa"/>
            <w:shd w:val="clear" w:color="auto" w:fill="FFFFFF"/>
          </w:tcPr>
          <w:p w14:paraId="1B81B9E6" w14:textId="77777777" w:rsidR="00634DF5" w:rsidRDefault="00000000">
            <w:r>
              <w:rPr>
                <w:sz w:val="20"/>
              </w:rPr>
              <w:t>47</w:t>
            </w:r>
          </w:p>
        </w:tc>
        <w:tc>
          <w:tcPr>
            <w:tcW w:w="3135" w:type="dxa"/>
            <w:shd w:val="clear" w:color="auto" w:fill="FFFFFF"/>
          </w:tcPr>
          <w:p w14:paraId="5AC57D67" w14:textId="77777777" w:rsidR="00634DF5" w:rsidRDefault="00000000">
            <w:r>
              <w:rPr>
                <w:sz w:val="20"/>
              </w:rPr>
              <w:t>Prediabetes threshold (upper)</w:t>
            </w:r>
          </w:p>
        </w:tc>
      </w:tr>
      <w:tr w:rsidR="00634DF5" w14:paraId="02A22FBD" w14:textId="77777777">
        <w:tc>
          <w:tcPr>
            <w:tcW w:w="3135" w:type="dxa"/>
            <w:shd w:val="clear" w:color="auto" w:fill="FFF9C4"/>
          </w:tcPr>
          <w:p w14:paraId="7C7D004B" w14:textId="77777777" w:rsidR="00634DF5" w:rsidRDefault="00000000">
            <w:r>
              <w:rPr>
                <w:sz w:val="20"/>
              </w:rPr>
              <w:t>6.5%</w:t>
            </w:r>
          </w:p>
        </w:tc>
        <w:tc>
          <w:tcPr>
            <w:tcW w:w="3135" w:type="dxa"/>
            <w:shd w:val="clear" w:color="auto" w:fill="FFF9C4"/>
          </w:tcPr>
          <w:p w14:paraId="62812B3D" w14:textId="77777777" w:rsidR="00634DF5" w:rsidRDefault="00000000">
            <w:r>
              <w:rPr>
                <w:sz w:val="20"/>
              </w:rPr>
              <w:t>48</w:t>
            </w:r>
          </w:p>
        </w:tc>
        <w:tc>
          <w:tcPr>
            <w:tcW w:w="3135" w:type="dxa"/>
            <w:shd w:val="clear" w:color="auto" w:fill="FFF9C4"/>
          </w:tcPr>
          <w:p w14:paraId="1064B5E1" w14:textId="77777777" w:rsidR="00634DF5" w:rsidRDefault="00000000">
            <w:r>
              <w:rPr>
                <w:sz w:val="20"/>
              </w:rPr>
              <w:t>⭐ DIABETES DIAGNOSIS threshold</w:t>
            </w:r>
          </w:p>
        </w:tc>
      </w:tr>
      <w:tr w:rsidR="00634DF5" w14:paraId="0BDE8B65" w14:textId="77777777">
        <w:tc>
          <w:tcPr>
            <w:tcW w:w="3135" w:type="dxa"/>
            <w:shd w:val="clear" w:color="auto" w:fill="FFF9C4"/>
          </w:tcPr>
          <w:p w14:paraId="230E2593" w14:textId="77777777" w:rsidR="00634DF5" w:rsidRDefault="00000000">
            <w:r>
              <w:rPr>
                <w:sz w:val="20"/>
              </w:rPr>
              <w:t>7.0%</w:t>
            </w:r>
          </w:p>
        </w:tc>
        <w:tc>
          <w:tcPr>
            <w:tcW w:w="3135" w:type="dxa"/>
            <w:shd w:val="clear" w:color="auto" w:fill="FFF9C4"/>
          </w:tcPr>
          <w:p w14:paraId="70C44FEB" w14:textId="77777777" w:rsidR="00634DF5" w:rsidRDefault="00000000">
            <w:r>
              <w:rPr>
                <w:sz w:val="20"/>
              </w:rPr>
              <w:t>53</w:t>
            </w:r>
          </w:p>
        </w:tc>
        <w:tc>
          <w:tcPr>
            <w:tcW w:w="3135" w:type="dxa"/>
            <w:shd w:val="clear" w:color="auto" w:fill="FFF9C4"/>
          </w:tcPr>
          <w:p w14:paraId="363AE135" w14:textId="77777777" w:rsidR="00634DF5" w:rsidRDefault="00000000">
            <w:r>
              <w:rPr>
                <w:sz w:val="20"/>
              </w:rPr>
              <w:t>⭐ T2DM target on dual therapy / hypo-risk drugs</w:t>
            </w:r>
          </w:p>
        </w:tc>
      </w:tr>
      <w:tr w:rsidR="00634DF5" w14:paraId="4C6AF666" w14:textId="77777777">
        <w:tc>
          <w:tcPr>
            <w:tcW w:w="3135" w:type="dxa"/>
            <w:shd w:val="clear" w:color="auto" w:fill="EBF5FB"/>
          </w:tcPr>
          <w:p w14:paraId="73964CB3" w14:textId="77777777" w:rsidR="00634DF5" w:rsidRDefault="00000000">
            <w:r>
              <w:rPr>
                <w:sz w:val="20"/>
              </w:rPr>
              <w:t>7.5%</w:t>
            </w:r>
          </w:p>
        </w:tc>
        <w:tc>
          <w:tcPr>
            <w:tcW w:w="3135" w:type="dxa"/>
            <w:shd w:val="clear" w:color="auto" w:fill="EBF5FB"/>
          </w:tcPr>
          <w:p w14:paraId="680952E8" w14:textId="77777777" w:rsidR="00634DF5" w:rsidRDefault="00000000">
            <w:r>
              <w:rPr>
                <w:sz w:val="20"/>
              </w:rPr>
              <w:t>58</w:t>
            </w:r>
          </w:p>
        </w:tc>
        <w:tc>
          <w:tcPr>
            <w:tcW w:w="3135" w:type="dxa"/>
            <w:shd w:val="clear" w:color="auto" w:fill="EBF5FB"/>
          </w:tcPr>
          <w:p w14:paraId="48BE6D11" w14:textId="77777777" w:rsidR="00634DF5" w:rsidRDefault="00000000">
            <w:r>
              <w:rPr>
                <w:sz w:val="20"/>
              </w:rPr>
              <w:t>Relaxed target in frailty/elderly</w:t>
            </w:r>
          </w:p>
        </w:tc>
      </w:tr>
    </w:tbl>
    <w:p w14:paraId="3E7B7CFF" w14:textId="77777777" w:rsidR="00634DF5" w:rsidRDefault="00634DF5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34DF5" w14:paraId="50834F5C" w14:textId="77777777">
        <w:tc>
          <w:tcPr>
            <w:tcW w:w="9406" w:type="dxa"/>
            <w:shd w:val="clear" w:color="auto" w:fill="F0F0FF"/>
          </w:tcPr>
          <w:p w14:paraId="22772997" w14:textId="77777777" w:rsidR="00634DF5" w:rsidRDefault="00000000">
            <w:r>
              <w:rPr>
                <w:b/>
                <w:color w:val="1F1F7B"/>
              </w:rPr>
              <w:t xml:space="preserve">🧮 Conversion: </w:t>
            </w:r>
            <w:r>
              <w:rPr>
                <w:color w:val="1F1F7B"/>
              </w:rPr>
              <w:t>Quick conversion formula:</w:t>
            </w:r>
            <w:r>
              <w:rPr>
                <w:color w:val="1F1F7B"/>
              </w:rPr>
              <w:br/>
              <w:t>• IFCC (mmol/mol) = (DCCT % × 10.929) − 23.5</w:t>
            </w:r>
            <w:r>
              <w:rPr>
                <w:color w:val="1F1F7B"/>
              </w:rPr>
              <w:br/>
              <w:t>• DCCT (%) = (IFCC mmol/mol + 23.5) ÷ 10.929</w:t>
            </w:r>
            <w:r>
              <w:rPr>
                <w:color w:val="1F1F7B"/>
              </w:rPr>
              <w:br/>
            </w:r>
            <w:r>
              <w:rPr>
                <w:color w:val="1F1F7B"/>
              </w:rPr>
              <w:br/>
              <w:t>Or simply memorise the key values: 48 = 6.5%, 53 = 7.0%, 58 = 7.5%, 64 = 8.0%, 75 = 9.0%</w:t>
            </w:r>
          </w:p>
        </w:tc>
      </w:tr>
    </w:tbl>
    <w:p w14:paraId="58885D87" w14:textId="77777777" w:rsidR="00634DF5" w:rsidRDefault="00634DF5"/>
    <w:p w14:paraId="0278ED79" w14:textId="77777777" w:rsidR="00634DF5" w:rsidRDefault="00000000">
      <w:r>
        <w:rPr>
          <w:b/>
          <w:color w:val="1F4E79"/>
          <w:sz w:val="28"/>
        </w:rPr>
        <w:t>3. HbA1c Targets (NICE NG28 — February 2026)</w:t>
      </w:r>
    </w:p>
    <w:p w14:paraId="743ADDDF" w14:textId="77777777" w:rsidR="00634DF5" w:rsidRDefault="00000000">
      <w:r>
        <w:t>• 48 mmol/mol (6.5%): Diagnosis threshold AND target for newly-diagnosed on diet/single non-hypo drug</w:t>
      </w:r>
      <w:r>
        <w:br/>
        <w:t>• 53 mmol/mol (7.0%): Target if on drug(s) with hypoglycaemia risk (sulfonylurea, insulin) or ≥2 drugs</w:t>
      </w:r>
      <w:r>
        <w:br/>
        <w:t>• 58 mmol/mol (7.5%) or higher: Relaxed target in frailty, limited life expectancy, recurrent hypoglycaemia, patient preference after discussion</w:t>
      </w:r>
      <w:r>
        <w:br/>
        <w:t>• 75 mmol/mol (9.0%): Consider adding insulin if HbA1c at or above this on dual/triple oral therapy</w:t>
      </w:r>
      <w:r>
        <w:br/>
      </w:r>
      <w:r>
        <w:br/>
        <w:t>Review HbA1c every 3 months until stable target achieved, then every 6 months.</w:t>
      </w:r>
    </w:p>
    <w:p w14:paraId="115EA695" w14:textId="77777777" w:rsidR="00634DF5" w:rsidRDefault="00000000">
      <w:r>
        <w:rPr>
          <w:b/>
          <w:color w:val="1F4E79"/>
          <w:sz w:val="28"/>
        </w:rPr>
        <w:t>4. When HbA1c is UNRELIABLE — Use Glucose Instead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34DF5" w14:paraId="09A8D742" w14:textId="77777777">
        <w:tc>
          <w:tcPr>
            <w:tcW w:w="9406" w:type="dxa"/>
            <w:shd w:val="clear" w:color="auto" w:fill="FDECEA"/>
          </w:tcPr>
          <w:p w14:paraId="77296231" w14:textId="77777777" w:rsidR="00634DF5" w:rsidRDefault="00000000">
            <w:r>
              <w:rPr>
                <w:b/>
                <w:color w:val="7B1717"/>
              </w:rPr>
              <w:t xml:space="preserve">⚠ Caution: </w:t>
            </w:r>
            <w:r>
              <w:rPr>
                <w:color w:val="7B1717"/>
              </w:rPr>
              <w:t>HbA1c gives a FALSE result in these conditions:</w:t>
            </w:r>
            <w:r>
              <w:rPr>
                <w:color w:val="7B1717"/>
              </w:rPr>
              <w:br/>
              <w:t>• Haemoglobinopathies: sickle cell disease, thalassaemia (abnormal Hb → false low)</w:t>
            </w:r>
            <w:r>
              <w:rPr>
                <w:color w:val="7B1717"/>
              </w:rPr>
              <w:br/>
              <w:t>• Haemolytic anaemia (shortened RBC lifespan → false low)</w:t>
            </w:r>
            <w:r>
              <w:rPr>
                <w:color w:val="7B1717"/>
              </w:rPr>
              <w:br/>
              <w:t>• Recent blood transfusion (donor RBCs not glycated → false low)</w:t>
            </w:r>
            <w:r>
              <w:rPr>
                <w:color w:val="7B1717"/>
              </w:rPr>
              <w:br/>
              <w:t>• CKD (uraemia reduces RBC lifespan → may be falsely low)</w:t>
            </w:r>
            <w:r>
              <w:rPr>
                <w:color w:val="7B1717"/>
              </w:rPr>
              <w:br/>
              <w:t>• Iron deficiency anaemia (false HIGH — longer RBC exposure)</w:t>
            </w:r>
            <w:r>
              <w:rPr>
                <w:color w:val="7B1717"/>
              </w:rPr>
              <w:br/>
              <w:t>• G6PD deficiency (haemolysis → false low)</w:t>
            </w:r>
            <w:r>
              <w:rPr>
                <w:color w:val="7B1717"/>
              </w:rPr>
              <w:br/>
              <w:t>• Pregnancy (increased RBC turnover → false low)</w:t>
            </w:r>
            <w:r>
              <w:rPr>
                <w:color w:val="7B1717"/>
              </w:rPr>
              <w:br/>
            </w:r>
            <w:r>
              <w:rPr>
                <w:color w:val="7B1717"/>
              </w:rPr>
              <w:br/>
              <w:t>→ In these patients: USE FASTING PLASMA GLUCOSE or 2-hour OGTT for diagnosis/monitoring</w:t>
            </w:r>
          </w:p>
        </w:tc>
      </w:tr>
    </w:tbl>
    <w:p w14:paraId="2D56B05B" w14:textId="77777777" w:rsidR="00634DF5" w:rsidRDefault="00634DF5"/>
    <w:p w14:paraId="27A2150A" w14:textId="77777777" w:rsidR="00782E68" w:rsidRDefault="00782E68">
      <w:pPr>
        <w:rPr>
          <w:b/>
          <w:color w:val="1F4E79"/>
          <w:sz w:val="28"/>
        </w:rPr>
      </w:pPr>
    </w:p>
    <w:p w14:paraId="71B8616E" w14:textId="2F63EDAF" w:rsidR="00634DF5" w:rsidRDefault="00000000">
      <w:r>
        <w:rPr>
          <w:b/>
          <w:color w:val="1F4E79"/>
          <w:sz w:val="28"/>
        </w:rPr>
        <w:lastRenderedPageBreak/>
        <w:t>5. UKPDS Legacy: Why HbA1c Matters</w:t>
      </w:r>
    </w:p>
    <w:p w14:paraId="497EB903" w14:textId="77777777" w:rsidR="00634DF5" w:rsidRDefault="00000000">
      <w:r>
        <w:t>The UK Prospective Diabetes Study (UKPDS) — landmark trial:</w:t>
      </w:r>
      <w:r>
        <w:br/>
        <w:t>• 5,102 newly diagnosed T2DM patients; 20+ years follow-up</w:t>
      </w:r>
      <w:r>
        <w:br/>
        <w:t>• Every 1% (11 mmol/mol) reduction in HbA1c reduced:</w:t>
      </w:r>
      <w:r>
        <w:br/>
        <w:t xml:space="preserve">  – Microvascular complications by 37%</w:t>
      </w:r>
      <w:r>
        <w:br/>
        <w:t xml:space="preserve">  – Diabetes-related deaths by 21%</w:t>
      </w:r>
      <w:r>
        <w:br/>
        <w:t xml:space="preserve">  – Myocardial infarction by 14%</w:t>
      </w:r>
      <w:r>
        <w:br/>
        <w:t xml:space="preserve">  – All-cause mortality by 17%</w:t>
      </w:r>
      <w:r>
        <w:br/>
        <w:t>• Legacy effect: intensive early control protects even after HbA1c levels equalise</w:t>
      </w:r>
      <w:r>
        <w:br/>
        <w:t>• Message: control HbA1c early and maintain it — the sooner the better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34DF5" w14:paraId="34D3FCF1" w14:textId="77777777">
        <w:tc>
          <w:tcPr>
            <w:tcW w:w="9406" w:type="dxa"/>
            <w:shd w:val="clear" w:color="auto" w:fill="F0F8FF"/>
          </w:tcPr>
          <w:p w14:paraId="1D8C9244" w14:textId="21CB16E2" w:rsidR="00634DF5" w:rsidRDefault="00000000">
            <w:r>
              <w:rPr>
                <w:b/>
                <w:color w:val="003366"/>
              </w:rPr>
              <w:t xml:space="preserve">📝 In the Exam: </w:t>
            </w:r>
            <w:r w:rsidR="00782E68">
              <w:rPr>
                <w:b/>
                <w:color w:val="003366"/>
              </w:rPr>
              <w:t>AKT:</w:t>
            </w:r>
            <w:r>
              <w:rPr>
                <w:color w:val="003366"/>
              </w:rPr>
              <w:t xml:space="preserve"> know when HbA1c is unreliable (haemoglobinopathies, haemolysis, CKD, pregnancy). NICE NG28 2026 targets: 48 / 53 / relaxed 58.</w:t>
            </w:r>
            <w:r>
              <w:rPr>
                <w:color w:val="003366"/>
              </w:rPr>
              <w:br/>
              <w:t>SCA: Explain HbA1c results in plain language: "This tells us your average blood sugar over the last 3 months."</w:t>
            </w:r>
          </w:p>
        </w:tc>
      </w:tr>
    </w:tbl>
    <w:p w14:paraId="439B72E8" w14:textId="77777777" w:rsidR="00634DF5" w:rsidRDefault="00634DF5"/>
    <w:p w14:paraId="3D940174" w14:textId="77777777" w:rsidR="00634DF5" w:rsidRDefault="00634DF5"/>
    <w:p w14:paraId="72088A71" w14:textId="77777777" w:rsidR="00634DF5" w:rsidRDefault="00000000">
      <w:pPr>
        <w:jc w:val="center"/>
      </w:pPr>
      <w:r>
        <w:rPr>
          <w:i/>
          <w:color w:val="606060"/>
          <w:sz w:val="18"/>
        </w:rPr>
        <w:t>A free resource provided by www.bradfordvts.co.uk, Dr Ramesh Mehay, revised May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634DF5" w14:paraId="306EBA29" w14:textId="77777777">
        <w:tc>
          <w:tcPr>
            <w:tcW w:w="9406" w:type="dxa"/>
            <w:shd w:val="clear" w:color="auto" w:fill="FFF3CD"/>
          </w:tcPr>
          <w:p w14:paraId="4CB3FFF2" w14:textId="77777777" w:rsidR="00634DF5" w:rsidRDefault="00000000">
            <w:r>
              <w:rPr>
                <w:b/>
                <w:color w:val="7D4A00"/>
              </w:rPr>
              <w:t xml:space="preserve">⚠ Disclaimer: </w:t>
            </w:r>
            <w:r>
              <w:rPr>
                <w:color w:val="7D4A0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22E8892B" w14:textId="77777777" w:rsidR="00634DF5" w:rsidRDefault="00634DF5"/>
    <w:sectPr w:rsidR="00634DF5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9714355">
    <w:abstractNumId w:val="8"/>
  </w:num>
  <w:num w:numId="2" w16cid:durableId="1723938006">
    <w:abstractNumId w:val="6"/>
  </w:num>
  <w:num w:numId="3" w16cid:durableId="369382404">
    <w:abstractNumId w:val="5"/>
  </w:num>
  <w:num w:numId="4" w16cid:durableId="512375983">
    <w:abstractNumId w:val="4"/>
  </w:num>
  <w:num w:numId="5" w16cid:durableId="799148602">
    <w:abstractNumId w:val="7"/>
  </w:num>
  <w:num w:numId="6" w16cid:durableId="1237279307">
    <w:abstractNumId w:val="3"/>
  </w:num>
  <w:num w:numId="7" w16cid:durableId="483933938">
    <w:abstractNumId w:val="2"/>
  </w:num>
  <w:num w:numId="8" w16cid:durableId="1060863024">
    <w:abstractNumId w:val="1"/>
  </w:num>
  <w:num w:numId="9" w16cid:durableId="84648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5EBF"/>
    <w:rsid w:val="00634DF5"/>
    <w:rsid w:val="00782E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923EA"/>
  <w14:defaultImageDpi w14:val="300"/>
  <w15:docId w15:val="{59F88444-5C8E-4A5F-ABB4-E8CF8449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3783</Characters>
  <Application>Microsoft Office Word</Application>
  <DocSecurity>0</DocSecurity>
  <Lines>114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2026-05-08T14:03:00Z</dcterms:modified>
  <cp:category/>
</cp:coreProperties>
</file>