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22"/>
      </w:tblGrid>
      <w:tr w:rsidR="00D2338F" w14:paraId="06A70939" w14:textId="77777777">
        <w:trPr>
          <w:jc w:val="center"/>
        </w:trPr>
        <w:tc>
          <w:tcPr>
            <w:tcW w:w="9638" w:type="dxa"/>
            <w:shd w:val="clear" w:color="auto" w:fill="E0651F"/>
          </w:tcPr>
          <w:p w14:paraId="32F06752" w14:textId="77777777" w:rsidR="00D2338F" w:rsidRDefault="00000000">
            <w:pPr>
              <w:jc w:val="center"/>
            </w:pPr>
            <w:r>
              <w:rPr>
                <w:b/>
                <w:caps/>
                <w:color w:val="FFFFFF"/>
              </w:rPr>
              <w:t>BRADFORD VTS TEACHING AIDS</w:t>
            </w:r>
          </w:p>
          <w:p w14:paraId="4BB88723" w14:textId="77777777" w:rsidR="00D2338F" w:rsidRDefault="00000000">
            <w:pPr>
              <w:jc w:val="center"/>
            </w:pPr>
            <w:r>
              <w:rPr>
                <w:b/>
                <w:color w:val="FFFFFF"/>
                <w:sz w:val="56"/>
              </w:rPr>
              <w:t>Home Blood Glucose Monitoring Guidelines</w:t>
            </w:r>
          </w:p>
          <w:p w14:paraId="01251519" w14:textId="77777777" w:rsidR="00D2338F" w:rsidRDefault="00000000">
            <w:pPr>
              <w:jc w:val="center"/>
            </w:pPr>
            <w:r>
              <w:rPr>
                <w:i/>
                <w:color w:val="FFE0CC"/>
                <w:sz w:val="26"/>
              </w:rPr>
              <w:t>For GP Trainees &amp; Practice Teams · Bradford VTS · May 2026</w:t>
            </w:r>
          </w:p>
        </w:tc>
      </w:tr>
    </w:tbl>
    <w:p w14:paraId="51197878" w14:textId="77777777" w:rsidR="00D2338F" w:rsidRDefault="00D2338F"/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D2338F" w14:paraId="0C2B2798" w14:textId="77777777">
        <w:tc>
          <w:tcPr>
            <w:tcW w:w="9406" w:type="dxa"/>
            <w:shd w:val="clear" w:color="auto" w:fill="E8F4FD"/>
          </w:tcPr>
          <w:p w14:paraId="592F71BC" w14:textId="77777777" w:rsidR="00D2338F" w:rsidRDefault="00000000">
            <w:r>
              <w:rPr>
                <w:b/>
                <w:color w:val="0B3D6B"/>
              </w:rPr>
              <w:t xml:space="preserve">🔑 Key Points: </w:t>
            </w:r>
            <w:r>
              <w:rPr>
                <w:color w:val="0B3D6B"/>
              </w:rPr>
              <w:t>Self-monitoring of blood glucose (SMBG) and continuous glucose monitoring (CGM) guide day-to-day diabetes management. NICE NG28 (February 2026) sets clear guidance on who benefits. Updated: CGM now available on NHS for more patient groups than previously.</w:t>
            </w:r>
          </w:p>
        </w:tc>
      </w:tr>
    </w:tbl>
    <w:p w14:paraId="6E9AB414" w14:textId="77777777" w:rsidR="00D2338F" w:rsidRDefault="00D2338F"/>
    <w:p w14:paraId="3FFB5681" w14:textId="77777777" w:rsidR="00D2338F" w:rsidRDefault="00000000">
      <w:r>
        <w:rPr>
          <w:b/>
          <w:color w:val="1F4E79"/>
          <w:sz w:val="28"/>
        </w:rPr>
        <w:t>1. Who Should Monitor Blood Glucose? (NICE NG28, February 2026)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D2338F" w14:paraId="787CE13C" w14:textId="77777777">
        <w:tc>
          <w:tcPr>
            <w:tcW w:w="3135" w:type="dxa"/>
            <w:shd w:val="clear" w:color="auto" w:fill="1F4E79"/>
          </w:tcPr>
          <w:p w14:paraId="28327ACA" w14:textId="77777777" w:rsidR="00D2338F" w:rsidRDefault="00000000">
            <w:r>
              <w:rPr>
                <w:b/>
                <w:color w:val="FFFFFF"/>
              </w:rPr>
              <w:t>Patient Group</w:t>
            </w:r>
          </w:p>
        </w:tc>
        <w:tc>
          <w:tcPr>
            <w:tcW w:w="3135" w:type="dxa"/>
            <w:shd w:val="clear" w:color="auto" w:fill="1F4E79"/>
          </w:tcPr>
          <w:p w14:paraId="339D6EC0" w14:textId="77777777" w:rsidR="00D2338F" w:rsidRDefault="00000000">
            <w:r>
              <w:rPr>
                <w:b/>
                <w:color w:val="FFFFFF"/>
              </w:rPr>
              <w:t>Routine SMBG (finger-prick)?</w:t>
            </w:r>
          </w:p>
        </w:tc>
        <w:tc>
          <w:tcPr>
            <w:tcW w:w="3135" w:type="dxa"/>
            <w:shd w:val="clear" w:color="auto" w:fill="1F4E79"/>
          </w:tcPr>
          <w:p w14:paraId="39AE8DA6" w14:textId="77777777" w:rsidR="00D2338F" w:rsidRDefault="00000000">
            <w:r>
              <w:rPr>
                <w:b/>
                <w:color w:val="FFFFFF"/>
              </w:rPr>
              <w:t>Notes</w:t>
            </w:r>
          </w:p>
        </w:tc>
      </w:tr>
      <w:tr w:rsidR="00D2338F" w14:paraId="71680B9A" w14:textId="77777777">
        <w:tc>
          <w:tcPr>
            <w:tcW w:w="3135" w:type="dxa"/>
            <w:shd w:val="clear" w:color="auto" w:fill="FFFFFF"/>
          </w:tcPr>
          <w:p w14:paraId="69D9A305" w14:textId="77777777" w:rsidR="00D2338F" w:rsidRDefault="00000000">
            <w:r>
              <w:rPr>
                <w:sz w:val="20"/>
              </w:rPr>
              <w:t>T2DM on diet/metformin/SGLT2i/DPP4i only</w:t>
            </w:r>
          </w:p>
        </w:tc>
        <w:tc>
          <w:tcPr>
            <w:tcW w:w="3135" w:type="dxa"/>
            <w:shd w:val="clear" w:color="auto" w:fill="FFFFFF"/>
          </w:tcPr>
          <w:p w14:paraId="5D4FEA21" w14:textId="77777777" w:rsidR="00D2338F" w:rsidRDefault="00000000">
            <w:r>
              <w:rPr>
                <w:sz w:val="20"/>
              </w:rPr>
              <w:t>❌ Not routinely recommended</w:t>
            </w:r>
          </w:p>
        </w:tc>
        <w:tc>
          <w:tcPr>
            <w:tcW w:w="3135" w:type="dxa"/>
            <w:shd w:val="clear" w:color="auto" w:fill="FFFFFF"/>
          </w:tcPr>
          <w:p w14:paraId="5DD5E2BB" w14:textId="77777777" w:rsidR="00D2338F" w:rsidRDefault="00000000">
            <w:r>
              <w:rPr>
                <w:sz w:val="20"/>
              </w:rPr>
              <w:t>Testing alone has little benefit without structured plan to act on results</w:t>
            </w:r>
          </w:p>
        </w:tc>
      </w:tr>
      <w:tr w:rsidR="00D2338F" w14:paraId="60FE1D2A" w14:textId="77777777">
        <w:tc>
          <w:tcPr>
            <w:tcW w:w="3135" w:type="dxa"/>
            <w:shd w:val="clear" w:color="auto" w:fill="EBF5FB"/>
          </w:tcPr>
          <w:p w14:paraId="3F9213D3" w14:textId="77777777" w:rsidR="00D2338F" w:rsidRDefault="00000000">
            <w:r>
              <w:rPr>
                <w:sz w:val="20"/>
              </w:rPr>
              <w:t>T2DM on sulfonylurea</w:t>
            </w:r>
          </w:p>
        </w:tc>
        <w:tc>
          <w:tcPr>
            <w:tcW w:w="3135" w:type="dxa"/>
            <w:shd w:val="clear" w:color="auto" w:fill="EBF5FB"/>
          </w:tcPr>
          <w:p w14:paraId="620F4950" w14:textId="77777777" w:rsidR="00D2338F" w:rsidRDefault="00000000">
            <w:r>
              <w:rPr>
                <w:sz w:val="20"/>
              </w:rPr>
              <w:t>✅ Yes — for hypo detection</w:t>
            </w:r>
          </w:p>
        </w:tc>
        <w:tc>
          <w:tcPr>
            <w:tcW w:w="3135" w:type="dxa"/>
            <w:shd w:val="clear" w:color="auto" w:fill="EBF5FB"/>
          </w:tcPr>
          <w:p w14:paraId="7F7C5CB9" w14:textId="77777777" w:rsidR="00D2338F" w:rsidRDefault="00000000">
            <w:r>
              <w:rPr>
                <w:sz w:val="20"/>
              </w:rPr>
              <w:t>Especially before driving, exercise, irregular meals</w:t>
            </w:r>
          </w:p>
        </w:tc>
      </w:tr>
      <w:tr w:rsidR="00D2338F" w14:paraId="74ADDE08" w14:textId="77777777">
        <w:tc>
          <w:tcPr>
            <w:tcW w:w="3135" w:type="dxa"/>
            <w:shd w:val="clear" w:color="auto" w:fill="FFFFFF"/>
          </w:tcPr>
          <w:p w14:paraId="0FB1CD1F" w14:textId="77777777" w:rsidR="00D2338F" w:rsidRDefault="00000000">
            <w:r>
              <w:rPr>
                <w:sz w:val="20"/>
              </w:rPr>
              <w:t>T2DM on insulin</w:t>
            </w:r>
          </w:p>
        </w:tc>
        <w:tc>
          <w:tcPr>
            <w:tcW w:w="3135" w:type="dxa"/>
            <w:shd w:val="clear" w:color="auto" w:fill="FFFFFF"/>
          </w:tcPr>
          <w:p w14:paraId="3316D137" w14:textId="77777777" w:rsidR="00D2338F" w:rsidRDefault="00000000">
            <w:r>
              <w:rPr>
                <w:sz w:val="20"/>
              </w:rPr>
              <w:t>✅ Yes — 4× daily minimum</w:t>
            </w:r>
          </w:p>
        </w:tc>
        <w:tc>
          <w:tcPr>
            <w:tcW w:w="3135" w:type="dxa"/>
            <w:shd w:val="clear" w:color="auto" w:fill="FFFFFF"/>
          </w:tcPr>
          <w:p w14:paraId="0D64F23E" w14:textId="77777777" w:rsidR="00D2338F" w:rsidRDefault="00000000">
            <w:r>
              <w:rPr>
                <w:sz w:val="20"/>
              </w:rPr>
              <w:t>Or use CGM (FreeStyle Libre if eligible)</w:t>
            </w:r>
          </w:p>
        </w:tc>
      </w:tr>
      <w:tr w:rsidR="00D2338F" w14:paraId="575D3C83" w14:textId="77777777">
        <w:tc>
          <w:tcPr>
            <w:tcW w:w="3135" w:type="dxa"/>
            <w:shd w:val="clear" w:color="auto" w:fill="EBF5FB"/>
          </w:tcPr>
          <w:p w14:paraId="4D2BCADF" w14:textId="77777777" w:rsidR="00D2338F" w:rsidRDefault="00000000">
            <w:r>
              <w:rPr>
                <w:sz w:val="20"/>
              </w:rPr>
              <w:t>T1DM — all patients</w:t>
            </w:r>
          </w:p>
        </w:tc>
        <w:tc>
          <w:tcPr>
            <w:tcW w:w="3135" w:type="dxa"/>
            <w:shd w:val="clear" w:color="auto" w:fill="EBF5FB"/>
          </w:tcPr>
          <w:p w14:paraId="2412B17E" w14:textId="77777777" w:rsidR="00D2338F" w:rsidRDefault="00000000">
            <w:r>
              <w:rPr>
                <w:sz w:val="20"/>
              </w:rPr>
              <w:t>✅ Yes — CGM strongly preferred</w:t>
            </w:r>
          </w:p>
        </w:tc>
        <w:tc>
          <w:tcPr>
            <w:tcW w:w="3135" w:type="dxa"/>
            <w:shd w:val="clear" w:color="auto" w:fill="EBF5FB"/>
          </w:tcPr>
          <w:p w14:paraId="7C2FF880" w14:textId="77777777" w:rsidR="00D2338F" w:rsidRDefault="00000000">
            <w:r>
              <w:rPr>
                <w:sz w:val="20"/>
              </w:rPr>
              <w:t>Real-time CGM on NHS; hybrid closed-loop systems (TA943)</w:t>
            </w:r>
          </w:p>
        </w:tc>
      </w:tr>
      <w:tr w:rsidR="00D2338F" w14:paraId="094759C0" w14:textId="77777777">
        <w:tc>
          <w:tcPr>
            <w:tcW w:w="3135" w:type="dxa"/>
            <w:shd w:val="clear" w:color="auto" w:fill="FFFFFF"/>
          </w:tcPr>
          <w:p w14:paraId="2EE74ABA" w14:textId="77777777" w:rsidR="00D2338F" w:rsidRDefault="00000000">
            <w:r>
              <w:rPr>
                <w:sz w:val="20"/>
              </w:rPr>
              <w:t>Gestational diabetes</w:t>
            </w:r>
          </w:p>
        </w:tc>
        <w:tc>
          <w:tcPr>
            <w:tcW w:w="3135" w:type="dxa"/>
            <w:shd w:val="clear" w:color="auto" w:fill="FFFFFF"/>
          </w:tcPr>
          <w:p w14:paraId="7A2A92F0" w14:textId="77777777" w:rsidR="00D2338F" w:rsidRDefault="00000000">
            <w:r>
              <w:rPr>
                <w:sz w:val="20"/>
              </w:rPr>
              <w:t>✅ Yes — frequent monitoring</w:t>
            </w:r>
          </w:p>
        </w:tc>
        <w:tc>
          <w:tcPr>
            <w:tcW w:w="3135" w:type="dxa"/>
            <w:shd w:val="clear" w:color="auto" w:fill="FFFFFF"/>
          </w:tcPr>
          <w:p w14:paraId="4E540B6E" w14:textId="77777777" w:rsidR="00D2338F" w:rsidRDefault="00000000">
            <w:r>
              <w:rPr>
                <w:sz w:val="20"/>
              </w:rPr>
              <w:t>Fasting + post-prandial 1h targets</w:t>
            </w:r>
          </w:p>
        </w:tc>
      </w:tr>
      <w:tr w:rsidR="00D2338F" w14:paraId="54468B90" w14:textId="77777777">
        <w:tc>
          <w:tcPr>
            <w:tcW w:w="3135" w:type="dxa"/>
            <w:shd w:val="clear" w:color="auto" w:fill="EBF5FB"/>
          </w:tcPr>
          <w:p w14:paraId="114AC59D" w14:textId="77777777" w:rsidR="00D2338F" w:rsidRDefault="00000000">
            <w:r>
              <w:rPr>
                <w:sz w:val="20"/>
              </w:rPr>
              <w:t>Sick day / intercurrent illness</w:t>
            </w:r>
          </w:p>
        </w:tc>
        <w:tc>
          <w:tcPr>
            <w:tcW w:w="3135" w:type="dxa"/>
            <w:shd w:val="clear" w:color="auto" w:fill="EBF5FB"/>
          </w:tcPr>
          <w:p w14:paraId="7C8BC79C" w14:textId="77777777" w:rsidR="00D2338F" w:rsidRDefault="00000000">
            <w:r>
              <w:rPr>
                <w:sz w:val="20"/>
              </w:rPr>
              <w:t>✅ Yes — regardless of regimen</w:t>
            </w:r>
          </w:p>
        </w:tc>
        <w:tc>
          <w:tcPr>
            <w:tcW w:w="3135" w:type="dxa"/>
            <w:shd w:val="clear" w:color="auto" w:fill="EBF5FB"/>
          </w:tcPr>
          <w:p w14:paraId="1975B8FD" w14:textId="77777777" w:rsidR="00D2338F" w:rsidRDefault="00000000">
            <w:r>
              <w:rPr>
                <w:sz w:val="20"/>
              </w:rPr>
              <w:t>More frequent during illness</w:t>
            </w:r>
          </w:p>
        </w:tc>
      </w:tr>
      <w:tr w:rsidR="00D2338F" w14:paraId="16EDFEBF" w14:textId="77777777">
        <w:tc>
          <w:tcPr>
            <w:tcW w:w="3135" w:type="dxa"/>
            <w:shd w:val="clear" w:color="auto" w:fill="FFFFFF"/>
          </w:tcPr>
          <w:p w14:paraId="3165025C" w14:textId="77777777" w:rsidR="00D2338F" w:rsidRDefault="00000000">
            <w:r>
              <w:rPr>
                <w:sz w:val="20"/>
              </w:rPr>
              <w:t>Driving on insulin or sulfonylurea</w:t>
            </w:r>
          </w:p>
        </w:tc>
        <w:tc>
          <w:tcPr>
            <w:tcW w:w="3135" w:type="dxa"/>
            <w:shd w:val="clear" w:color="auto" w:fill="FFFFFF"/>
          </w:tcPr>
          <w:p w14:paraId="0B183E3F" w14:textId="77777777" w:rsidR="00D2338F" w:rsidRDefault="00000000">
            <w:r>
              <w:rPr>
                <w:sz w:val="20"/>
              </w:rPr>
              <w:t>✅ Yes — mandatory before driving</w:t>
            </w:r>
          </w:p>
        </w:tc>
        <w:tc>
          <w:tcPr>
            <w:tcW w:w="3135" w:type="dxa"/>
            <w:shd w:val="clear" w:color="auto" w:fill="FFFFFF"/>
          </w:tcPr>
          <w:p w14:paraId="3C189A8E" w14:textId="77777777" w:rsidR="00D2338F" w:rsidRDefault="00000000">
            <w:r>
              <w:rPr>
                <w:sz w:val="20"/>
              </w:rPr>
              <w:t>BG must be ≥5 mmol/L before driving</w:t>
            </w:r>
          </w:p>
        </w:tc>
      </w:tr>
    </w:tbl>
    <w:p w14:paraId="4352B1F7" w14:textId="77777777" w:rsidR="00D2338F" w:rsidRDefault="00D2338F"/>
    <w:p w14:paraId="56821CA2" w14:textId="77777777" w:rsidR="00D2338F" w:rsidRDefault="00000000">
      <w:r>
        <w:rPr>
          <w:b/>
          <w:color w:val="1F4E79"/>
          <w:sz w:val="28"/>
        </w:rPr>
        <w:t>2. CGM and Flash Monitoring on NHS (NICE 2022 + NICE TA943 2023)</w:t>
      </w:r>
    </w:p>
    <w:p w14:paraId="58914CC4" w14:textId="101C72BC" w:rsidR="00D2338F" w:rsidRDefault="00000000">
      <w:r>
        <w:t>Flash Glucose Monitoring (FreeStyle Libre — isCGM):</w:t>
      </w:r>
      <w:r>
        <w:br/>
        <w:t>• Sensor worn on upper arm; scans with phone/reader every ≤8 hours to prevent data loss</w:t>
      </w:r>
      <w:r>
        <w:br/>
        <w:t>• Available on NHS prescription for:</w:t>
      </w:r>
      <w:r>
        <w:br/>
        <w:t xml:space="preserve">  – All people with T1DM</w:t>
      </w:r>
      <w:r>
        <w:br/>
        <w:t xml:space="preserve">  – T2DM on insulin (basal-bolus or multiple daily injections) — Libre 2 or 3</w:t>
      </w:r>
      <w:r>
        <w:br/>
        <w:t xml:space="preserve">  – T2DM on basal-only insulin with recurrent hypoglycaemia — consider</w:t>
      </w:r>
      <w:r>
        <w:br/>
        <w:t xml:space="preserve">  – T2DM on sulfonylurea at high hypo risk — consider</w:t>
      </w:r>
      <w:r>
        <w:br/>
        <w:t>Real-time CGM (</w:t>
      </w:r>
      <w:proofErr w:type="spellStart"/>
      <w:r>
        <w:t>rtCGM</w:t>
      </w:r>
      <w:proofErr w:type="spellEnd"/>
      <w:r>
        <w:t xml:space="preserve"> — e.g. Dexcom G7, Medtronic Guardian):</w:t>
      </w:r>
      <w:r>
        <w:br/>
        <w:t>• Continuous readings with alarms for highs/lows</w:t>
      </w:r>
      <w:r>
        <w:br/>
        <w:t>• Preferred for T1DM from 2023 (NICE recommendation)</w:t>
      </w:r>
      <w:r>
        <w:br/>
      </w:r>
      <w:r>
        <w:lastRenderedPageBreak/>
        <w:t>• Essential for hypoglycaemia unawareness</w:t>
      </w:r>
      <w:r>
        <w:br/>
      </w:r>
      <w:r>
        <w:br/>
        <w:t>Hybrid Closed-Loop Systems (Artificial Pancreas — NICE TA943, December 2023):</w:t>
      </w:r>
      <w:r>
        <w:br/>
        <w:t>• CGM linked to insulin pump; automatically adjusts basal insulin</w:t>
      </w:r>
      <w:r>
        <w:br/>
        <w:t>• Recommended for T1DM adults, young people, and pregnant women with T1DM</w:t>
      </w:r>
      <w:r>
        <w:br/>
        <w:t>• Examples: CamAPS FX, Omnipod 5, MiniMed 780G</w:t>
      </w:r>
    </w:p>
    <w:p w14:paraId="593AD3D8" w14:textId="77777777" w:rsidR="00D2338F" w:rsidRDefault="00000000">
      <w:r>
        <w:rPr>
          <w:b/>
          <w:color w:val="1F4E79"/>
          <w:sz w:val="28"/>
        </w:rPr>
        <w:t>3. Blood Glucose Target Ranges</w:t>
      </w:r>
    </w:p>
    <w:p w14:paraId="40DDDABD" w14:textId="77777777" w:rsidR="00D2338F" w:rsidRDefault="00000000">
      <w:r>
        <w:t>Fasting (pre-meal) targets:</w:t>
      </w:r>
      <w:r>
        <w:br/>
        <w:t>• Non-diabetic: 4.0–5.9 mmol/L</w:t>
      </w:r>
      <w:r>
        <w:br/>
        <w:t>• T2DM general: 4.0–7.0 mmol/L</w:t>
      </w:r>
      <w:r>
        <w:br/>
        <w:t>• T1DM: 4.0–7.0 mmol/L (NICE NG17)</w:t>
      </w:r>
      <w:r>
        <w:br/>
        <w:t>• Pregnancy: fasting &lt;5.3 mmol/L; 1h post-meal &lt;7.8 mmol/L; 2h post-meal &lt;6.4 mmol/L</w:t>
      </w:r>
      <w:r>
        <w:br/>
      </w:r>
      <w:r>
        <w:br/>
        <w:t>2-hour post-prandial targets:</w:t>
      </w:r>
      <w:r>
        <w:br/>
        <w:t>• T2DM: ideally &lt;8.5 mmol/L</w:t>
      </w:r>
      <w:r>
        <w:br/>
        <w:t>• T1DM: 5.0–9.0 mmol/L (NICE NG17)</w:t>
      </w:r>
      <w:r>
        <w:br/>
      </w:r>
      <w:r>
        <w:br/>
        <w:t>Before driving:</w:t>
      </w:r>
      <w:r>
        <w:br/>
        <w:t>• Must be ≥5.0 mmol/L (if on insulin or sulfonylurea)</w:t>
      </w:r>
      <w:r>
        <w:br/>
        <w:t>• Do not drive if &lt;5 mmol/L until treated and rechecked</w:t>
      </w:r>
      <w:r>
        <w:br/>
      </w:r>
      <w:r>
        <w:br/>
        <w:t>Time-in-Range (TIR) targets — CGM metric:</w:t>
      </w:r>
      <w:r>
        <w:br/>
        <w:t>• T1DM and T2DM: &gt;70% of readings between 3.9–10.0 mmol/L</w:t>
      </w:r>
      <w:r>
        <w:br/>
        <w:t>• T1DM: &lt;4% of readings below 3.9 mmol/L (&lt;1% below 3.0 mmol/L)</w:t>
      </w:r>
      <w:r>
        <w:br/>
        <w:t>• Pregnancy: 63–140 mg/dL (3.5–7.8 mmol/L); &gt;70% TIR</w:t>
      </w:r>
    </w:p>
    <w:p w14:paraId="1A1D5343" w14:textId="77777777" w:rsidR="00D2338F" w:rsidRDefault="00000000">
      <w:r>
        <w:rPr>
          <w:b/>
          <w:color w:val="1F4E79"/>
          <w:sz w:val="28"/>
        </w:rPr>
        <w:t>4. Practical SMBG Technique</w:t>
      </w:r>
    </w:p>
    <w:p w14:paraId="720FF991" w14:textId="77777777" w:rsidR="00D2338F" w:rsidRDefault="00000000">
      <w:r>
        <w:t>Correct technique (patient teaching points):</w:t>
      </w:r>
      <w:r>
        <w:br/>
        <w:t>1. Wash and dry hands — warm water helps (do not use alcohol wipes — gives false readings)</w:t>
      </w:r>
      <w:r>
        <w:br/>
        <w:t>2. Use a new lancet each time (reduces pain; blunt lancets hurt more)</w:t>
      </w:r>
      <w:r>
        <w:br/>
        <w:t>3. Use the side of the fingertip — less painful than the pad</w:t>
      </w:r>
      <w:r>
        <w:br/>
        <w:t>4. Hang arm down briefly to encourage blood flow</w:t>
      </w:r>
      <w:r>
        <w:br/>
        <w:t>5. Apply blood drop to test strip — enough to fill the strip window completely</w:t>
      </w:r>
      <w:r>
        <w:br/>
        <w:t>6. Record result with date and time in diary/app</w:t>
      </w:r>
      <w:r>
        <w:br/>
        <w:t>7. Dispose of lancets in sharps bin</w:t>
      </w:r>
      <w:r>
        <w:br/>
      </w:r>
      <w:r>
        <w:br/>
        <w:t>Prescription entitlement:</w:t>
      </w:r>
      <w:r>
        <w:br/>
        <w:t>• Test strips, lancets, sharps bin: prescribable on FP10</w:t>
      </w:r>
      <w:r>
        <w:br/>
        <w:t>• Ensure patients have adequate supply — lancet and strip access must match testing frequency</w:t>
      </w:r>
    </w:p>
    <w:p w14:paraId="3DF36A3B" w14:textId="77777777" w:rsidR="00C74016" w:rsidRDefault="00C74016">
      <w:pPr>
        <w:rPr>
          <w:b/>
          <w:color w:val="1F4E79"/>
          <w:sz w:val="28"/>
        </w:rPr>
      </w:pPr>
    </w:p>
    <w:p w14:paraId="69E633C6" w14:textId="2E6A455A" w:rsidR="00D2338F" w:rsidRDefault="00000000">
      <w:r>
        <w:rPr>
          <w:b/>
          <w:color w:val="1F4E79"/>
          <w:sz w:val="28"/>
        </w:rPr>
        <w:lastRenderedPageBreak/>
        <w:t>5. Acting on Results — Structured SMBG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D2338F" w14:paraId="7118A3B7" w14:textId="77777777">
        <w:tc>
          <w:tcPr>
            <w:tcW w:w="9406" w:type="dxa"/>
            <w:shd w:val="clear" w:color="auto" w:fill="E8F8F1"/>
          </w:tcPr>
          <w:p w14:paraId="3F5D15C3" w14:textId="77777777" w:rsidR="00D2338F" w:rsidRDefault="00000000">
            <w:r>
              <w:rPr>
                <w:b/>
                <w:color w:val="0B5E35"/>
              </w:rPr>
              <w:t xml:space="preserve">💡 Structured SMBG: </w:t>
            </w:r>
            <w:r>
              <w:rPr>
                <w:color w:val="0B5E35"/>
              </w:rPr>
              <w:t>Testing alone has limited value. Provide a structured testing plan:</w:t>
            </w:r>
            <w:r>
              <w:rPr>
                <w:color w:val="0B5E35"/>
              </w:rPr>
              <w:br/>
              <w:t>• When to test (timing)</w:t>
            </w:r>
            <w:r>
              <w:rPr>
                <w:color w:val="0B5E35"/>
              </w:rPr>
              <w:br/>
              <w:t>• What the result means</w:t>
            </w:r>
            <w:r>
              <w:rPr>
                <w:color w:val="0B5E35"/>
              </w:rPr>
              <w:br/>
              <w:t>• What action to take</w:t>
            </w:r>
            <w:r>
              <w:rPr>
                <w:color w:val="0B5E35"/>
              </w:rPr>
              <w:br/>
            </w:r>
            <w:r>
              <w:rPr>
                <w:color w:val="0B5E35"/>
              </w:rPr>
              <w:br/>
              <w:t>Example structured plan for sulfonylurea user:</w:t>
            </w:r>
            <w:r>
              <w:rPr>
                <w:color w:val="0B5E35"/>
              </w:rPr>
              <w:br/>
              <w:t>• Test before each meal + before bed</w:t>
            </w:r>
            <w:r>
              <w:rPr>
                <w:color w:val="0B5E35"/>
              </w:rPr>
              <w:br/>
              <w:t>• BG &lt;4.0 = hypoglycaemia → treat with 15–20g glucose</w:t>
            </w:r>
            <w:r>
              <w:rPr>
                <w:color w:val="0B5E35"/>
              </w:rPr>
              <w:br/>
              <w:t>• BG &gt;12 consistently = contact GP/DSN</w:t>
            </w:r>
            <w:r>
              <w:rPr>
                <w:color w:val="0B5E35"/>
              </w:rPr>
              <w:br/>
              <w:t>• Test before any driving</w:t>
            </w:r>
          </w:p>
        </w:tc>
      </w:tr>
    </w:tbl>
    <w:p w14:paraId="594DA76E" w14:textId="77777777" w:rsidR="00D2338F" w:rsidRDefault="00D2338F"/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D2338F" w14:paraId="59F6D2AE" w14:textId="77777777">
        <w:tc>
          <w:tcPr>
            <w:tcW w:w="9406" w:type="dxa"/>
            <w:shd w:val="clear" w:color="auto" w:fill="F0F8FF"/>
          </w:tcPr>
          <w:p w14:paraId="131CFBDC" w14:textId="77777777" w:rsidR="00D2338F" w:rsidRDefault="00000000">
            <w:r>
              <w:rPr>
                <w:b/>
                <w:color w:val="003366"/>
              </w:rPr>
              <w:t xml:space="preserve">📝 In the Exam: </w:t>
            </w:r>
            <w:r>
              <w:rPr>
                <w:color w:val="003366"/>
              </w:rPr>
              <w:t>AKT: CGM on NHS — FreeStyle Libre for T1DM and T2DM on insulin; hybrid closed-loop NICE TA943 for T1DM. Not routinely recommended for T2DM on diet/metformin alone. NICE NG28 Feb 2026. Driving: BG ≥5 mmol/L before driving if on insulin/sulfonylurea.</w:t>
            </w:r>
            <w:r>
              <w:rPr>
                <w:color w:val="003366"/>
              </w:rPr>
              <w:br/>
              <w:t>SCA: Educate a patient on self-monitoring: when to test, what targets mean, how to act on results.</w:t>
            </w:r>
          </w:p>
        </w:tc>
      </w:tr>
    </w:tbl>
    <w:p w14:paraId="6CFD3A0B" w14:textId="77777777" w:rsidR="00D2338F" w:rsidRDefault="00D2338F"/>
    <w:p w14:paraId="49A8BA39" w14:textId="77777777" w:rsidR="00D2338F" w:rsidRDefault="00D2338F"/>
    <w:p w14:paraId="68FCEADB" w14:textId="77777777" w:rsidR="00D2338F" w:rsidRDefault="00000000">
      <w:pPr>
        <w:jc w:val="center"/>
      </w:pPr>
      <w:r>
        <w:rPr>
          <w:i/>
          <w:color w:val="606060"/>
          <w:sz w:val="18"/>
        </w:rPr>
        <w:t>A free resource provided by www.bradfordvts.co.uk, Dr Ramesh Mehay, revised May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D2338F" w14:paraId="0202F5DB" w14:textId="77777777">
        <w:tc>
          <w:tcPr>
            <w:tcW w:w="9406" w:type="dxa"/>
            <w:shd w:val="clear" w:color="auto" w:fill="FFF3CD"/>
          </w:tcPr>
          <w:p w14:paraId="49CABEB5" w14:textId="77777777" w:rsidR="00D2338F" w:rsidRDefault="00000000">
            <w:r>
              <w:rPr>
                <w:b/>
                <w:color w:val="7D4A00"/>
              </w:rPr>
              <w:t xml:space="preserve">⚠ Disclaimer: </w:t>
            </w:r>
            <w:r>
              <w:rPr>
                <w:color w:val="7D4A00"/>
              </w:rPr>
              <w:t>Always double check this advice and drug doses with the latest NICE/BNF guidance. This document is for educational purposes only.</w:t>
            </w:r>
          </w:p>
        </w:tc>
      </w:tr>
    </w:tbl>
    <w:p w14:paraId="469E8CB4" w14:textId="77777777" w:rsidR="00D2338F" w:rsidRDefault="00D2338F"/>
    <w:sectPr w:rsidR="00D2338F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2521394">
    <w:abstractNumId w:val="8"/>
  </w:num>
  <w:num w:numId="2" w16cid:durableId="1284264636">
    <w:abstractNumId w:val="6"/>
  </w:num>
  <w:num w:numId="3" w16cid:durableId="535776938">
    <w:abstractNumId w:val="5"/>
  </w:num>
  <w:num w:numId="4" w16cid:durableId="190387254">
    <w:abstractNumId w:val="4"/>
  </w:num>
  <w:num w:numId="5" w16cid:durableId="305739970">
    <w:abstractNumId w:val="7"/>
  </w:num>
  <w:num w:numId="6" w16cid:durableId="422342932">
    <w:abstractNumId w:val="3"/>
  </w:num>
  <w:num w:numId="7" w16cid:durableId="1434327484">
    <w:abstractNumId w:val="2"/>
  </w:num>
  <w:num w:numId="8" w16cid:durableId="778332956">
    <w:abstractNumId w:val="1"/>
  </w:num>
  <w:num w:numId="9" w16cid:durableId="1718162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74016"/>
    <w:rsid w:val="00CB0664"/>
    <w:rsid w:val="00D2338F"/>
    <w:rsid w:val="00E91C5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A93752"/>
  <w14:defaultImageDpi w14:val="300"/>
  <w15:docId w15:val="{16753C37-DDBC-45BC-92C6-A418E14C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3844</Characters>
  <Application>Microsoft Office Word</Application>
  <DocSecurity>0</DocSecurity>
  <Lines>116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2026-05-08T14:04:00Z</dcterms:modified>
  <cp:category/>
</cp:coreProperties>
</file>