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622"/>
      </w:tblGrid>
      <w:tr w:rsidR="004142E4" w14:paraId="53E717D4" w14:textId="77777777">
        <w:trPr>
          <w:jc w:val="center"/>
        </w:trPr>
        <w:tc>
          <w:tcPr>
            <w:tcW w:w="9638" w:type="dxa"/>
            <w:shd w:val="clear" w:color="auto" w:fill="E0651F"/>
          </w:tcPr>
          <w:p w14:paraId="25170780" w14:textId="77777777" w:rsidR="004142E4" w:rsidRDefault="00000000">
            <w:pPr>
              <w:jc w:val="center"/>
            </w:pPr>
            <w:r>
              <w:rPr>
                <w:b/>
                <w:caps/>
                <w:color w:val="FFFFFF"/>
              </w:rPr>
              <w:t>BRADFORD VTS TEACHING AIDS</w:t>
            </w:r>
          </w:p>
          <w:p w14:paraId="7F877FB4" w14:textId="00069C0C" w:rsidR="004142E4" w:rsidRDefault="00000000">
            <w:pPr>
              <w:jc w:val="center"/>
            </w:pPr>
            <w:r>
              <w:rPr>
                <w:b/>
                <w:color w:val="FFFFFF"/>
                <w:sz w:val="56"/>
              </w:rPr>
              <w:t xml:space="preserve">Insulin Formulary: Type 1 &amp; Type 2 </w:t>
            </w:r>
          </w:p>
          <w:p w14:paraId="0C3B242A" w14:textId="77777777" w:rsidR="004142E4" w:rsidRDefault="00000000">
            <w:pPr>
              <w:jc w:val="center"/>
            </w:pPr>
            <w:r>
              <w:rPr>
                <w:i/>
                <w:color w:val="FFE0CC"/>
                <w:sz w:val="26"/>
              </w:rPr>
              <w:t>BNF 2026 Verified · Bradford VTS · May 2026</w:t>
            </w:r>
          </w:p>
        </w:tc>
      </w:tr>
    </w:tbl>
    <w:p w14:paraId="6389FF2C" w14:textId="77777777" w:rsidR="004142E4" w:rsidRDefault="004142E4"/>
    <w:tbl>
      <w:tblPr>
        <w:tblW w:w="0" w:type="auto"/>
        <w:tblLook w:val="04A0" w:firstRow="1" w:lastRow="0" w:firstColumn="1" w:lastColumn="0" w:noHBand="0" w:noVBand="1"/>
      </w:tblPr>
      <w:tblGrid>
        <w:gridCol w:w="9406"/>
      </w:tblGrid>
      <w:tr w:rsidR="004142E4" w14:paraId="218CC710" w14:textId="77777777">
        <w:tc>
          <w:tcPr>
            <w:tcW w:w="9406" w:type="dxa"/>
            <w:shd w:val="clear" w:color="auto" w:fill="E8F4FD"/>
          </w:tcPr>
          <w:p w14:paraId="400F2F0C" w14:textId="77777777" w:rsidR="004142E4" w:rsidRDefault="00000000">
            <w:r>
              <w:rPr>
                <w:b/>
                <w:color w:val="0B3D6B"/>
              </w:rPr>
              <w:t xml:space="preserve">🔑 Key Points: </w:t>
            </w:r>
            <w:r>
              <w:rPr>
                <w:color w:val="0B3D6B"/>
              </w:rPr>
              <w:t>Insulin remains the most powerful glucose-lowering therapy available. All insulin types are now available as biosimilars (as effective and safe as originals). NICE NG28 (February 2026) and NG17 guide insulin use. BNF 2026 verifies all doses below.</w:t>
            </w:r>
          </w:p>
        </w:tc>
      </w:tr>
    </w:tbl>
    <w:p w14:paraId="6EFC22B0" w14:textId="210A75DA" w:rsidR="004142E4" w:rsidRDefault="00063038">
      <w:r>
        <w:rPr>
          <w:b/>
          <w:color w:val="1F4E79"/>
          <w:sz w:val="28"/>
        </w:rPr>
        <w:br/>
      </w:r>
      <w:r w:rsidR="00000000">
        <w:rPr>
          <w:b/>
          <w:color w:val="1F4E79"/>
          <w:sz w:val="28"/>
        </w:rPr>
        <w:t>1. Insulin Classification by Duration of Action</w:t>
      </w:r>
    </w:p>
    <w:tbl>
      <w:tblPr>
        <w:tblStyle w:val="TableGrid"/>
        <w:tblW w:w="0" w:type="auto"/>
        <w:tblLook w:val="04A0" w:firstRow="1" w:lastRow="0" w:firstColumn="1" w:lastColumn="0" w:noHBand="0" w:noVBand="1"/>
      </w:tblPr>
      <w:tblGrid>
        <w:gridCol w:w="2351"/>
        <w:gridCol w:w="2351"/>
        <w:gridCol w:w="2351"/>
        <w:gridCol w:w="2351"/>
      </w:tblGrid>
      <w:tr w:rsidR="004142E4" w14:paraId="0DC26292" w14:textId="77777777">
        <w:tc>
          <w:tcPr>
            <w:tcW w:w="2351" w:type="dxa"/>
            <w:shd w:val="clear" w:color="auto" w:fill="1F4E79"/>
          </w:tcPr>
          <w:p w14:paraId="59CBA71B" w14:textId="77777777" w:rsidR="004142E4" w:rsidRDefault="00000000">
            <w:r>
              <w:rPr>
                <w:b/>
                <w:color w:val="FFFFFF"/>
                <w:sz w:val="20"/>
              </w:rPr>
              <w:t>Class</w:t>
            </w:r>
          </w:p>
        </w:tc>
        <w:tc>
          <w:tcPr>
            <w:tcW w:w="2351" w:type="dxa"/>
            <w:shd w:val="clear" w:color="auto" w:fill="1F4E79"/>
          </w:tcPr>
          <w:p w14:paraId="74D6A9AC" w14:textId="77777777" w:rsidR="004142E4" w:rsidRDefault="00000000">
            <w:r>
              <w:rPr>
                <w:b/>
                <w:color w:val="FFFFFF"/>
                <w:sz w:val="20"/>
              </w:rPr>
              <w:t>Examples</w:t>
            </w:r>
          </w:p>
        </w:tc>
        <w:tc>
          <w:tcPr>
            <w:tcW w:w="2351" w:type="dxa"/>
            <w:shd w:val="clear" w:color="auto" w:fill="1F4E79"/>
          </w:tcPr>
          <w:p w14:paraId="6A3816C8" w14:textId="77777777" w:rsidR="004142E4" w:rsidRDefault="00000000">
            <w:r>
              <w:rPr>
                <w:b/>
                <w:color w:val="FFFFFF"/>
                <w:sz w:val="20"/>
              </w:rPr>
              <w:t>Onset / Peak / Duration</w:t>
            </w:r>
          </w:p>
        </w:tc>
        <w:tc>
          <w:tcPr>
            <w:tcW w:w="2351" w:type="dxa"/>
            <w:shd w:val="clear" w:color="auto" w:fill="1F4E79"/>
          </w:tcPr>
          <w:p w14:paraId="04CED4B2" w14:textId="77777777" w:rsidR="004142E4" w:rsidRDefault="00000000">
            <w:r>
              <w:rPr>
                <w:b/>
                <w:color w:val="FFFFFF"/>
                <w:sz w:val="20"/>
              </w:rPr>
              <w:t>Typical Use</w:t>
            </w:r>
          </w:p>
        </w:tc>
      </w:tr>
      <w:tr w:rsidR="004142E4" w14:paraId="1FF19D73" w14:textId="77777777">
        <w:tc>
          <w:tcPr>
            <w:tcW w:w="2351" w:type="dxa"/>
            <w:shd w:val="clear" w:color="auto" w:fill="FFFFFF"/>
          </w:tcPr>
          <w:p w14:paraId="754C2D76" w14:textId="77777777" w:rsidR="004142E4" w:rsidRDefault="00000000">
            <w:r>
              <w:rPr>
                <w:sz w:val="18"/>
              </w:rPr>
              <w:t>Rapid-acting (bolus)</w:t>
            </w:r>
          </w:p>
        </w:tc>
        <w:tc>
          <w:tcPr>
            <w:tcW w:w="2351" w:type="dxa"/>
            <w:shd w:val="clear" w:color="auto" w:fill="FFFFFF"/>
          </w:tcPr>
          <w:p w14:paraId="06791170" w14:textId="77777777" w:rsidR="004142E4" w:rsidRDefault="00000000">
            <w:r>
              <w:rPr>
                <w:sz w:val="18"/>
              </w:rPr>
              <w:t>Novorapid (aspart)</w:t>
            </w:r>
            <w:r>
              <w:rPr>
                <w:sz w:val="18"/>
              </w:rPr>
              <w:br/>
              <w:t>Humalog (lispro)</w:t>
            </w:r>
            <w:r>
              <w:rPr>
                <w:sz w:val="18"/>
              </w:rPr>
              <w:br/>
              <w:t>Fiasp (faster aspart)</w:t>
            </w:r>
            <w:r>
              <w:rPr>
                <w:sz w:val="18"/>
              </w:rPr>
              <w:br/>
              <w:t>Lysumia (lixisenatide)</w:t>
            </w:r>
          </w:p>
        </w:tc>
        <w:tc>
          <w:tcPr>
            <w:tcW w:w="2351" w:type="dxa"/>
            <w:shd w:val="clear" w:color="auto" w:fill="FFFFFF"/>
          </w:tcPr>
          <w:p w14:paraId="6D9EBC0B" w14:textId="77777777" w:rsidR="004142E4" w:rsidRDefault="00000000">
            <w:r>
              <w:rPr>
                <w:sz w:val="18"/>
              </w:rPr>
              <w:t>10–20 min / 1–3h / 3–5h</w:t>
            </w:r>
          </w:p>
        </w:tc>
        <w:tc>
          <w:tcPr>
            <w:tcW w:w="2351" w:type="dxa"/>
            <w:shd w:val="clear" w:color="auto" w:fill="FFFFFF"/>
          </w:tcPr>
          <w:p w14:paraId="7DA0E156" w14:textId="77777777" w:rsidR="004142E4" w:rsidRDefault="00000000">
            <w:r>
              <w:rPr>
                <w:sz w:val="18"/>
              </w:rPr>
              <w:t>Given with meals in T1DM and T2DM MDI. Fiasp: ultra-fast, inject with meal or 2 min before.</w:t>
            </w:r>
          </w:p>
        </w:tc>
      </w:tr>
      <w:tr w:rsidR="004142E4" w14:paraId="1803B0A9" w14:textId="77777777">
        <w:tc>
          <w:tcPr>
            <w:tcW w:w="2351" w:type="dxa"/>
            <w:shd w:val="clear" w:color="auto" w:fill="EBF5FB"/>
          </w:tcPr>
          <w:p w14:paraId="13320C56" w14:textId="77777777" w:rsidR="004142E4" w:rsidRDefault="00000000">
            <w:r>
              <w:rPr>
                <w:sz w:val="18"/>
              </w:rPr>
              <w:t>Short-acting (soluble)</w:t>
            </w:r>
          </w:p>
        </w:tc>
        <w:tc>
          <w:tcPr>
            <w:tcW w:w="2351" w:type="dxa"/>
            <w:shd w:val="clear" w:color="auto" w:fill="EBF5FB"/>
          </w:tcPr>
          <w:p w14:paraId="021004A1" w14:textId="77777777" w:rsidR="004142E4" w:rsidRDefault="00000000">
            <w:r>
              <w:rPr>
                <w:sz w:val="18"/>
              </w:rPr>
              <w:t>Actrapid</w:t>
            </w:r>
            <w:r>
              <w:rPr>
                <w:sz w:val="18"/>
              </w:rPr>
              <w:br/>
              <w:t>Humulin S</w:t>
            </w:r>
          </w:p>
        </w:tc>
        <w:tc>
          <w:tcPr>
            <w:tcW w:w="2351" w:type="dxa"/>
            <w:shd w:val="clear" w:color="auto" w:fill="EBF5FB"/>
          </w:tcPr>
          <w:p w14:paraId="3B8E4F9B" w14:textId="77777777" w:rsidR="004142E4" w:rsidRDefault="00000000">
            <w:r>
              <w:rPr>
                <w:sz w:val="18"/>
              </w:rPr>
              <w:t>30 min / 1–4h / 5–8h</w:t>
            </w:r>
          </w:p>
        </w:tc>
        <w:tc>
          <w:tcPr>
            <w:tcW w:w="2351" w:type="dxa"/>
            <w:shd w:val="clear" w:color="auto" w:fill="EBF5FB"/>
          </w:tcPr>
          <w:p w14:paraId="5D90D336" w14:textId="77777777" w:rsidR="004142E4" w:rsidRDefault="00000000">
            <w:r>
              <w:rPr>
                <w:sz w:val="18"/>
              </w:rPr>
              <w:t>Older preparation; IV use in DKA/surgery. Give 30 min before meals if subcutaneous.</w:t>
            </w:r>
          </w:p>
        </w:tc>
      </w:tr>
      <w:tr w:rsidR="004142E4" w14:paraId="6A327040" w14:textId="77777777">
        <w:tc>
          <w:tcPr>
            <w:tcW w:w="2351" w:type="dxa"/>
            <w:shd w:val="clear" w:color="auto" w:fill="FFFFFF"/>
          </w:tcPr>
          <w:p w14:paraId="609D0867" w14:textId="77777777" w:rsidR="004142E4" w:rsidRDefault="00000000">
            <w:r>
              <w:rPr>
                <w:sz w:val="18"/>
              </w:rPr>
              <w:t>Intermediate-acting (NPH)</w:t>
            </w:r>
          </w:p>
        </w:tc>
        <w:tc>
          <w:tcPr>
            <w:tcW w:w="2351" w:type="dxa"/>
            <w:shd w:val="clear" w:color="auto" w:fill="FFFFFF"/>
          </w:tcPr>
          <w:p w14:paraId="03583C6D" w14:textId="77777777" w:rsidR="004142E4" w:rsidRDefault="00000000">
            <w:r>
              <w:rPr>
                <w:sz w:val="18"/>
              </w:rPr>
              <w:t>Insulatard</w:t>
            </w:r>
            <w:r>
              <w:rPr>
                <w:sz w:val="18"/>
              </w:rPr>
              <w:br/>
              <w:t>Humulin I</w:t>
            </w:r>
          </w:p>
        </w:tc>
        <w:tc>
          <w:tcPr>
            <w:tcW w:w="2351" w:type="dxa"/>
            <w:shd w:val="clear" w:color="auto" w:fill="FFFFFF"/>
          </w:tcPr>
          <w:p w14:paraId="6B12CF60" w14:textId="77777777" w:rsidR="004142E4" w:rsidRDefault="00000000">
            <w:r>
              <w:rPr>
                <w:sz w:val="18"/>
              </w:rPr>
              <w:t>1–2h / 4–12h / 18–24h</w:t>
            </w:r>
          </w:p>
        </w:tc>
        <w:tc>
          <w:tcPr>
            <w:tcW w:w="2351" w:type="dxa"/>
            <w:shd w:val="clear" w:color="auto" w:fill="FFFFFF"/>
          </w:tcPr>
          <w:p w14:paraId="4BAA9567" w14:textId="77777777" w:rsidR="004142E4" w:rsidRDefault="00000000">
            <w:r>
              <w:rPr>
                <w:sz w:val="18"/>
              </w:rPr>
              <w:t>Basal insulin option; once or twice daily. Useful for steroid-induced hyperglycaemia.</w:t>
            </w:r>
          </w:p>
        </w:tc>
      </w:tr>
      <w:tr w:rsidR="004142E4" w14:paraId="4EE1B49F" w14:textId="77777777">
        <w:tc>
          <w:tcPr>
            <w:tcW w:w="2351" w:type="dxa"/>
            <w:shd w:val="clear" w:color="auto" w:fill="EBF5FB"/>
          </w:tcPr>
          <w:p w14:paraId="2C092D4E" w14:textId="77777777" w:rsidR="004142E4" w:rsidRDefault="00000000">
            <w:r>
              <w:rPr>
                <w:sz w:val="18"/>
              </w:rPr>
              <w:t>Long-acting (basal analogues)</w:t>
            </w:r>
          </w:p>
        </w:tc>
        <w:tc>
          <w:tcPr>
            <w:tcW w:w="2351" w:type="dxa"/>
            <w:shd w:val="clear" w:color="auto" w:fill="EBF5FB"/>
          </w:tcPr>
          <w:p w14:paraId="771BCBF2" w14:textId="77777777" w:rsidR="004142E4" w:rsidRDefault="00000000">
            <w:r>
              <w:rPr>
                <w:sz w:val="18"/>
              </w:rPr>
              <w:t>Lantus / Abasaglar (glargine U100)</w:t>
            </w:r>
            <w:r>
              <w:rPr>
                <w:sz w:val="18"/>
              </w:rPr>
              <w:br/>
              <w:t>Levemir (detemir)</w:t>
            </w:r>
            <w:r>
              <w:rPr>
                <w:sz w:val="18"/>
              </w:rPr>
              <w:br/>
              <w:t>Toujeo (glargine U300)</w:t>
            </w:r>
            <w:r>
              <w:rPr>
                <w:sz w:val="18"/>
              </w:rPr>
              <w:br/>
              <w:t>Tresiba (degludec)</w:t>
            </w:r>
          </w:p>
        </w:tc>
        <w:tc>
          <w:tcPr>
            <w:tcW w:w="2351" w:type="dxa"/>
            <w:shd w:val="clear" w:color="auto" w:fill="EBF5FB"/>
          </w:tcPr>
          <w:p w14:paraId="006BEF1D" w14:textId="77777777" w:rsidR="004142E4" w:rsidRDefault="00000000">
            <w:r>
              <w:rPr>
                <w:sz w:val="18"/>
              </w:rPr>
              <w:t>No peak / 24h+</w:t>
            </w:r>
          </w:p>
        </w:tc>
        <w:tc>
          <w:tcPr>
            <w:tcW w:w="2351" w:type="dxa"/>
            <w:shd w:val="clear" w:color="auto" w:fill="EBF5FB"/>
          </w:tcPr>
          <w:p w14:paraId="47C0EA1A" w14:textId="77777777" w:rsidR="004142E4" w:rsidRDefault="00000000">
            <w:r>
              <w:rPr>
                <w:sz w:val="18"/>
              </w:rPr>
              <w:t>Once-daily basal insulin. Degludec (Tresiba): up to 42h — fewest hypos. U300 glargine: less nocturnal hypos.</w:t>
            </w:r>
          </w:p>
        </w:tc>
      </w:tr>
      <w:tr w:rsidR="004142E4" w14:paraId="418A0DDB" w14:textId="77777777">
        <w:tc>
          <w:tcPr>
            <w:tcW w:w="2351" w:type="dxa"/>
            <w:shd w:val="clear" w:color="auto" w:fill="FFFFFF"/>
          </w:tcPr>
          <w:p w14:paraId="43DB2083" w14:textId="77777777" w:rsidR="004142E4" w:rsidRDefault="00000000">
            <w:r>
              <w:rPr>
                <w:sz w:val="18"/>
              </w:rPr>
              <w:t>Pre-mixed (biphasic)</w:t>
            </w:r>
          </w:p>
        </w:tc>
        <w:tc>
          <w:tcPr>
            <w:tcW w:w="2351" w:type="dxa"/>
            <w:shd w:val="clear" w:color="auto" w:fill="FFFFFF"/>
          </w:tcPr>
          <w:p w14:paraId="487B18E2" w14:textId="77777777" w:rsidR="004142E4" w:rsidRDefault="00000000">
            <w:r>
              <w:rPr>
                <w:sz w:val="18"/>
              </w:rPr>
              <w:t>NovoMix 30 (30% aspart + 70% protamine aspart)</w:t>
            </w:r>
            <w:r>
              <w:rPr>
                <w:sz w:val="18"/>
              </w:rPr>
              <w:br/>
              <w:t>Humulin M3 (30/70)</w:t>
            </w:r>
            <w:r>
              <w:rPr>
                <w:sz w:val="18"/>
              </w:rPr>
              <w:br/>
              <w:t>Humalog Mix 25/50</w:t>
            </w:r>
          </w:p>
        </w:tc>
        <w:tc>
          <w:tcPr>
            <w:tcW w:w="2351" w:type="dxa"/>
            <w:shd w:val="clear" w:color="auto" w:fill="FFFFFF"/>
          </w:tcPr>
          <w:p w14:paraId="35766108" w14:textId="77777777" w:rsidR="004142E4" w:rsidRDefault="00000000">
            <w:r>
              <w:rPr>
                <w:sz w:val="18"/>
              </w:rPr>
              <w:t>Biphasic — variable</w:t>
            </w:r>
          </w:p>
        </w:tc>
        <w:tc>
          <w:tcPr>
            <w:tcW w:w="2351" w:type="dxa"/>
            <w:shd w:val="clear" w:color="auto" w:fill="FFFFFF"/>
          </w:tcPr>
          <w:p w14:paraId="19753BF6" w14:textId="77777777" w:rsidR="004142E4" w:rsidRDefault="00000000">
            <w:r>
              <w:rPr>
                <w:sz w:val="18"/>
              </w:rPr>
              <w:t>Twice daily with meals. Simple but less flexible. NOT recommended during Ramadan fasting.</w:t>
            </w:r>
          </w:p>
        </w:tc>
      </w:tr>
    </w:tbl>
    <w:p w14:paraId="68425AF4" w14:textId="77777777" w:rsidR="004142E4" w:rsidRDefault="004142E4"/>
    <w:p w14:paraId="54A83F05" w14:textId="77777777" w:rsidR="004142E4" w:rsidRDefault="00000000">
      <w:r>
        <w:rPr>
          <w:b/>
          <w:color w:val="1F4E79"/>
          <w:sz w:val="28"/>
        </w:rPr>
        <w:t>2. Insulin Regimens</w:t>
      </w:r>
    </w:p>
    <w:p w14:paraId="558690BC" w14:textId="77777777" w:rsidR="004142E4" w:rsidRDefault="00000000">
      <w:r>
        <w:t>Basal-only (bedtime/once-daily long-acting):</w:t>
      </w:r>
      <w:r>
        <w:br/>
        <w:t>• For T2DM initiating insulin: start with 10 units long-acting analogue (glargine/detemir/degludec) at bedtime</w:t>
      </w:r>
      <w:r>
        <w:br/>
        <w:t>• Titrate up by 2 units every 3 days if fasting BG consistently above target (&gt;7 mmol/L)</w:t>
      </w:r>
      <w:r>
        <w:br/>
        <w:t>• Target fasting BG: 4–7 mmol/L</w:t>
      </w:r>
      <w:r>
        <w:br/>
        <w:t>• Continue metformin and SGLT2i for cardiorenal benefit</w:t>
      </w:r>
      <w:r>
        <w:br/>
      </w:r>
      <w:r>
        <w:br/>
        <w:t>Basal-bolus (MDI — Multiple Daily Injections):</w:t>
      </w:r>
      <w:r>
        <w:br/>
        <w:t>• Used in T1DM and T2DM with poor control on basal-only</w:t>
      </w:r>
      <w:r>
        <w:br/>
      </w:r>
      <w:r>
        <w:lastRenderedPageBreak/>
        <w:t>• Basal: once or twice daily long-acting analogue</w:t>
      </w:r>
      <w:r>
        <w:br/>
        <w:t>• Bolus: rapid-acting analogue with each meal</w:t>
      </w:r>
      <w:r>
        <w:br/>
        <w:t>• Starting dose in T2DM: divide total daily dose 50:50 basal:bolus</w:t>
      </w:r>
      <w:r>
        <w:br/>
        <w:t>• T1DM: typically 0.5–1.0 units/kg/day total; 50% basal, 50% bolus</w:t>
      </w:r>
      <w:r>
        <w:br/>
      </w:r>
      <w:r>
        <w:br/>
        <w:t>Pre-mixed (biphasic):</w:t>
      </w:r>
      <w:r>
        <w:br/>
        <w:t>• Twice daily (morning and evening) with meals</w:t>
      </w:r>
      <w:r>
        <w:br/>
        <w:t>• Simpler regimen but less flexible; higher hypo risk</w:t>
      </w:r>
      <w:r>
        <w:br/>
        <w:t>• Avoid during Ramadan fasting — unpredictable pharmacokinetics</w:t>
      </w:r>
      <w:r>
        <w:br/>
        <w:t>• Consider switching to basal-bolus for Ramadan if patient wishes to fast</w:t>
      </w:r>
      <w:r>
        <w:br/>
      </w:r>
      <w:r>
        <w:br/>
        <w:t>Continuous Subcutaneous Insulin Infusion (CSII — pump therapy):</w:t>
      </w:r>
      <w:r>
        <w:br/>
        <w:t>• For T1DM with recurrent hypoglycaemia, hypoglycaemia unawareness, or poor control on MDI</w:t>
      </w:r>
      <w:r>
        <w:br/>
        <w:t>• NICE TA151 — available on NHS for eligible T1DM patients</w:t>
      </w:r>
      <w:r>
        <w:br/>
        <w:t>• Hybrid closed-loop: NICE TA943 2023 — automated basal adjustment with CGM</w:t>
      </w:r>
    </w:p>
    <w:p w14:paraId="266B680C" w14:textId="77777777" w:rsidR="004142E4" w:rsidRDefault="00000000">
      <w:r>
        <w:rPr>
          <w:b/>
          <w:color w:val="1F4E79"/>
          <w:sz w:val="28"/>
        </w:rPr>
        <w:t>3. Biosimilar Insulins (NICE NG28 February 2026)</w:t>
      </w:r>
    </w:p>
    <w:p w14:paraId="01834F7B" w14:textId="77777777" w:rsidR="004142E4" w:rsidRDefault="00000000">
      <w:r>
        <w:t>• Biosimilar insulins are as safe and effective as their reference products</w:t>
      </w:r>
      <w:r>
        <w:br/>
        <w:t>• NICE recommends: for NEW initiations, prescribe the least expensive biosimilar option</w:t>
      </w:r>
      <w:r>
        <w:br/>
        <w:t>• Planned switching at review: involve shared decision-making; plan carefully to avoid dose confusion</w:t>
      </w:r>
      <w:r>
        <w:br/>
        <w:t>• Examples of biosimilars available in UK:</w:t>
      </w:r>
      <w:r>
        <w:br/>
        <w:t xml:space="preserve">  – Abasaglar (glargine biosimilar; biosimilar of Lantus)</w:t>
      </w:r>
      <w:r>
        <w:br/>
        <w:t xml:space="preserve">  – Semglee (glargine biosimilar)</w:t>
      </w:r>
      <w:r>
        <w:br/>
        <w:t xml:space="preserve">  – Insulin glargine Sanofi (biosimilar)</w:t>
      </w:r>
      <w:r>
        <w:br/>
        <w:t xml:space="preserve">  – Insulin lispro Sanofi (Humalog biosimilar)</w:t>
      </w:r>
      <w:r>
        <w:br/>
        <w:t>• Check BNF/local formulary for current approved biosimilars</w:t>
      </w:r>
    </w:p>
    <w:p w14:paraId="258CE13A" w14:textId="77777777" w:rsidR="004142E4" w:rsidRDefault="00000000">
      <w:r>
        <w:rPr>
          <w:b/>
          <w:color w:val="1F4E79"/>
          <w:sz w:val="28"/>
        </w:rPr>
        <w:t>4. Key Safety Points (BNF 2026 / NICE)</w:t>
      </w:r>
    </w:p>
    <w:tbl>
      <w:tblPr>
        <w:tblW w:w="0" w:type="auto"/>
        <w:tblLook w:val="04A0" w:firstRow="1" w:lastRow="0" w:firstColumn="1" w:lastColumn="0" w:noHBand="0" w:noVBand="1"/>
      </w:tblPr>
      <w:tblGrid>
        <w:gridCol w:w="9406"/>
      </w:tblGrid>
      <w:tr w:rsidR="004142E4" w14:paraId="7BA6D2F6" w14:textId="77777777">
        <w:tc>
          <w:tcPr>
            <w:tcW w:w="9406" w:type="dxa"/>
            <w:shd w:val="clear" w:color="auto" w:fill="FDECEA"/>
          </w:tcPr>
          <w:p w14:paraId="28A922BF" w14:textId="77777777" w:rsidR="004142E4" w:rsidRDefault="00000000">
            <w:r>
              <w:rPr>
                <w:b/>
                <w:color w:val="7B1717"/>
              </w:rPr>
              <w:t xml:space="preserve">⚠ Safety: </w:t>
            </w:r>
            <w:r>
              <w:rPr>
                <w:color w:val="7B1717"/>
              </w:rPr>
              <w:t>⚠ Critical Safety Points:</w:t>
            </w:r>
            <w:r>
              <w:rPr>
                <w:color w:val="7B1717"/>
              </w:rPr>
              <w:br/>
              <w:t>• NEVER stop insulin in T1DM — even if not eating (illness, vomiting) → risk DKA</w:t>
            </w:r>
            <w:r>
              <w:rPr>
                <w:color w:val="7B1717"/>
              </w:rPr>
              <w:br/>
              <w:t>• U100 vs U300 vs U500: different concentrations — NEVER use U300 pen with U100 syringe</w:t>
            </w:r>
            <w:r>
              <w:rPr>
                <w:color w:val="7B1717"/>
              </w:rPr>
              <w:br/>
              <w:t>• U40 insulin (used in some countries): 2.5× weaker than UK standard U100 — DO NOT use U40 pen/syringe in UK</w:t>
            </w:r>
            <w:r>
              <w:rPr>
                <w:color w:val="7B1717"/>
              </w:rPr>
              <w:br/>
              <w:t>• Insulin must be stored correctly: unopened vials in fridge (2–8°C); in-use pens at room temperature &lt;25°C for ≤28 days</w:t>
            </w:r>
            <w:r>
              <w:rPr>
                <w:color w:val="7B1717"/>
              </w:rPr>
              <w:br/>
              <w:t>• Injection sites: rotate within abdomen, thigh, buttocks, upper arm — lipohypertrophy causes erratic absorption</w:t>
            </w:r>
            <w:r>
              <w:rPr>
                <w:color w:val="7B1717"/>
              </w:rPr>
              <w:br/>
              <w:t>• Needle length: 4mm needles recommended for most patients (less intramuscular injection risk)</w:t>
            </w:r>
            <w:r>
              <w:rPr>
                <w:color w:val="7B1717"/>
              </w:rPr>
              <w:br/>
              <w:t>• Driving: check BG ≥5 mmol/L before driving; carry fast glucose always</w:t>
            </w:r>
            <w:r>
              <w:rPr>
                <w:color w:val="7B1717"/>
              </w:rPr>
              <w:br/>
              <w:t>• DVLA: must be notified when starting insulin; licence restricted review period</w:t>
            </w:r>
          </w:p>
        </w:tc>
      </w:tr>
    </w:tbl>
    <w:p w14:paraId="49F81A32" w14:textId="77777777" w:rsidR="004142E4" w:rsidRDefault="004142E4"/>
    <w:tbl>
      <w:tblPr>
        <w:tblW w:w="0" w:type="auto"/>
        <w:tblLook w:val="04A0" w:firstRow="1" w:lastRow="0" w:firstColumn="1" w:lastColumn="0" w:noHBand="0" w:noVBand="1"/>
      </w:tblPr>
      <w:tblGrid>
        <w:gridCol w:w="9406"/>
      </w:tblGrid>
      <w:tr w:rsidR="004142E4" w14:paraId="1ABBE2D5" w14:textId="77777777">
        <w:tc>
          <w:tcPr>
            <w:tcW w:w="9406" w:type="dxa"/>
            <w:shd w:val="clear" w:color="auto" w:fill="F0F8FF"/>
          </w:tcPr>
          <w:p w14:paraId="4E11C4E8" w14:textId="77777777" w:rsidR="004142E4" w:rsidRDefault="00000000">
            <w:r>
              <w:rPr>
                <w:b/>
                <w:color w:val="003366"/>
              </w:rPr>
              <w:lastRenderedPageBreak/>
              <w:t xml:space="preserve">📝 In the Exam: </w:t>
            </w:r>
            <w:r>
              <w:rPr>
                <w:color w:val="003366"/>
              </w:rPr>
              <w:t>AKT: Know insulin classes, duration, biosimilar guidance (NICE NG28 Feb 2026). T2DM initial insulin = basal (10 units, titrate). Tresiba (degludec) = fewest hypos. CSII = NICE TA151 T1DM.</w:t>
            </w:r>
            <w:r>
              <w:rPr>
                <w:color w:val="003366"/>
              </w:rPr>
              <w:br/>
              <w:t>SCA: Counsel a patient starting insulin — technique, storage, driving, sick day rules, glucagon kit.</w:t>
            </w:r>
          </w:p>
        </w:tc>
      </w:tr>
    </w:tbl>
    <w:p w14:paraId="34F9C418" w14:textId="77777777" w:rsidR="004142E4" w:rsidRDefault="004142E4"/>
    <w:p w14:paraId="6CE4A7D4" w14:textId="77777777" w:rsidR="004142E4" w:rsidRDefault="004142E4"/>
    <w:p w14:paraId="1B076B6D" w14:textId="77777777" w:rsidR="004142E4" w:rsidRDefault="00000000">
      <w:pPr>
        <w:jc w:val="center"/>
      </w:pPr>
      <w:r>
        <w:rPr>
          <w:i/>
          <w:color w:val="606060"/>
          <w:sz w:val="18"/>
        </w:rPr>
        <w:t>A free resource provided by www.bradfordvts.co.uk, Dr Ramesh Mehay, revised May 2026</w:t>
      </w:r>
    </w:p>
    <w:tbl>
      <w:tblPr>
        <w:tblW w:w="0" w:type="auto"/>
        <w:tblLook w:val="04A0" w:firstRow="1" w:lastRow="0" w:firstColumn="1" w:lastColumn="0" w:noHBand="0" w:noVBand="1"/>
      </w:tblPr>
      <w:tblGrid>
        <w:gridCol w:w="9406"/>
      </w:tblGrid>
      <w:tr w:rsidR="004142E4" w14:paraId="4CB567B6" w14:textId="77777777">
        <w:tc>
          <w:tcPr>
            <w:tcW w:w="9406" w:type="dxa"/>
            <w:shd w:val="clear" w:color="auto" w:fill="FFF3CD"/>
          </w:tcPr>
          <w:p w14:paraId="06B0EE5F" w14:textId="77777777" w:rsidR="004142E4" w:rsidRDefault="00000000">
            <w:r>
              <w:rPr>
                <w:b/>
                <w:color w:val="7D4A00"/>
              </w:rPr>
              <w:t xml:space="preserve">⚠ Disclaimer: </w:t>
            </w:r>
            <w:r>
              <w:rPr>
                <w:color w:val="7D4A00"/>
              </w:rPr>
              <w:t>Always double check this advice and drug doses with the latest NICE/BNF guidance. This document is for educational purposes only.</w:t>
            </w:r>
          </w:p>
        </w:tc>
      </w:tr>
    </w:tbl>
    <w:p w14:paraId="6658899B" w14:textId="77777777" w:rsidR="004142E4" w:rsidRDefault="004142E4"/>
    <w:sectPr w:rsidR="004142E4"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3608650">
    <w:abstractNumId w:val="8"/>
  </w:num>
  <w:num w:numId="2" w16cid:durableId="1609657738">
    <w:abstractNumId w:val="6"/>
  </w:num>
  <w:num w:numId="3" w16cid:durableId="1449855512">
    <w:abstractNumId w:val="5"/>
  </w:num>
  <w:num w:numId="4" w16cid:durableId="831332311">
    <w:abstractNumId w:val="4"/>
  </w:num>
  <w:num w:numId="5" w16cid:durableId="945423051">
    <w:abstractNumId w:val="7"/>
  </w:num>
  <w:num w:numId="6" w16cid:durableId="1054698032">
    <w:abstractNumId w:val="3"/>
  </w:num>
  <w:num w:numId="7" w16cid:durableId="1744645553">
    <w:abstractNumId w:val="2"/>
  </w:num>
  <w:num w:numId="8" w16cid:durableId="1224680095">
    <w:abstractNumId w:val="1"/>
  </w:num>
  <w:num w:numId="9" w16cid:durableId="107126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3038"/>
    <w:rsid w:val="00127E1A"/>
    <w:rsid w:val="0015074B"/>
    <w:rsid w:val="0029639D"/>
    <w:rsid w:val="00326F90"/>
    <w:rsid w:val="004142E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5A0EF3"/>
  <w14:defaultImageDpi w14:val="300"/>
  <w15:docId w15:val="{A9FEBBB4-7FB8-4865-AED7-08099827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688</Words>
  <Characters>3991</Characters>
  <Application>Microsoft Office Word</Application>
  <DocSecurity>0</DocSecurity>
  <Lines>124</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2026-05-08T14:06:00Z</dcterms:modified>
  <cp:category/>
</cp:coreProperties>
</file>