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972"/>
      </w:tblGrid>
      <w:tr>
        <w:tc>
          <w:tcPr>
            <w:tcW w:type="dxa" w:w="9638"/>
            <w:shd w:val="clear" w:color="auto" w:fill="E0651F"/>
          </w:tcPr>
          <w:p>
            <w:pPr>
              <w:spacing w:before="160" w:after="40"/>
              <w:jc w:val="center"/>
            </w:pPr>
            <w:r>
              <w:rPr>
                <w:rFonts w:ascii="Calibri" w:hAnsi="Calibri"/>
                <w:b/>
                <w:color w:val="FFFFFF"/>
                <w:sz w:val="18"/>
              </w:rPr>
              <w:t>BRADFORD VTS TEACHING AIDS</w:t>
            </w:r>
          </w:p>
          <w:p>
            <w:pPr>
              <w:spacing w:before="80" w:after="80"/>
              <w:jc w:val="center"/>
            </w:pPr>
            <w:r>
              <w:rPr>
                <w:rFonts w:ascii="Calibri" w:hAnsi="Calibri"/>
                <w:b/>
                <w:color w:val="FFFFFF"/>
                <w:sz w:val="64"/>
              </w:rPr>
              <w:t>Airline Medicine for GPs</w:t>
            </w:r>
          </w:p>
          <w:p>
            <w:pPr>
              <w:spacing w:before="40" w:after="200"/>
              <w:jc w:val="center"/>
            </w:pPr>
            <w:r>
              <w:rPr>
                <w:rFonts w:ascii="Calibri" w:hAnsi="Calibri"/>
                <w:i/>
                <w:color w:val="FFDCBE"/>
                <w:sz w:val="20"/>
              </w:rPr>
              <w:t>Medical Emergencies In-Flight: Legal, Ethical &amp; Practical Guidance  ·  Bradford VTS  ·  May 2026</w:t>
            </w:r>
          </w:p>
        </w:tc>
      </w:tr>
    </w:tbl>
    <w:p/>
    <w:p>
      <w:pPr>
        <w:spacing w:before="240" w:after="80"/>
      </w:pPr>
      <w:r>
        <w:rPr>
          <w:rFonts w:ascii="Calibri" w:hAnsi="Calibri"/>
          <w:b/>
          <w:color w:val="E0651F"/>
          <w:sz w:val="26"/>
        </w:rPr>
        <w:t>Introduction — Should I Help?</w:t>
      </w:r>
    </w:p>
    <w:p>
      <w:pPr>
        <w:spacing w:after="160"/>
      </w:pPr>
      <w:r>
        <w:rPr>
          <w:rFonts w:ascii="Calibri" w:hAnsi="Calibri"/>
          <w:sz w:val="21"/>
        </w:rPr>
        <w:t>Medical emergencies occur on approximately 1 in every 604 flights, with syncope/pre-syncope, respiratory symptoms, and cardiac events being the most common presentations. If you are a doctor on a flight when a medical emergency occurs, you will need to make a quick decision. This guide outlines your legal position, ethical duties, practical steps, and what to expect from the aircraft medical kit.</w:t>
      </w:r>
    </w:p>
    <w:p>
      <w:pPr>
        <w:spacing w:before="240" w:after="80"/>
      </w:pPr>
      <w:r>
        <w:rPr>
          <w:rFonts w:ascii="Calibri" w:hAnsi="Calibri"/>
          <w:b/>
          <w:color w:val="1B6CA8"/>
          <w:sz w:val="24"/>
        </w:rPr>
        <w:t>⚖️  Legal Liability</w:t>
      </w:r>
    </w:p>
    <w:tbl>
      <w:tblPr>
        <w:tblStyle w:val="TableGrid"/>
        <w:tblW w:type="auto" w:w="0"/>
        <w:tblLook w:firstColumn="1" w:firstRow="1" w:lastColumn="0" w:lastRow="0" w:noHBand="0" w:noVBand="1" w:val="04A0"/>
      </w:tblPr>
      <w:tblGrid>
        <w:gridCol w:w="9972"/>
      </w:tblGrid>
      <w:tr>
        <w:tc>
          <w:tcPr>
            <w:tcW w:type="dxa" w:w="9972"/>
            <w:shd w:val="clear" w:color="auto" w:fill="E3F2FD"/>
          </w:tcPr>
          <w:p>
            <w:pPr>
              <w:spacing w:before="80" w:after="40"/>
            </w:pPr>
            <w:r>
              <w:rPr>
                <w:rFonts w:ascii="Calibri" w:hAnsi="Calibri"/>
                <w:b/>
                <w:color w:val="1B6CA8"/>
                <w:sz w:val="23"/>
              </w:rPr>
              <w:t>🛡️ Indemnity for Healthcare Professionals Volunteering In-Flight</w:t>
            </w:r>
          </w:p>
          <w:p>
            <w:pPr>
              <w:spacing w:before="20" w:after="20"/>
              <w:ind w:left="227"/>
            </w:pPr>
            <w:r>
              <w:rPr>
                <w:rFonts w:ascii="Calibri" w:hAnsi="Calibri"/>
                <w:color w:val="1A1A1A"/>
                <w:sz w:val="21"/>
              </w:rPr>
              <w:t>• MDU, MDDUS, and MPS all cover Good Samaritan Acts worldwide, including Canada and the USA</w:t>
            </w:r>
          </w:p>
          <w:p>
            <w:pPr>
              <w:spacing w:before="20" w:after="20"/>
              <w:ind w:left="227"/>
            </w:pPr>
            <w:r>
              <w:rPr>
                <w:rFonts w:ascii="Calibri" w:hAnsi="Calibri"/>
                <w:color w:val="1A1A1A"/>
                <w:sz w:val="21"/>
              </w:rPr>
              <w:t>• Many airlines provide additional indemnity for voluntarily assisting healthcare professionals — check with crew</w:t>
            </w:r>
          </w:p>
          <w:p>
            <w:pPr>
              <w:spacing w:before="20" w:after="20"/>
              <w:ind w:left="227"/>
            </w:pPr>
            <w:r>
              <w:rPr>
                <w:rFonts w:ascii="Calibri" w:hAnsi="Calibri"/>
                <w:color w:val="1A1A1A"/>
                <w:sz w:val="21"/>
              </w:rPr>
              <w:t>• US Aviation Medical Assistance Act 1998: provides legal protection for doctors assisting on US aircraft</w:t>
            </w:r>
          </w:p>
          <w:p>
            <w:pPr>
              <w:spacing w:before="20" w:after="20"/>
              <w:ind w:left="227"/>
            </w:pPr>
            <w:r>
              <w:rPr>
                <w:rFonts w:ascii="Calibri" w:hAnsi="Calibri"/>
                <w:color w:val="1A1A1A"/>
                <w:sz w:val="21"/>
              </w:rPr>
              <w:t>• Good Samaritan legislation exists in some countries (e.g. Canada, Australia)</w:t>
            </w:r>
          </w:p>
          <w:p>
            <w:pPr>
              <w:spacing w:before="20" w:after="20"/>
              <w:ind w:left="227"/>
            </w:pPr>
            <w:r>
              <w:rPr>
                <w:rFonts w:ascii="Calibri" w:hAnsi="Calibri"/>
                <w:color w:val="1A1A1A"/>
                <w:sz w:val="21"/>
              </w:rPr>
              <w:t>• If a ground-based telemedicine service is involved AND their advice is followed, they may assume legal liability</w:t>
            </w:r>
          </w:p>
        </w:tc>
      </w:tr>
    </w:tbl>
    <w:p/>
    <w:tbl>
      <w:tblPr>
        <w:tblStyle w:val="TableGrid"/>
        <w:tblW w:type="auto" w:w="0"/>
        <w:tblLook w:firstColumn="1" w:firstRow="1" w:lastColumn="0" w:lastRow="0" w:noHBand="0" w:noVBand="1" w:val="04A0"/>
      </w:tblPr>
      <w:tblGrid>
        <w:gridCol w:w="9972"/>
      </w:tblGrid>
      <w:tr>
        <w:tc>
          <w:tcPr>
            <w:tcW w:type="dxa" w:w="9972"/>
            <w:shd w:val="clear" w:color="auto" w:fill="E8EAF6"/>
          </w:tcPr>
          <w:p>
            <w:pPr>
              <w:spacing w:before="80" w:after="40"/>
            </w:pPr>
            <w:r>
              <w:rPr>
                <w:rFonts w:ascii="Calibri" w:hAnsi="Calibri"/>
                <w:b/>
                <w:color w:val="283593"/>
                <w:sz w:val="23"/>
              </w:rPr>
              <w:t>📐 The Bolam Standard Applies</w:t>
            </w:r>
          </w:p>
          <w:p>
            <w:pPr>
              <w:spacing w:before="20" w:after="20"/>
              <w:ind w:left="227"/>
            </w:pPr>
            <w:r>
              <w:rPr>
                <w:rFonts w:ascii="Calibri" w:hAnsi="Calibri"/>
                <w:color w:val="1A1A1A"/>
                <w:sz w:val="21"/>
              </w:rPr>
              <w:t>• Competence is measured by the Bolam test: not negligent if acting in accordance with practice accepted at the time as proper by a responsible body of medical opinion</w:t>
            </w:r>
          </w:p>
          <w:p>
            <w:pPr>
              <w:spacing w:before="20" w:after="20"/>
              <w:ind w:left="227"/>
            </w:pPr>
            <w:r>
              <w:rPr>
                <w:rFonts w:ascii="Calibri" w:hAnsi="Calibri"/>
                <w:color w:val="1A1A1A"/>
                <w:sz w:val="21"/>
              </w:rPr>
              <w:t>• Unfortunate outcomes or errors do NOT in themselves constitute negligence</w:t>
            </w:r>
          </w:p>
          <w:p>
            <w:pPr>
              <w:spacing w:before="20" w:after="20"/>
              <w:ind w:left="227"/>
            </w:pPr>
            <w:r>
              <w:rPr>
                <w:rFonts w:ascii="Calibri" w:hAnsi="Calibri"/>
                <w:color w:val="1A1A1A"/>
                <w:sz w:val="21"/>
              </w:rPr>
              <w:t>• Act within the limits of your professional competence</w:t>
            </w:r>
          </w:p>
          <w:p>
            <w:pPr>
              <w:spacing w:before="20" w:after="20"/>
              <w:ind w:left="227"/>
            </w:pPr>
            <w:r>
              <w:rPr>
                <w:rFonts w:ascii="Calibri" w:hAnsi="Calibri"/>
                <w:color w:val="1A1A1A"/>
                <w:sz w:val="21"/>
              </w:rPr>
              <w:t>• Document your actions mentally (and later formally in your medical notes) — what you found, what you did, outcome</w:t>
            </w:r>
          </w:p>
        </w:tc>
      </w:tr>
    </w:tbl>
    <w:p/>
    <w:p>
      <w:r>
        <w:rPr>
          <w:color w:val="DCDCDC"/>
          <w:sz w:val="14"/>
        </w:rPr>
        <w:t>────────────────────────────────────────────────────────────────────────────────</w:t>
      </w:r>
    </w:p>
    <w:p>
      <w:pPr>
        <w:spacing w:before="240" w:after="80"/>
      </w:pPr>
      <w:r>
        <w:rPr>
          <w:rFonts w:ascii="Calibri" w:hAnsi="Calibri"/>
          <w:b/>
          <w:color w:val="2E7D32"/>
          <w:sz w:val="24"/>
        </w:rPr>
        <w:t>🩺  Ethical Duties — Should You Help?</w:t>
      </w:r>
    </w:p>
    <w:p>
      <w:pPr>
        <w:spacing w:after="120"/>
      </w:pPr>
      <w:r>
        <w:rPr>
          <w:b/>
        </w:rPr>
        <w:t xml:space="preserve">GMC position: </w:t>
      </w:r>
      <w:r>
        <w:rPr>
          <w:rFonts w:ascii="Calibri" w:hAnsi="Calibri"/>
          <w:sz w:val="21"/>
        </w:rPr>
        <w:t>Doctors have an ethical duty to assist in an emergency. The GMC also advises that doctors "recognise and work within the limits of your professional competence." The BMA recommends that doctors be willing to identify themselves and offer help.</w:t>
      </w:r>
    </w:p>
    <w:tbl>
      <w:tblPr>
        <w:tblStyle w:val="TableGrid"/>
        <w:tblW w:type="auto" w:w="0"/>
        <w:tblLook w:firstColumn="1" w:firstRow="1" w:lastColumn="0" w:lastRow="0" w:noHBand="0" w:noVBand="1" w:val="04A0"/>
      </w:tblPr>
      <w:tblGrid>
        <w:gridCol w:w="9972"/>
      </w:tblGrid>
      <w:tr>
        <w:tc>
          <w:tcPr>
            <w:tcW w:type="dxa" w:w="9972"/>
            <w:shd w:val="clear" w:color="auto" w:fill="E8F5E9"/>
          </w:tcPr>
          <w:p>
            <w:pPr>
              <w:spacing w:before="80" w:after="40"/>
            </w:pPr>
            <w:r>
              <w:rPr>
                <w:rFonts w:ascii="Calibri" w:hAnsi="Calibri"/>
                <w:b/>
                <w:color w:val="2E7D32"/>
                <w:sz w:val="23"/>
              </w:rPr>
              <w:t>⚕️ Key Ethical Considerations</w:t>
            </w:r>
          </w:p>
          <w:p>
            <w:pPr>
              <w:spacing w:before="20" w:after="20"/>
              <w:ind w:left="227"/>
            </w:pPr>
            <w:r>
              <w:rPr>
                <w:rFonts w:ascii="Calibri" w:hAnsi="Calibri"/>
                <w:color w:val="1A1A1A"/>
                <w:sz w:val="21"/>
              </w:rPr>
              <w:t>• GMC: ethical duty to help in emergencies (not a legal duty in England and Wales)</w:t>
            </w:r>
          </w:p>
          <w:p>
            <w:pPr>
              <w:spacing w:before="20" w:after="20"/>
              <w:ind w:left="227"/>
            </w:pPr>
            <w:r>
              <w:rPr>
                <w:rFonts w:ascii="Calibri" w:hAnsi="Calibri"/>
                <w:color w:val="1A1A1A"/>
                <w:sz w:val="21"/>
              </w:rPr>
              <w:t>• French and German doctors: LEGAL duty to help in a medical emergency</w:t>
            </w:r>
          </w:p>
          <w:p>
            <w:pPr>
              <w:spacing w:before="20" w:after="20"/>
              <w:ind w:left="227"/>
            </w:pPr>
            <w:r>
              <w:rPr>
                <w:rFonts w:ascii="Calibri" w:hAnsi="Calibri"/>
                <w:color w:val="1A1A1A"/>
                <w:sz w:val="21"/>
              </w:rPr>
              <w:t>• Fitness to help: consider your own health and sobriety before volunteering</w:t>
            </w:r>
          </w:p>
          <w:p>
            <w:pPr>
              <w:spacing w:before="20" w:after="20"/>
              <w:ind w:left="227"/>
            </w:pPr>
            <w:r>
              <w:rPr>
                <w:rFonts w:ascii="Calibri" w:hAnsi="Calibri"/>
                <w:color w:val="1A1A1A"/>
                <w:sz w:val="21"/>
              </w:rPr>
              <w:t>• Alcohol: if consumed alcohol but feel fit to assist — inform crew and patient; use your clinical judgement</w:t>
            </w:r>
          </w:p>
          <w:p>
            <w:pPr>
              <w:spacing w:before="20" w:after="20"/>
              <w:ind w:left="227"/>
            </w:pPr>
            <w:r>
              <w:rPr>
                <w:rFonts w:ascii="Calibri" w:hAnsi="Calibri"/>
                <w:color w:val="1A1A1A"/>
                <w:sz w:val="21"/>
              </w:rPr>
              <w:t>• Do NOT charge for your services — Good Samaritans do not require payment (may breach indemnity terms)</w:t>
            </w:r>
          </w:p>
          <w:p>
            <w:pPr>
              <w:spacing w:before="20" w:after="20"/>
              <w:ind w:left="227"/>
            </w:pPr>
            <w:r>
              <w:rPr>
                <w:rFonts w:ascii="Calibri" w:hAnsi="Calibri"/>
                <w:color w:val="1A1A1A"/>
                <w:sz w:val="21"/>
              </w:rPr>
              <w:t>• The Captain has ULTIMATE responsibility for diversion decisions — you advise; they decide</w:t>
            </w:r>
          </w:p>
        </w:tc>
      </w:tr>
    </w:tbl>
    <w:p/>
    <w:p>
      <w:r>
        <w:rPr>
          <w:color w:val="DCDCDC"/>
          <w:sz w:val="14"/>
        </w:rPr>
        <w:t>────────────────────────────────────────────────────────────────────────────────</w:t>
      </w:r>
    </w:p>
    <w:p>
      <w:pPr>
        <w:spacing w:before="240" w:after="80"/>
      </w:pPr>
      <w:r>
        <w:rPr>
          <w:rFonts w:ascii="Calibri" w:hAnsi="Calibri"/>
          <w:b/>
          <w:color w:val="E0651F"/>
          <w:sz w:val="24"/>
        </w:rPr>
        <w:t>✈️  Practical Steps When Responding to an In-Flight Emergency</w:t>
      </w:r>
    </w:p>
    <w:tbl>
      <w:tblPr>
        <w:tblStyle w:val="TableGrid"/>
        <w:tblW w:type="auto" w:w="0"/>
        <w:tblLook w:firstColumn="1" w:firstRow="1" w:lastColumn="0" w:lastRow="0" w:noHBand="0" w:noVBand="1" w:val="04A0"/>
      </w:tblPr>
      <w:tblGrid>
        <w:gridCol w:w="2268"/>
        <w:gridCol w:w="6803"/>
      </w:tblGrid>
      <w:tr>
        <w:tc>
          <w:tcPr>
            <w:tcW w:type="dxa" w:w="4986"/>
            <w:shd w:val="clear" w:color="auto" w:fill="E0651F"/>
          </w:tcPr>
          <w:p>
            <w:r>
              <w:rPr>
                <w:rFonts w:ascii="Calibri" w:hAnsi="Calibri"/>
                <w:b/>
                <w:color w:val="FFFFFF"/>
                <w:sz w:val="21"/>
              </w:rPr>
              <w:t>Step</w:t>
            </w:r>
          </w:p>
        </w:tc>
        <w:tc>
          <w:tcPr>
            <w:tcW w:type="dxa" w:w="4986"/>
            <w:shd w:val="clear" w:color="auto" w:fill="E0651F"/>
          </w:tcPr>
          <w:p>
            <w:r>
              <w:rPr>
                <w:rFonts w:ascii="Calibri" w:hAnsi="Calibri"/>
                <w:b/>
                <w:color w:val="FFFFFF"/>
                <w:sz w:val="21"/>
              </w:rPr>
              <w:t>Action</w:t>
            </w:r>
          </w:p>
        </w:tc>
      </w:tr>
      <w:tr>
        <w:tc>
          <w:tcPr>
            <w:tcW w:type="dxa" w:w="4986"/>
            <w:shd w:val="clear" w:color="auto" w:fill="FFF8F5"/>
          </w:tcPr>
          <w:p>
            <w:r>
              <w:rPr>
                <w:rFonts w:ascii="Calibri" w:hAnsi="Calibri"/>
                <w:b/>
                <w:sz w:val="20"/>
              </w:rPr>
              <w:t>1. Identify yourself</w:t>
            </w:r>
          </w:p>
        </w:tc>
        <w:tc>
          <w:tcPr>
            <w:tcW w:type="dxa" w:w="4986"/>
            <w:shd w:val="clear" w:color="auto" w:fill="FFF8F5"/>
          </w:tcPr>
          <w:p>
            <w:r>
              <w:rPr>
                <w:rFonts w:ascii="Calibri" w:hAnsi="Calibri"/>
                <w:sz w:val="20"/>
              </w:rPr>
              <w:t>Tell cabin crew you are a healthcare professional; show ID if asked (business card, BMA card, GMC card, hospital ID)</w:t>
            </w:r>
          </w:p>
        </w:tc>
      </w:tr>
      <w:tr>
        <w:tc>
          <w:tcPr>
            <w:tcW w:type="dxa" w:w="4986"/>
            <w:shd w:val="clear" w:color="auto" w:fill="FFFFFF"/>
          </w:tcPr>
          <w:p>
            <w:r>
              <w:rPr>
                <w:rFonts w:ascii="Calibri" w:hAnsi="Calibri"/>
                <w:b/>
                <w:sz w:val="20"/>
              </w:rPr>
              <w:t>2. Assess the situation</w:t>
            </w:r>
          </w:p>
        </w:tc>
        <w:tc>
          <w:tcPr>
            <w:tcW w:type="dxa" w:w="4986"/>
            <w:shd w:val="clear" w:color="auto" w:fill="FFFFFF"/>
          </w:tcPr>
          <w:p>
            <w:r>
              <w:rPr>
                <w:rFonts w:ascii="Calibri" w:hAnsi="Calibri"/>
                <w:sz w:val="20"/>
              </w:rPr>
              <w:t>Primary survey: ABCDE approach; establish what happened, current symptoms, medical history, medications, allergies</w:t>
            </w:r>
          </w:p>
        </w:tc>
      </w:tr>
      <w:tr>
        <w:tc>
          <w:tcPr>
            <w:tcW w:type="dxa" w:w="4986"/>
            <w:shd w:val="clear" w:color="auto" w:fill="FFF8F5"/>
          </w:tcPr>
          <w:p>
            <w:r>
              <w:rPr>
                <w:rFonts w:ascii="Calibri" w:hAnsi="Calibri"/>
                <w:b/>
                <w:sz w:val="20"/>
              </w:rPr>
              <w:t>3. Use available resources</w:t>
            </w:r>
          </w:p>
        </w:tc>
        <w:tc>
          <w:tcPr>
            <w:tcW w:type="dxa" w:w="4986"/>
            <w:shd w:val="clear" w:color="auto" w:fill="FFF8F5"/>
          </w:tcPr>
          <w:p>
            <w:r>
              <w:rPr>
                <w:rFonts w:ascii="Calibri" w:hAnsi="Calibri"/>
                <w:sz w:val="20"/>
              </w:rPr>
              <w:t>Aircraft medical kit, AED (if available), oxygen, telemedicine service (if available via satellite/radio)</w:t>
            </w:r>
          </w:p>
        </w:tc>
      </w:tr>
      <w:tr>
        <w:tc>
          <w:tcPr>
            <w:tcW w:type="dxa" w:w="4986"/>
            <w:shd w:val="clear" w:color="auto" w:fill="FFFFFF"/>
          </w:tcPr>
          <w:p>
            <w:r>
              <w:rPr>
                <w:rFonts w:ascii="Calibri" w:hAnsi="Calibri"/>
                <w:b/>
                <w:sz w:val="20"/>
              </w:rPr>
              <w:t>4. Advise the Captain</w:t>
            </w:r>
          </w:p>
        </w:tc>
        <w:tc>
          <w:tcPr>
            <w:tcW w:type="dxa" w:w="4986"/>
            <w:shd w:val="clear" w:color="auto" w:fill="FFFFFF"/>
          </w:tcPr>
          <w:p>
            <w:r>
              <w:rPr>
                <w:rFonts w:ascii="Calibri" w:hAnsi="Calibri"/>
                <w:sz w:val="20"/>
              </w:rPr>
              <w:t>Your role is to advise whether the situation can be managed on board or requires diversion — the Captain decides</w:t>
            </w:r>
          </w:p>
        </w:tc>
      </w:tr>
      <w:tr>
        <w:tc>
          <w:tcPr>
            <w:tcW w:type="dxa" w:w="4986"/>
            <w:shd w:val="clear" w:color="auto" w:fill="FFF8F5"/>
          </w:tcPr>
          <w:p>
            <w:r>
              <w:rPr>
                <w:rFonts w:ascii="Calibri" w:hAnsi="Calibri"/>
                <w:b/>
                <w:sz w:val="20"/>
              </w:rPr>
              <w:t>5. Document your involvement</w:t>
            </w:r>
          </w:p>
        </w:tc>
        <w:tc>
          <w:tcPr>
            <w:tcW w:type="dxa" w:w="4986"/>
            <w:shd w:val="clear" w:color="auto" w:fill="FFF8F5"/>
          </w:tcPr>
          <w:p>
            <w:r>
              <w:rPr>
                <w:rFonts w:ascii="Calibri" w:hAnsi="Calibri"/>
                <w:sz w:val="20"/>
              </w:rPr>
              <w:t>After the flight, write a record of what you found, what you did, and the outcome</w:t>
            </w:r>
          </w:p>
        </w:tc>
      </w:tr>
      <w:tr>
        <w:tc>
          <w:tcPr>
            <w:tcW w:type="dxa" w:w="4986"/>
            <w:shd w:val="clear" w:color="auto" w:fill="FFFFFF"/>
          </w:tcPr>
          <w:p>
            <w:r>
              <w:rPr>
                <w:rFonts w:ascii="Calibri" w:hAnsi="Calibri"/>
                <w:b/>
                <w:sz w:val="20"/>
              </w:rPr>
              <w:t>6. Seek post-event support</w:t>
            </w:r>
          </w:p>
        </w:tc>
        <w:tc>
          <w:tcPr>
            <w:tcW w:type="dxa" w:w="4986"/>
            <w:shd w:val="clear" w:color="auto" w:fill="FFFFFF"/>
          </w:tcPr>
          <w:p>
            <w:r>
              <w:rPr>
                <w:rFonts w:ascii="Calibri" w:hAnsi="Calibri"/>
                <w:sz w:val="20"/>
              </w:rPr>
              <w:t>Unusual or distressing events → access psychological support via your defence organisation or occupational health</w:t>
            </w:r>
          </w:p>
        </w:tc>
      </w:tr>
    </w:tbl>
    <w:p/>
    <w:p>
      <w:r>
        <w:rPr>
          <w:color w:val="DCDCDC"/>
          <w:sz w:val="14"/>
        </w:rPr>
        <w:t>────────────────────────────────────────────────────────────────────────────────</w:t>
      </w:r>
    </w:p>
    <w:p>
      <w:pPr>
        <w:spacing w:before="240" w:after="80"/>
      </w:pPr>
      <w:r>
        <w:rPr>
          <w:rFonts w:ascii="Calibri" w:hAnsi="Calibri"/>
          <w:b/>
          <w:color w:val="6A0DAD"/>
          <w:sz w:val="24"/>
        </w:rPr>
        <w:t>🧰  Aircraft Medical Equipment — What to Expect</w:t>
      </w:r>
    </w:p>
    <w:tbl>
      <w:tblPr>
        <w:tblStyle w:val="TableGrid"/>
        <w:tblW w:type="auto" w:w="0"/>
        <w:tblLook w:firstColumn="1" w:firstRow="1" w:lastColumn="0" w:lastRow="0" w:noHBand="0" w:noVBand="1" w:val="04A0"/>
      </w:tblPr>
      <w:tblGrid>
        <w:gridCol w:w="9972"/>
      </w:tblGrid>
      <w:tr>
        <w:tc>
          <w:tcPr>
            <w:tcW w:type="dxa" w:w="9972"/>
            <w:shd w:val="clear" w:color="auto" w:fill="F3E5F5"/>
          </w:tcPr>
          <w:p>
            <w:pPr>
              <w:spacing w:before="80" w:after="40"/>
            </w:pPr>
            <w:r>
              <w:rPr>
                <w:rFonts w:ascii="Calibri" w:hAnsi="Calibri"/>
                <w:b/>
                <w:color w:val="6A0DAD"/>
                <w:sz w:val="23"/>
              </w:rPr>
              <w:t>🏥 Standard Equipment on UK/EU-Registered Commercial Aircraft</w:t>
            </w:r>
          </w:p>
          <w:p>
            <w:pPr>
              <w:spacing w:before="20" w:after="20"/>
              <w:ind w:left="227"/>
            </w:pPr>
            <w:r>
              <w:rPr>
                <w:rFonts w:ascii="Calibri" w:hAnsi="Calibri"/>
                <w:color w:val="1A1A1A"/>
                <w:sz w:val="21"/>
              </w:rPr>
              <w:t>• Basic first aid kit: on ALL commercial aircraft (plasters, bandages, triangular sling, resuscitation mask, thermometer, scissors, gloves)</w:t>
            </w:r>
          </w:p>
          <w:p>
            <w:pPr>
              <w:spacing w:before="20" w:after="20"/>
              <w:ind w:left="227"/>
            </w:pPr>
            <w:r>
              <w:rPr>
                <w:rFonts w:ascii="Calibri" w:hAnsi="Calibri"/>
                <w:color w:val="1A1A1A"/>
                <w:sz w:val="21"/>
              </w:rPr>
              <w:t>• Extended medical kit: aircraft with &gt;30 passenger seats AND &gt;60 min from nearest suitable aerodrome</w:t>
            </w:r>
          </w:p>
          <w:p>
            <w:pPr>
              <w:spacing w:before="20" w:after="20"/>
              <w:ind w:left="227"/>
            </w:pPr>
            <w:r>
              <w:rPr>
                <w:rFonts w:ascii="Calibri" w:hAnsi="Calibri"/>
                <w:color w:val="1A1A1A"/>
                <w:sz w:val="21"/>
              </w:rPr>
              <w:t>• Extended kit typically includes: IV access kit, fluids, adrenaline (epinephrine), antihistamine, bronchodilator (salbutamol), aspirin, glyceryl trinitrate spray, basic airway equipment, sterile gloves, blood glucose meter</w:t>
            </w:r>
          </w:p>
          <w:p>
            <w:pPr>
              <w:spacing w:before="20" w:after="20"/>
              <w:ind w:left="227"/>
            </w:pPr>
            <w:r>
              <w:rPr>
                <w:rFonts w:ascii="Calibri" w:hAnsi="Calibri"/>
                <w:color w:val="1A1A1A"/>
                <w:sz w:val="21"/>
              </w:rPr>
              <w:t>• AED: NOT legally required on UK-registered aircraft, but widely carried voluntarily</w:t>
            </w:r>
          </w:p>
          <w:p>
            <w:pPr>
              <w:spacing w:before="20" w:after="20"/>
              <w:ind w:left="227"/>
            </w:pPr>
            <w:r>
              <w:rPr>
                <w:rFonts w:ascii="Calibri" w:hAnsi="Calibri"/>
                <w:color w:val="1A1A1A"/>
                <w:sz w:val="21"/>
              </w:rPr>
              <w:t>• Oxygen: most commercial aircraft carry supplemental oxygen; consult cabin crew for access</w:t>
            </w:r>
          </w:p>
          <w:p>
            <w:pPr>
              <w:spacing w:before="20" w:after="20"/>
              <w:ind w:left="227"/>
            </w:pPr>
            <w:r>
              <w:rPr>
                <w:rFonts w:ascii="Calibri" w:hAnsi="Calibri"/>
                <w:color w:val="1A1A1A"/>
                <w:sz w:val="21"/>
              </w:rPr>
              <w:t>• Telemedicine: ~90 airlines use services like Medlink (satellite phone/radio); gives access to ground-based emergency physicians 24/7</w:t>
            </w:r>
          </w:p>
        </w:tc>
      </w:tr>
    </w:tbl>
    <w:p/>
    <w:tbl>
      <w:tblPr>
        <w:tblStyle w:val="TableGrid"/>
        <w:tblW w:type="auto" w:w="0"/>
        <w:tblLook w:firstColumn="1" w:firstRow="1" w:lastColumn="0" w:lastRow="0" w:noHBand="0" w:noVBand="1" w:val="04A0"/>
      </w:tblPr>
      <w:tblGrid>
        <w:gridCol w:w="9972"/>
      </w:tblGrid>
      <w:tr>
        <w:tc>
          <w:tcPr>
            <w:tcW w:type="dxa" w:w="9972"/>
            <w:shd w:val="clear" w:color="auto" w:fill="FFF3E0"/>
          </w:tcPr>
          <w:p>
            <w:pPr>
              <w:spacing w:before="80" w:after="40"/>
            </w:pPr>
            <w:r>
              <w:rPr>
                <w:rFonts w:ascii="Calibri" w:hAnsi="Calibri"/>
                <w:b/>
                <w:color w:val="E65100"/>
                <w:sz w:val="23"/>
              </w:rPr>
              <w:t>💊 💊 Key Medications Usually Available in Extended Medical Kit</w:t>
            </w:r>
          </w:p>
          <w:p>
            <w:pPr>
              <w:spacing w:before="20" w:after="20"/>
              <w:ind w:left="227"/>
            </w:pPr>
            <w:r>
              <w:rPr>
                <w:rFonts w:ascii="Calibri" w:hAnsi="Calibri"/>
                <w:color w:val="1A1A1A"/>
                <w:sz w:val="21"/>
              </w:rPr>
              <w:t>• Epinephrine (adrenaline) 1:1000 — anaphylaxis</w:t>
            </w:r>
          </w:p>
          <w:p>
            <w:pPr>
              <w:spacing w:before="20" w:after="20"/>
              <w:ind w:left="227"/>
            </w:pPr>
            <w:r>
              <w:rPr>
                <w:rFonts w:ascii="Calibri" w:hAnsi="Calibri"/>
                <w:color w:val="1A1A1A"/>
                <w:sz w:val="21"/>
              </w:rPr>
              <w:t>• Salbutamol inhaler — acute bronchospasm</w:t>
            </w:r>
          </w:p>
          <w:p>
            <w:pPr>
              <w:spacing w:before="20" w:after="20"/>
              <w:ind w:left="227"/>
            </w:pPr>
            <w:r>
              <w:rPr>
                <w:rFonts w:ascii="Calibri" w:hAnsi="Calibri"/>
                <w:color w:val="1A1A1A"/>
                <w:sz w:val="21"/>
              </w:rPr>
              <w:t>• Aspirin 300mg — suspected ACS</w:t>
            </w:r>
          </w:p>
          <w:p>
            <w:pPr>
              <w:spacing w:before="20" w:after="20"/>
              <w:ind w:left="227"/>
            </w:pPr>
            <w:r>
              <w:rPr>
                <w:rFonts w:ascii="Calibri" w:hAnsi="Calibri"/>
                <w:color w:val="1A1A1A"/>
                <w:sz w:val="21"/>
              </w:rPr>
              <w:t>• Glyceryl trinitrate (GTN) spray — angina / ACS</w:t>
            </w:r>
          </w:p>
          <w:p>
            <w:pPr>
              <w:spacing w:before="20" w:after="20"/>
              <w:ind w:left="227"/>
            </w:pPr>
            <w:r>
              <w:rPr>
                <w:rFonts w:ascii="Calibri" w:hAnsi="Calibri"/>
                <w:color w:val="1A1A1A"/>
                <w:sz w:val="21"/>
              </w:rPr>
              <w:t>• Antihistamine (e.g. chlorphenamine) — allergic reactions</w:t>
            </w:r>
          </w:p>
          <w:p>
            <w:pPr>
              <w:spacing w:before="20" w:after="20"/>
              <w:ind w:left="227"/>
            </w:pPr>
            <w:r>
              <w:rPr>
                <w:rFonts w:ascii="Calibri" w:hAnsi="Calibri"/>
                <w:color w:val="1A1A1A"/>
                <w:sz w:val="21"/>
              </w:rPr>
              <w:t>• IV fluids (sodium chloride) — dehydration, shock</w:t>
            </w:r>
          </w:p>
          <w:p>
            <w:pPr>
              <w:spacing w:before="20" w:after="20"/>
              <w:ind w:left="227"/>
            </w:pPr>
            <w:r>
              <w:rPr>
                <w:rFonts w:ascii="Calibri" w:hAnsi="Calibri"/>
                <w:color w:val="1A1A1A"/>
                <w:sz w:val="21"/>
              </w:rPr>
              <w:t>• IV access cannulae and tubing</w:t>
            </w:r>
          </w:p>
          <w:p>
            <w:pPr>
              <w:spacing w:before="20" w:after="20"/>
              <w:ind w:left="227"/>
            </w:pPr>
            <w:r>
              <w:rPr>
                <w:rFonts w:ascii="Calibri" w:hAnsi="Calibri"/>
                <w:color w:val="1A1A1A"/>
                <w:sz w:val="21"/>
              </w:rPr>
              <w:t>• Basic airway: oral airways, pocket mask</w:t>
            </w:r>
          </w:p>
          <w:p>
            <w:pPr>
              <w:spacing w:before="20" w:after="20"/>
              <w:ind w:left="227"/>
            </w:pPr>
            <w:r>
              <w:rPr>
                <w:rFonts w:ascii="Calibri" w:hAnsi="Calibri"/>
                <w:color w:val="1A1A1A"/>
                <w:sz w:val="21"/>
              </w:rPr>
              <w:t>• Blood glucose monitoring strips and glucometer</w:t>
            </w:r>
          </w:p>
          <w:p>
            <w:pPr>
              <w:spacing w:before="20" w:after="20"/>
              <w:ind w:left="227"/>
            </w:pPr>
            <w:r>
              <w:rPr>
                <w:rFonts w:ascii="Calibri" w:hAnsi="Calibri"/>
                <w:color w:val="1A1A1A"/>
                <w:sz w:val="21"/>
              </w:rPr>
              <w:t>• Note: cabin crew CANNOT administer medications — a qualified professional must supervise/administer</w:t>
            </w:r>
          </w:p>
        </w:tc>
      </w:tr>
    </w:tbl>
    <w:p/>
    <w:p>
      <w:r>
        <w:rPr>
          <w:color w:val="DCDCDC"/>
          <w:sz w:val="14"/>
        </w:rPr>
        <w:t>────────────────────────────────────────────────────────────────────────────────</w:t>
      </w:r>
    </w:p>
    <w:p>
      <w:pPr>
        <w:spacing w:before="240" w:after="80"/>
      </w:pPr>
      <w:r>
        <w:rPr>
          <w:rFonts w:ascii="Calibri" w:hAnsi="Calibri"/>
          <w:b/>
          <w:color w:val="C62828"/>
          <w:sz w:val="24"/>
        </w:rPr>
        <w:t>🚨  Common In-Flight Medical Emergencies</w:t>
      </w:r>
    </w:p>
    <w:tbl>
      <w:tblPr>
        <w:tblStyle w:val="TableGrid"/>
        <w:tblW w:type="auto" w:w="0"/>
        <w:tblLook w:firstColumn="1" w:firstRow="1" w:lastColumn="0" w:lastRow="0" w:noHBand="0" w:noVBand="1" w:val="04A0"/>
      </w:tblPr>
      <w:tblGrid>
        <w:gridCol w:w="9972"/>
      </w:tblGrid>
      <w:tr>
        <w:tc>
          <w:tcPr>
            <w:tcW w:type="dxa" w:w="9972"/>
            <w:shd w:val="clear" w:color="auto" w:fill="FFEBEE"/>
          </w:tcPr>
          <w:p>
            <w:pPr>
              <w:spacing w:before="80" w:after="40"/>
            </w:pPr>
            <w:r>
              <w:rPr>
                <w:rFonts w:ascii="Calibri" w:hAnsi="Calibri"/>
                <w:b/>
                <w:color w:val="C62828"/>
                <w:sz w:val="23"/>
              </w:rPr>
              <w:t>🚑 Most Common In-Flight Emergencies (in approximate frequency order)</w:t>
            </w:r>
          </w:p>
          <w:p>
            <w:pPr>
              <w:spacing w:before="20" w:after="20"/>
              <w:ind w:left="227"/>
            </w:pPr>
            <w:r>
              <w:rPr>
                <w:rFonts w:ascii="Calibri" w:hAnsi="Calibri"/>
                <w:color w:val="1A1A1A"/>
                <w:sz w:val="21"/>
              </w:rPr>
              <w:t>• Syncope / pre-syncope — often vasovagal; lie flat, raise legs, reassess; check BM</w:t>
            </w:r>
          </w:p>
          <w:p>
            <w:pPr>
              <w:spacing w:before="20" w:after="20"/>
              <w:ind w:left="227"/>
            </w:pPr>
            <w:r>
              <w:rPr>
                <w:rFonts w:ascii="Calibri" w:hAnsi="Calibri"/>
                <w:color w:val="1A1A1A"/>
                <w:sz w:val="21"/>
              </w:rPr>
              <w:t>• Respiratory symptoms — breathlessness, wheeze; use oxygen, salbutamol if bronchospasm</w:t>
            </w:r>
          </w:p>
          <w:p>
            <w:pPr>
              <w:spacing w:before="20" w:after="20"/>
              <w:ind w:left="227"/>
            </w:pPr>
            <w:r>
              <w:rPr>
                <w:rFonts w:ascii="Calibri" w:hAnsi="Calibri"/>
                <w:color w:val="1A1A1A"/>
                <w:sz w:val="21"/>
              </w:rPr>
              <w:t>• Nausea / vomiting — often motion sickness; position, antihistamine if available</w:t>
            </w:r>
          </w:p>
          <w:p>
            <w:pPr>
              <w:spacing w:before="20" w:after="20"/>
              <w:ind w:left="227"/>
            </w:pPr>
            <w:r>
              <w:rPr>
                <w:rFonts w:ascii="Calibri" w:hAnsi="Calibri"/>
                <w:color w:val="1A1A1A"/>
                <w:sz w:val="21"/>
              </w:rPr>
              <w:t>• Cardiac symptoms — chest pain: aspirin + GTN if available; assess for ACS; advise Captain re diversion</w:t>
            </w:r>
          </w:p>
          <w:p>
            <w:pPr>
              <w:spacing w:before="20" w:after="20"/>
              <w:ind w:left="227"/>
            </w:pPr>
            <w:r>
              <w:rPr>
                <w:rFonts w:ascii="Calibri" w:hAnsi="Calibri"/>
                <w:color w:val="1A1A1A"/>
                <w:sz w:val="21"/>
              </w:rPr>
              <w:t>• Seizures — protect from injury; position; assess cause; post-ictal monitoring; consider diversion</w:t>
            </w:r>
          </w:p>
          <w:p>
            <w:pPr>
              <w:spacing w:before="20" w:after="20"/>
              <w:ind w:left="227"/>
            </w:pPr>
            <w:r>
              <w:rPr>
                <w:rFonts w:ascii="Calibri" w:hAnsi="Calibri"/>
                <w:color w:val="1A1A1A"/>
                <w:sz w:val="21"/>
              </w:rPr>
              <w:t>• Hypoglycaemia — check BM; oral glucose if conscious; IV glucose if unconscious and IV access available</w:t>
            </w:r>
          </w:p>
          <w:p>
            <w:pPr>
              <w:spacing w:before="20" w:after="20"/>
              <w:ind w:left="227"/>
            </w:pPr>
            <w:r>
              <w:rPr>
                <w:rFonts w:ascii="Calibri" w:hAnsi="Calibri"/>
                <w:color w:val="1A1A1A"/>
                <w:sz w:val="21"/>
              </w:rPr>
              <w:t>• Anaphylaxis — IM adrenaline (epinephrine) 0.5mg in lateral thigh; oxygen; IV access</w:t>
            </w:r>
          </w:p>
          <w:p>
            <w:pPr>
              <w:spacing w:before="20" w:after="20"/>
              <w:ind w:left="227"/>
            </w:pPr>
            <w:r>
              <w:rPr>
                <w:rFonts w:ascii="Calibri" w:hAnsi="Calibri"/>
                <w:color w:val="1A1A1A"/>
                <w:sz w:val="21"/>
              </w:rPr>
              <w:t>• Psychiatric emergency — calm approach; involve crew; consider diversion</w:t>
            </w:r>
          </w:p>
        </w:tc>
      </w:tr>
    </w:tbl>
    <w:p/>
    <w:p>
      <w:r>
        <w:rPr>
          <w:color w:val="DCDCDC"/>
          <w:sz w:val="14"/>
        </w:rPr>
        <w:t>────────────────────────────────────────────────────────────────────────────────</w:t>
      </w:r>
    </w:p>
    <w:tbl>
      <w:tblPr>
        <w:tblStyle w:val="TableGrid"/>
        <w:tblW w:type="auto" w:w="0"/>
        <w:tblLook w:firstColumn="1" w:firstRow="1" w:lastColumn="0" w:lastRow="0" w:noHBand="0" w:noVBand="1" w:val="04A0"/>
      </w:tblPr>
      <w:tblGrid>
        <w:gridCol w:w="9972"/>
      </w:tblGrid>
      <w:tr>
        <w:tc>
          <w:tcPr>
            <w:tcW w:type="dxa" w:w="9972"/>
            <w:shd w:val="clear" w:color="auto" w:fill="FFF8DC"/>
          </w:tcPr>
          <w:p>
            <w:pPr>
              <w:spacing w:before="80" w:after="40"/>
            </w:pPr>
            <w:r>
              <w:rPr>
                <w:rFonts w:ascii="Calibri" w:hAnsi="Calibri"/>
                <w:b/>
                <w:color w:val="B8860B"/>
                <w:sz w:val="23"/>
              </w:rPr>
              <w:t>⭐ ⭐ KEY POINTS — Airline Medicine for GPs</w:t>
            </w:r>
          </w:p>
          <w:p>
            <w:pPr>
              <w:spacing w:before="20" w:after="20"/>
              <w:ind w:left="227"/>
            </w:pPr>
            <w:r>
              <w:rPr>
                <w:rFonts w:ascii="Calibri" w:hAnsi="Calibri"/>
                <w:color w:val="1A1A1A"/>
                <w:sz w:val="21"/>
              </w:rPr>
              <w:t>• You are ethically but not legally obliged (in England &amp; Wales) to assist in an in-flight emergency</w:t>
            </w:r>
          </w:p>
          <w:p>
            <w:pPr>
              <w:spacing w:before="20" w:after="20"/>
              <w:ind w:left="227"/>
            </w:pPr>
            <w:r>
              <w:rPr>
                <w:rFonts w:ascii="Calibri" w:hAnsi="Calibri"/>
                <w:color w:val="1A1A1A"/>
                <w:sz w:val="21"/>
              </w:rPr>
              <w:t>• Your MDU/MDDUS/MPS indemnity covers you globally for Good Samaritan acts</w:t>
            </w:r>
          </w:p>
          <w:p>
            <w:pPr>
              <w:spacing w:before="20" w:after="20"/>
              <w:ind w:left="227"/>
            </w:pPr>
            <w:r>
              <w:rPr>
                <w:rFonts w:ascii="Calibri" w:hAnsi="Calibri"/>
                <w:color w:val="1A1A1A"/>
                <w:sz w:val="21"/>
              </w:rPr>
              <w:t>• The Captain — not the doctor — decides whether to divert the aircraft</w:t>
            </w:r>
          </w:p>
          <w:p>
            <w:pPr>
              <w:spacing w:before="20" w:after="20"/>
              <w:ind w:left="227"/>
            </w:pPr>
            <w:r>
              <w:rPr>
                <w:rFonts w:ascii="Calibri" w:hAnsi="Calibri"/>
                <w:color w:val="1A1A1A"/>
                <w:sz w:val="21"/>
              </w:rPr>
              <w:t>• You assess, diagnose, advise; cabin crew and Captain act on your recommendation</w:t>
            </w:r>
          </w:p>
          <w:p>
            <w:pPr>
              <w:spacing w:before="20" w:after="20"/>
              <w:ind w:left="227"/>
            </w:pPr>
            <w:r>
              <w:rPr>
                <w:rFonts w:ascii="Calibri" w:hAnsi="Calibri"/>
                <w:color w:val="1A1A1A"/>
                <w:sz w:val="21"/>
              </w:rPr>
              <w:t>• AEDs are widely available on commercial aircraft even if not legally required</w:t>
            </w:r>
          </w:p>
          <w:p>
            <w:pPr>
              <w:spacing w:before="20" w:after="20"/>
              <w:ind w:left="227"/>
            </w:pPr>
            <w:r>
              <w:rPr>
                <w:rFonts w:ascii="Calibri" w:hAnsi="Calibri"/>
                <w:color w:val="1A1A1A"/>
                <w:sz w:val="21"/>
              </w:rPr>
              <w:t>• Telemedicine ground support (e.g. Medlink) is available via satellite on many airlines — ask crew</w:t>
            </w:r>
          </w:p>
          <w:p>
            <w:pPr>
              <w:spacing w:before="20" w:after="20"/>
              <w:ind w:left="227"/>
            </w:pPr>
            <w:r>
              <w:rPr>
                <w:rFonts w:ascii="Calibri" w:hAnsi="Calibri"/>
                <w:color w:val="1A1A1A"/>
                <w:sz w:val="21"/>
              </w:rPr>
              <w:t>• Do not charge for your services; you may accept a goodwill upgrade or gift</w:t>
            </w:r>
          </w:p>
          <w:p>
            <w:pPr>
              <w:spacing w:before="20" w:after="20"/>
              <w:ind w:left="227"/>
            </w:pPr>
            <w:r>
              <w:rPr>
                <w:rFonts w:ascii="Calibri" w:hAnsi="Calibri"/>
                <w:color w:val="1A1A1A"/>
                <w:sz w:val="21"/>
              </w:rPr>
              <w:t>• Always act within your professional competence — you are not expected to be an A&amp;E consultant</w:t>
            </w:r>
          </w:p>
          <w:p>
            <w:pPr>
              <w:spacing w:before="20" w:after="20"/>
              <w:ind w:left="227"/>
            </w:pPr>
            <w:r>
              <w:rPr>
                <w:rFonts w:ascii="Calibri" w:hAnsi="Calibri"/>
                <w:color w:val="1A1A1A"/>
                <w:sz w:val="21"/>
              </w:rPr>
              <w:t>• Alcohol does not automatically preclude you from helping, but use your judgement</w:t>
            </w:r>
          </w:p>
        </w:tc>
      </w:tr>
    </w:tbl>
    <w:p/>
    <w:p>
      <w:r>
        <w:rPr>
          <w:color w:val="DCDCDC"/>
          <w:sz w:val="14"/>
        </w:rPr>
        <w:t>────────────────────────────────────────────────────────────────────────────────</w:t>
      </w:r>
    </w:p>
    <w:tbl>
      <w:tblPr>
        <w:tblStyle w:val="TableGrid"/>
        <w:tblW w:type="auto" w:w="0"/>
        <w:tblLook w:firstColumn="1" w:firstRow="1" w:lastColumn="0" w:lastRow="0" w:noHBand="0" w:noVBand="1" w:val="04A0"/>
      </w:tblPr>
      <w:tblGrid>
        <w:gridCol w:w="9972"/>
      </w:tblGrid>
      <w:tr>
        <w:tc>
          <w:tcPr>
            <w:tcW w:type="dxa" w:w="9972"/>
            <w:shd w:val="clear" w:color="auto" w:fill="FFF3E0"/>
          </w:tcPr>
          <w:p>
            <w:pPr>
              <w:spacing w:before="80" w:after="40"/>
            </w:pPr>
            <w:r>
              <w:rPr>
                <w:rFonts w:ascii="Calibri" w:hAnsi="Calibri"/>
                <w:b/>
                <w:color w:val="E65100"/>
                <w:sz w:val="23"/>
              </w:rPr>
              <w:t>⚠ ⚠ Disclaimer</w:t>
            </w:r>
          </w:p>
          <w:p>
            <w:pPr>
              <w:spacing w:before="20" w:after="20"/>
              <w:ind w:left="227"/>
            </w:pPr>
            <w:r>
              <w:rPr>
                <w:rFonts w:ascii="Calibri" w:hAnsi="Calibri"/>
                <w:color w:val="333333"/>
                <w:sz w:val="21"/>
              </w:rPr>
              <w:t>• Always double check this advice and drug doses with the latest NICE/BNF guidance.</w:t>
            </w:r>
          </w:p>
          <w:p>
            <w:pPr>
              <w:spacing w:before="20" w:after="20"/>
              <w:ind w:left="227"/>
            </w:pPr>
            <w:r>
              <w:rPr>
                <w:rFonts w:ascii="Calibri" w:hAnsi="Calibri"/>
                <w:color w:val="333333"/>
                <w:sz w:val="21"/>
              </w:rPr>
              <w:t>• This document is for educational purposes only.</w:t>
            </w:r>
          </w:p>
        </w:tc>
      </w:tr>
    </w:tbl>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787878"/>
        <w:sz w:val="16"/>
      </w:rPr>
      <w:t>A free resource provided by www.bradfordvts.co.uk, Dr Ramesh Mehay, original date approx. 2004,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