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638"/>
            <w:shd w:val="clear" w:color="auto" w:fill="E0651F"/>
          </w:tcPr>
          <w:p>
            <w:pPr>
              <w:spacing w:before="160" w:after="4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BRADFORD VTS TEACHING AIDS</w:t>
            </w:r>
          </w:p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color w:val="FFFFFF"/>
                <w:sz w:val="68"/>
              </w:rPr>
              <w:t>Medical Fitness to Fly</w:t>
            </w:r>
          </w:p>
          <w:p>
            <w:pPr>
              <w:spacing w:before="40" w:after="200"/>
              <w:jc w:val="center"/>
            </w:pPr>
            <w:r>
              <w:rPr>
                <w:rFonts w:ascii="Calibri" w:hAnsi="Calibri"/>
                <w:i/>
                <w:color w:val="FFDCBE"/>
                <w:sz w:val="22"/>
              </w:rPr>
              <w:t>Air Travel Contraindications &amp; Fitness to Fly  ·  Bradford VTS  ·  May 2026</w:t>
            </w:r>
          </w:p>
        </w:tc>
      </w:tr>
    </w:tbl>
    <w:p/>
    <w:p>
      <w:pPr>
        <w:spacing w:before="240" w:after="80"/>
      </w:pPr>
      <w:r>
        <w:rPr>
          <w:rFonts w:ascii="Calibri" w:hAnsi="Calibri"/>
          <w:b/>
          <w:color w:val="E0651F"/>
          <w:sz w:val="28"/>
        </w:rPr>
        <w:t>Why Fitness to Fly Matters in General Practice</w:t>
      </w:r>
    </w:p>
    <w:p>
      <w:pPr>
        <w:spacing w:after="160"/>
      </w:pPr>
      <w:r>
        <w:rPr>
          <w:rFonts w:ascii="Calibri" w:hAnsi="Calibri"/>
          <w:sz w:val="22"/>
        </w:rPr>
        <w:t>GPs are increasingly asked to assess whether patients are fit to fly. Commercial air travel creates a unique physiological environment — reduced cabin pressure (equivalent to ~6,000–8,000 ft altitude), relative hypoxia, and gas expansion — that can worsen many pre-existing conditions. This handout provides up-to-date practical guidance based on the UK Civil Aviation Authority (CAA) and British Thoracic Society (BTS) Clinical Statement on Air Travel (2022/2023).</w:t>
      </w:r>
    </w:p>
    <w:p>
      <w:pPr>
        <w:spacing w:before="240" w:after="80"/>
      </w:pPr>
      <w:r>
        <w:rPr>
          <w:rFonts w:ascii="Calibri" w:hAnsi="Calibri"/>
          <w:b/>
          <w:color w:val="1B6CA8"/>
          <w:sz w:val="24"/>
        </w:rPr>
        <w:t>🛫  The Cabin Environment — Key Physiological Effects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4986"/>
            <w:shd w:val="clear" w:color="auto" w:fill="1B6CA8"/>
          </w:tcPr>
          <w:p>
            <w:r>
              <w:rPr>
                <w:rFonts w:ascii="Calibri" w:hAnsi="Calibri"/>
                <w:b/>
                <w:color w:val="FFFFFF"/>
                <w:sz w:val="21"/>
              </w:rPr>
              <w:t>Physiological Change</w:t>
            </w:r>
          </w:p>
        </w:tc>
        <w:tc>
          <w:tcPr>
            <w:tcW w:type="dxa" w:w="4986"/>
            <w:shd w:val="clear" w:color="auto" w:fill="1B6CA8"/>
          </w:tcPr>
          <w:p>
            <w:r>
              <w:rPr>
                <w:rFonts w:ascii="Calibri" w:hAnsi="Calibri"/>
                <w:b/>
                <w:color w:val="FFFFFF"/>
                <w:sz w:val="21"/>
              </w:rPr>
              <w:t>Clinical Implication</w:t>
            </w:r>
          </w:p>
        </w:tc>
      </w:tr>
      <w:tr>
        <w:tc>
          <w:tcPr>
            <w:tcW w:type="dxa" w:w="4986"/>
            <w:shd w:val="clear" w:color="auto" w:fill="F0F6FC"/>
          </w:tcPr>
          <w:p>
            <w:r>
              <w:rPr>
                <w:rFonts w:ascii="Calibri" w:hAnsi="Calibri"/>
                <w:sz w:val="20"/>
              </w:rPr>
              <w:t>Cabin altitude ≈ 6,000–8,000 ft</w:t>
            </w:r>
          </w:p>
        </w:tc>
        <w:tc>
          <w:tcPr>
            <w:tcW w:type="dxa" w:w="4986"/>
            <w:shd w:val="clear" w:color="auto" w:fill="F0F6FC"/>
          </w:tcPr>
          <w:p>
            <w:r>
              <w:rPr>
                <w:rFonts w:ascii="Calibri" w:hAnsi="Calibri"/>
                <w:sz w:val="20"/>
              </w:rPr>
              <w:t>SpO₂ drops ~10% → worsens hypoxaemia in COPD, heart failure, anaemia</w:t>
            </w:r>
          </w:p>
        </w:tc>
      </w:tr>
      <w:tr>
        <w:tc>
          <w:tcPr>
            <w:tcW w:type="dxa" w:w="4986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Cabin pressure = 75% of sea level</w:t>
            </w:r>
          </w:p>
        </w:tc>
        <w:tc>
          <w:tcPr>
            <w:tcW w:type="dxa" w:w="4986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Gas expands by ~30% → ear, sinus, post-op bowel, suture line risk</w:t>
            </w:r>
          </w:p>
        </w:tc>
      </w:tr>
      <w:tr>
        <w:tc>
          <w:tcPr>
            <w:tcW w:type="dxa" w:w="4986"/>
            <w:shd w:val="clear" w:color="auto" w:fill="F0F6FC"/>
          </w:tcPr>
          <w:p>
            <w:r>
              <w:rPr>
                <w:rFonts w:ascii="Calibri" w:hAnsi="Calibri"/>
                <w:sz w:val="20"/>
              </w:rPr>
              <w:t>Low humidity (10–15%)</w:t>
            </w:r>
          </w:p>
        </w:tc>
        <w:tc>
          <w:tcPr>
            <w:tcW w:type="dxa" w:w="4986"/>
            <w:shd w:val="clear" w:color="auto" w:fill="F0F6FC"/>
          </w:tcPr>
          <w:p>
            <w:r>
              <w:rPr>
                <w:rFonts w:ascii="Calibri" w:hAnsi="Calibri"/>
                <w:sz w:val="20"/>
              </w:rPr>
              <w:t>Increased DVT risk; dehydration; dry eyes/mucous membranes</w:t>
            </w:r>
          </w:p>
        </w:tc>
      </w:tr>
      <w:tr>
        <w:tc>
          <w:tcPr>
            <w:tcW w:type="dxa" w:w="4986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Immobility + cramped seating</w:t>
            </w:r>
          </w:p>
        </w:tc>
        <w:tc>
          <w:tcPr>
            <w:tcW w:type="dxa" w:w="4986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Venous stasis → DVT/PE risk especially in long-haul flights</w:t>
            </w:r>
          </w:p>
        </w:tc>
      </w:tr>
      <w:tr>
        <w:tc>
          <w:tcPr>
            <w:tcW w:type="dxa" w:w="4986"/>
            <w:shd w:val="clear" w:color="auto" w:fill="F0F6FC"/>
          </w:tcPr>
          <w:p>
            <w:r>
              <w:rPr>
                <w:rFonts w:ascii="Calibri" w:hAnsi="Calibri"/>
                <w:sz w:val="20"/>
              </w:rPr>
              <w:t>Cosmic radiation</w:t>
            </w:r>
          </w:p>
        </w:tc>
        <w:tc>
          <w:tcPr>
            <w:tcW w:type="dxa" w:w="4986"/>
            <w:shd w:val="clear" w:color="auto" w:fill="F0F6FC"/>
          </w:tcPr>
          <w:p>
            <w:r>
              <w:rPr>
                <w:rFonts w:ascii="Calibri" w:hAnsi="Calibri"/>
                <w:sz w:val="20"/>
              </w:rPr>
              <w:t>Minimal risk for passengers; relevant for frequent flyers and crew</w:t>
            </w:r>
          </w:p>
        </w:tc>
      </w:tr>
    </w:tbl>
    <w:p/>
    <w:p>
      <w:pPr>
        <w:spacing w:after="200"/>
      </w:pPr>
      <w:r>
        <w:rPr>
          <w:rFonts w:ascii="Calibri" w:hAnsi="Calibri"/>
          <w:b/>
          <w:color w:val="B43C00"/>
          <w:sz w:val="21"/>
        </w:rPr>
        <w:t>📌  Practical rule: If a patient cannot walk 50 metres without breathlessness, they are likely unable to tolerate cabin hypoxia.</w:t>
      </w:r>
    </w:p>
    <w:p>
      <w:pPr>
        <w:spacing w:before="120" w:after="40"/>
      </w:pPr>
      <w:r>
        <w:rPr>
          <w:color w:val="DCDCD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rFonts w:ascii="Calibri" w:hAnsi="Calibri"/>
          <w:b/>
          <w:color w:val="E0651F"/>
          <w:sz w:val="26"/>
        </w:rPr>
        <w:t>✈  Summary: Contraindications to Air Travel</w:t>
      </w:r>
    </w:p>
    <w:p>
      <w:r>
        <w:rPr>
          <w:sz w:val="20"/>
        </w:rPr>
        <w:t>Updated to CAA / BTS guidance 2022–2023. Each patient must be assessed individually — the list below gives guidance on when to advise strongly AGAINST flying.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3118"/>
        <w:gridCol w:w="3685"/>
      </w:tblGrid>
      <w:tr>
        <w:tc>
          <w:tcPr>
            <w:tcW w:type="dxa" w:w="3324"/>
            <w:shd w:val="clear" w:color="auto" w:fill="E0651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Condition</w:t>
            </w:r>
          </w:p>
        </w:tc>
        <w:tc>
          <w:tcPr>
            <w:tcW w:type="dxa" w:w="3324"/>
            <w:shd w:val="clear" w:color="auto" w:fill="E0651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Criteria / Qualifier</w:t>
            </w:r>
          </w:p>
        </w:tc>
        <w:tc>
          <w:tcPr>
            <w:tcW w:type="dxa" w:w="3324"/>
            <w:shd w:val="clear" w:color="auto" w:fill="E0651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When Safe to Fly</w:t>
            </w:r>
          </w:p>
        </w:tc>
      </w:tr>
      <w:tr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Severe anaemia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Haemoglobin &lt; 7.5 g/dL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Correct anaemia before flying; supplemental O₂ may be needed</w:t>
            </w:r>
          </w:p>
        </w:tc>
      </w:tr>
      <w:tr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Cardiac failure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Uncontrolled / decompensated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Optimise before travel; seek airline medical advice</w:t>
            </w:r>
          </w:p>
        </w:tc>
      </w:tr>
      <w:tr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Cerebral infarction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Acute stroke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Until convalescence completed (typically ≥10 days, often longer)</w:t>
            </w:r>
          </w:p>
        </w:tc>
      </w:tr>
      <w:tr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Communicable disease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Infectious phase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Until confirmed non-infectious (e.g. active TB)</w:t>
            </w:r>
          </w:p>
        </w:tc>
      </w:tr>
      <w:tr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DVT (acute)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Recent VTE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Until stabilised on anticoagulant with clot resolution</w:t>
            </w:r>
          </w:p>
        </w:tc>
      </w:tr>
      <w:tr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Fractures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Unstable / in plaster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Bivalve cast before flying if ≤48 hours post-application</w:t>
            </w:r>
          </w:p>
        </w:tc>
      </w:tr>
      <w:tr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Jaw (fractured, wired)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Fixed wire in situ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Only with escort carrying wire cutters / self-release mechanism</w:t>
            </w:r>
          </w:p>
        </w:tc>
      </w:tr>
      <w:tr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MI (recent)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Uncomplicated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Wait ≥7–10 days; complicated MI: 4–6 weeks; individual assessment required</w:t>
            </w:r>
          </w:p>
        </w:tc>
      </w:tr>
      <w:tr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Post-surgery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Most procedures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5–14 days (cavity/hollow organ); retinal gas injection: up to 6 weeks</w:t>
            </w:r>
          </w:p>
        </w:tc>
      </w:tr>
      <w:tr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Otitis media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Active with Eustachian dysfunction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Until condition fully resolved</w:t>
            </w:r>
          </w:p>
        </w:tc>
      </w:tr>
      <w:tr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Pneumothorax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Confirmed or suspected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2–3 weeks after successful drainage (gas expansion risk)</w:t>
            </w:r>
          </w:p>
        </w:tc>
      </w:tr>
      <w:tr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Pregnancy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Late pregnancy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Do not fly beyond 36 weeks (32 weeks for multiple gestation)</w:t>
            </w:r>
          </w:p>
        </w:tc>
      </w:tr>
      <w:tr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Psychiatric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Unpredictable/aggressive behaviour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If behaviour likely to disrupt flight or endanger others</w:t>
            </w:r>
          </w:p>
        </w:tc>
      </w:tr>
      <w:tr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Respiratory (severe)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Severe COPD, breathless at rest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Supplemental O₂ may allow flying; assess individually</w:t>
            </w:r>
          </w:p>
        </w:tc>
      </w:tr>
      <w:tr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Sickle cell crisis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Recent crisis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Wait 10 days after crisis resolution</w:t>
            </w:r>
          </w:p>
        </w:tc>
      </w:tr>
      <w:tr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Sinusitis (severe)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Active severe sinusitis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Until fully resolved (barotrauma risk)</w:t>
            </w:r>
          </w:p>
        </w:tc>
      </w:tr>
      <w:tr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Unstable conditions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e.g. unstable angina, uncontrolled diabetes, labile severe asthma, poorly controlled epilepsy</w:t>
            </w:r>
          </w:p>
        </w:tc>
        <w:tc>
          <w:tcPr>
            <w:tcW w:type="dxa" w:w="3324"/>
            <w:shd w:val="clear" w:color="auto" w:fill="FFF8F5"/>
          </w:tcPr>
          <w:p>
            <w:r>
              <w:rPr>
                <w:rFonts w:ascii="Calibri" w:hAnsi="Calibri"/>
                <w:sz w:val="19"/>
              </w:rPr>
              <w:t>Delay until stable; for grand mal seizure: ≥24 hours post-seizure</w:t>
            </w:r>
          </w:p>
        </w:tc>
      </w:tr>
      <w:tr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Major vascular disease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e.g. pulmonary hypertension, congenital heart disease, lung cysts/bullae</w:t>
            </w:r>
          </w:p>
        </w:tc>
        <w:tc>
          <w:tcPr>
            <w:tcW w:type="dxa" w:w="3324"/>
            <w:shd w:val="clear" w:color="auto" w:fill="FFFFFF"/>
          </w:tcPr>
          <w:p>
            <w:r>
              <w:rPr>
                <w:rFonts w:ascii="Calibri" w:hAnsi="Calibri"/>
                <w:sz w:val="19"/>
              </w:rPr>
              <w:t>Individual assessment; may need supplemental O₂ or MEDIF clearance</w:t>
            </w:r>
          </w:p>
        </w:tc>
      </w:tr>
    </w:tbl>
    <w:p/>
    <w:p>
      <w:pPr>
        <w:spacing w:before="120" w:after="40"/>
      </w:pPr>
      <w:r>
        <w:rPr>
          <w:color w:val="DCDCD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rFonts w:ascii="Calibri" w:hAnsi="Calibri"/>
          <w:b/>
          <w:color w:val="2E7D32"/>
          <w:sz w:val="24"/>
        </w:rPr>
        <w:t>🩺  DVT Prevention During Air Travel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071"/>
            <w:shd w:val="clear" w:color="auto" w:fill="E8F5E9"/>
          </w:tcPr>
          <w:p>
            <w:pPr>
              <w:spacing w:before="80" w:after="40"/>
            </w:pPr>
            <w:r>
              <w:rPr>
                <w:rFonts w:ascii="Calibri" w:hAnsi="Calibri"/>
                <w:b/>
                <w:color w:val="2E7D32"/>
                <w:sz w:val="24"/>
              </w:rPr>
              <w:t>✅ General Advice for All Passengers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Exercise calf muscles regularly when seated (calf raises, ankle circles)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Stand up and walk the aisle when safe to do so (every 1–2 hours)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Stay well hydrated — avoid excess alcohol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Avoid tight restrictive clothing around the legs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071"/>
            <w:shd w:val="clear" w:color="auto" w:fill="FFF3E0"/>
          </w:tcPr>
          <w:p>
            <w:pPr>
              <w:spacing w:before="80" w:after="40"/>
            </w:pPr>
            <w:r>
              <w:rPr>
                <w:rFonts w:ascii="Calibri" w:hAnsi="Calibri"/>
                <w:b/>
                <w:color w:val="E65100"/>
                <w:sz w:val="24"/>
              </w:rPr>
              <w:t>⚠️ Higher-Risk Passengers (Consider Compression Stockings / Anticoagulation)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Known thrombophilia or previous VTE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Recent surgery or trauma (especially lower limb, pelvis, abdomen)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Active malignancy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Pregnancy or puerperium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Immobility or lower limb paralysis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Use graduated compression stockings (15–30 mmHg) for long-haul (&gt;4 hours)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Pharmacological prophylaxis (e.g. LMWH): discuss individually; not routine for all</w:t>
            </w:r>
          </w:p>
        </w:tc>
      </w:tr>
    </w:tbl>
    <w:p/>
    <w:p>
      <w:pPr>
        <w:spacing w:before="120" w:after="40"/>
      </w:pPr>
      <w:r>
        <w:rPr>
          <w:color w:val="DCDCD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rFonts w:ascii="Calibri" w:hAnsi="Calibri"/>
          <w:b/>
          <w:color w:val="6A0DAD"/>
          <w:sz w:val="24"/>
        </w:rPr>
        <w:t>📋  When Is Medical Clearance (MEDIF) Required?</w:t>
      </w:r>
    </w:p>
    <w:p>
      <w:r>
        <w:rPr>
          <w:rFonts w:ascii="Calibri" w:hAnsi="Calibri"/>
          <w:sz w:val="21"/>
        </w:rPr>
        <w:t>A Medical Information Form (MEDIF), available from airlines or travel agents, should be completed by the patient and doctor. The airline's medical department makes the final decision.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071"/>
            <w:shd w:val="clear" w:color="auto" w:fill="F3E5F5"/>
          </w:tcPr>
          <w:p>
            <w:pPr>
              <w:spacing w:before="80" w:after="40"/>
            </w:pPr>
            <w:r>
              <w:rPr>
                <w:rFonts w:ascii="Calibri" w:hAnsi="Calibri"/>
                <w:b/>
                <w:color w:val="6A0DAD"/>
                <w:sz w:val="24"/>
              </w:rPr>
              <w:t>📝 Medical Clearance Required When: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Fitness to travel in doubt following recent illness, hospitalisation, surgery, or exacerbation of chronic condition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Special services needed: supplemental in-flight oxygen, stretcher, carry-on medical equipment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Passenger needs assistance boarding or cannot reach toilet independently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Contagious/communicable disease present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Mental health condition with unpredictable behaviour</w:t>
            </w:r>
          </w:p>
        </w:tc>
      </w:tr>
    </w:tbl>
    <w:p/>
    <w:p>
      <w:pPr>
        <w:spacing w:before="120" w:after="40"/>
      </w:pPr>
      <w:r>
        <w:rPr>
          <w:color w:val="DCDCD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rFonts w:ascii="Calibri" w:hAnsi="Calibri"/>
          <w:b/>
          <w:color w:val="1565C0"/>
          <w:sz w:val="24"/>
        </w:rPr>
        <w:t>🫁  Respiratory Disease and Flying (BTS 2022)</w:t>
      </w:r>
    </w:p>
    <w:p>
      <w:pPr>
        <w:spacing w:after="80"/>
      </w:pPr>
      <w:r>
        <w:rPr>
          <w:rFonts w:ascii="Calibri" w:hAnsi="Calibri"/>
          <w:b/>
          <w:sz w:val="21"/>
        </w:rPr>
        <w:t>The BTS Clinical Statement (2022) identifies FOUR absolute contraindications to air travel: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071"/>
            <w:shd w:val="clear" w:color="auto" w:fill="FFEBEE"/>
          </w:tcPr>
          <w:p>
            <w:pPr>
              <w:spacing w:before="80" w:after="40"/>
            </w:pPr>
            <w:r>
              <w:rPr>
                <w:rFonts w:ascii="Calibri" w:hAnsi="Calibri"/>
                <w:b/>
                <w:color w:val="C62828"/>
                <w:sz w:val="24"/>
              </w:rPr>
              <w:t>🚫 BTS Absolute Contraindications to Flying (Respiratory)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Breathlessness at rest (e.g. severe COPD, decompensated heart failure)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Recent pneumothorax (within 2–3 weeks of drainage)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Infection that is communicable to other passengers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Sickle cell crisis within past 10 days</w:t>
            </w:r>
          </w:p>
        </w:tc>
      </w:tr>
    </w:tbl>
    <w:p/>
    <w:p>
      <w:r>
        <w:rPr>
          <w:rFonts w:ascii="Calibri" w:hAnsi="Calibri"/>
          <w:sz w:val="21"/>
        </w:rPr>
        <w:t>For patients with stable chronic respiratory disease (COPD, asthma, ILD), a Hypoxia Inhalation Test (HIT) may be required to determine need for in-flight oxygen. SpO₂ &lt;85% at 15% O₂ challenge → in-flight supplemental O₂ needed.</w:t>
      </w:r>
    </w:p>
    <w:p>
      <w:pPr>
        <w:spacing w:before="240" w:after="80"/>
      </w:pPr>
      <w:r>
        <w:rPr>
          <w:rFonts w:ascii="Calibri" w:hAnsi="Calibri"/>
          <w:b/>
          <w:color w:val="C62828"/>
          <w:sz w:val="24"/>
        </w:rPr>
        <w:t>💉  Post-Operative Patients and Flying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2551"/>
            <w:shd w:val="clear" w:color="auto" w:fill="E0651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Surgery Type</w:t>
            </w:r>
          </w:p>
        </w:tc>
        <w:tc>
          <w:tcPr>
            <w:tcW w:type="dxa" w:w="2268"/>
            <w:shd w:val="clear" w:color="auto" w:fill="E0651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Minimum Wait Before Flying</w:t>
            </w:r>
          </w:p>
        </w:tc>
        <w:tc>
          <w:tcPr>
            <w:tcW w:type="dxa" w:w="4252"/>
            <w:shd w:val="clear" w:color="auto" w:fill="E0651F"/>
          </w:tcPr>
          <w:p>
            <w:r>
              <w:rPr>
                <w:rFonts w:ascii="Calibri" w:hAnsi="Calibri"/>
                <w:b/>
                <w:color w:val="FFFFFF"/>
                <w:sz w:val="20"/>
              </w:rPr>
              <w:t>Notes</w:t>
            </w:r>
          </w:p>
        </w:tc>
      </w:tr>
      <w:tr>
        <w:tc>
          <w:tcPr>
            <w:tcW w:type="dxa" w:w="2551"/>
            <w:shd w:val="clear" w:color="auto" w:fill="FFF3ED"/>
          </w:tcPr>
          <w:p>
            <w:r>
              <w:rPr>
                <w:rFonts w:ascii="Calibri" w:hAnsi="Calibri"/>
                <w:sz w:val="20"/>
              </w:rPr>
              <w:t>Most surgery (general)</w:t>
            </w:r>
          </w:p>
        </w:tc>
        <w:tc>
          <w:tcPr>
            <w:tcW w:type="dxa" w:w="2268"/>
            <w:shd w:val="clear" w:color="auto" w:fill="FFF3ED"/>
          </w:tcPr>
          <w:p>
            <w:r>
              <w:rPr>
                <w:rFonts w:ascii="Calibri" w:hAnsi="Calibri"/>
                <w:sz w:val="20"/>
              </w:rPr>
              <w:t>5–14 days post-op</w:t>
            </w:r>
          </w:p>
        </w:tc>
        <w:tc>
          <w:tcPr>
            <w:tcW w:type="dxa" w:w="4252"/>
            <w:shd w:val="clear" w:color="auto" w:fill="FFF3ED"/>
          </w:tcPr>
          <w:p>
            <w:r>
              <w:rPr>
                <w:rFonts w:ascii="Calibri" w:hAnsi="Calibri"/>
                <w:sz w:val="20"/>
              </w:rPr>
              <w:t>Depends on nature of surgery and gas expansion risk</w:t>
            </w:r>
          </w:p>
        </w:tc>
      </w:tr>
      <w:tr>
        <w:tc>
          <w:tcPr>
            <w:tcW w:type="dxa" w:w="2551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Intraocular gas injection</w:t>
              <w:br/>
              <w:t>(retinal detachment repair)</w:t>
            </w:r>
          </w:p>
        </w:tc>
        <w:tc>
          <w:tcPr>
            <w:tcW w:type="dxa" w:w="2268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Up to 6 WEEKS</w:t>
            </w:r>
          </w:p>
        </w:tc>
        <w:tc>
          <w:tcPr>
            <w:tcW w:type="dxa" w:w="4252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⚠️ Gas in eye expands at altitude → catastrophic IOP rise → vision loss</w:t>
            </w:r>
          </w:p>
        </w:tc>
      </w:tr>
      <w:tr>
        <w:tc>
          <w:tcPr>
            <w:tcW w:type="dxa" w:w="2551"/>
            <w:shd w:val="clear" w:color="auto" w:fill="FFF3ED"/>
          </w:tcPr>
          <w:p>
            <w:r>
              <w:rPr>
                <w:rFonts w:ascii="Calibri" w:hAnsi="Calibri"/>
                <w:sz w:val="20"/>
              </w:rPr>
              <w:t>Abdominal / bowel surgery</w:t>
            </w:r>
          </w:p>
        </w:tc>
        <w:tc>
          <w:tcPr>
            <w:tcW w:type="dxa" w:w="2268"/>
            <w:shd w:val="clear" w:color="auto" w:fill="FFF3ED"/>
          </w:tcPr>
          <w:p>
            <w:r>
              <w:rPr>
                <w:rFonts w:ascii="Calibri" w:hAnsi="Calibri"/>
                <w:sz w:val="20"/>
              </w:rPr>
              <w:t>7–14 days minimum</w:t>
            </w:r>
          </w:p>
        </w:tc>
        <w:tc>
          <w:tcPr>
            <w:tcW w:type="dxa" w:w="4252"/>
            <w:shd w:val="clear" w:color="auto" w:fill="FFF3ED"/>
          </w:tcPr>
          <w:p>
            <w:r>
              <w:rPr>
                <w:rFonts w:ascii="Calibri" w:hAnsi="Calibri"/>
                <w:sz w:val="20"/>
              </w:rPr>
              <w:t>Bowel gas expands 30% — stretches anastomoses; assess case by case</w:t>
            </w:r>
          </w:p>
        </w:tc>
      </w:tr>
      <w:tr>
        <w:tc>
          <w:tcPr>
            <w:tcW w:type="dxa" w:w="2551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Laparoscopy</w:t>
            </w:r>
          </w:p>
        </w:tc>
        <w:tc>
          <w:tcPr>
            <w:tcW w:type="dxa" w:w="2268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24–48 hours</w:t>
            </w:r>
          </w:p>
        </w:tc>
        <w:tc>
          <w:tcPr>
            <w:tcW w:type="dxa" w:w="4252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CO₂ reabsorbs quickly; short delay usually sufficient</w:t>
            </w:r>
          </w:p>
        </w:tc>
      </w:tr>
      <w:tr>
        <w:tc>
          <w:tcPr>
            <w:tcW w:type="dxa" w:w="2551"/>
            <w:shd w:val="clear" w:color="auto" w:fill="FFF3ED"/>
          </w:tcPr>
          <w:p>
            <w:r>
              <w:rPr>
                <w:rFonts w:ascii="Calibri" w:hAnsi="Calibri"/>
                <w:sz w:val="20"/>
              </w:rPr>
              <w:t>CABG / cardiac surgery</w:t>
            </w:r>
          </w:p>
        </w:tc>
        <w:tc>
          <w:tcPr>
            <w:tcW w:type="dxa" w:w="2268"/>
            <w:shd w:val="clear" w:color="auto" w:fill="FFF3ED"/>
          </w:tcPr>
          <w:p>
            <w:r>
              <w:rPr>
                <w:rFonts w:ascii="Calibri" w:hAnsi="Calibri"/>
                <w:sz w:val="20"/>
              </w:rPr>
              <w:t>Individual assessment</w:t>
            </w:r>
          </w:p>
        </w:tc>
        <w:tc>
          <w:tcPr>
            <w:tcW w:type="dxa" w:w="4252"/>
            <w:shd w:val="clear" w:color="auto" w:fill="FFF3ED"/>
          </w:tcPr>
          <w:p>
            <w:r>
              <w:rPr>
                <w:rFonts w:ascii="Calibri" w:hAnsi="Calibri"/>
                <w:sz w:val="20"/>
              </w:rPr>
              <w:t>Typically ≥6 weeks; pneumothorax risk after cardiac surgery</w:t>
            </w:r>
          </w:p>
        </w:tc>
      </w:tr>
      <w:tr>
        <w:tc>
          <w:tcPr>
            <w:tcW w:type="dxa" w:w="2551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Plaster cast applied</w:t>
            </w:r>
          </w:p>
        </w:tc>
        <w:tc>
          <w:tcPr>
            <w:tcW w:type="dxa" w:w="2268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Bivalve cast if flying within 48 hours</w:t>
            </w:r>
          </w:p>
        </w:tc>
        <w:tc>
          <w:tcPr>
            <w:tcW w:type="dxa" w:w="4252"/>
            <w:shd w:val="clear" w:color="auto" w:fill="FFFFFF"/>
          </w:tcPr>
          <w:p>
            <w:r>
              <w:rPr>
                <w:rFonts w:ascii="Calibri" w:hAnsi="Calibri"/>
                <w:sz w:val="20"/>
              </w:rPr>
              <w:t>Limb swelling at altitude causes pressure necrosis if cast not bivalved</w:t>
            </w:r>
          </w:p>
        </w:tc>
      </w:tr>
    </w:tbl>
    <w:p/>
    <w:p>
      <w:pPr>
        <w:spacing w:before="120" w:after="40"/>
      </w:pPr>
      <w:r>
        <w:rPr>
          <w:color w:val="DCDCD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071"/>
            <w:shd w:val="clear" w:color="auto" w:fill="FFF8DC"/>
          </w:tcPr>
          <w:p>
            <w:pPr>
              <w:spacing w:before="80" w:after="40"/>
            </w:pPr>
            <w:r>
              <w:rPr>
                <w:rFonts w:ascii="Calibri" w:hAnsi="Calibri"/>
                <w:b/>
                <w:color w:val="B8860B"/>
                <w:sz w:val="24"/>
              </w:rPr>
              <w:t>⭐ ⭐ KEY POINTS — Fitness to Fly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If the patient cannot walk 50m without breathlessness → likely cannot tolerate cabin hypoxia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Gas expands by 30% at altitude: risk post-pneumothorax, post-eye gas injection, post-abdominal surgery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SpO₂ typically falls by 10% in-flight — important for COPD, heart failure, anaemia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Retinal gas injection = do NOT fly for up to 6 WEEKS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MEDIF clearance needed for recent illness, hospitalisation, or special in-flight services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All passengers: calf exercises, hydration, walk aisle every 1–2 hrs to reduce DVT risk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Higher risk patients: consider compression stockings; pharmacological prophylaxis if very high risk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1A1A1A"/>
                <w:sz w:val="21"/>
              </w:rPr>
              <w:t>• Always hand-carry all essential medication in cabin baggage</w:t>
            </w:r>
          </w:p>
        </w:tc>
      </w:tr>
    </w:tbl>
    <w:p/>
    <w:p>
      <w:pPr>
        <w:spacing w:before="120" w:after="40"/>
      </w:pPr>
      <w:r>
        <w:rPr>
          <w:color w:val="DCDCD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071"/>
            <w:shd w:val="clear" w:color="auto" w:fill="FFF3E0"/>
          </w:tcPr>
          <w:p>
            <w:pPr>
              <w:spacing w:before="80" w:after="40"/>
            </w:pPr>
            <w:r>
              <w:rPr>
                <w:rFonts w:ascii="Calibri" w:hAnsi="Calibri"/>
                <w:b/>
                <w:color w:val="E65100"/>
                <w:sz w:val="24"/>
              </w:rPr>
              <w:t>⚠ ⚠ Disclaimer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333333"/>
                <w:sz w:val="21"/>
              </w:rPr>
              <w:t>• Always double check this advice and drug doses with the latest NICE/BNF guidance.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333333"/>
                <w:sz w:val="21"/>
              </w:rPr>
              <w:t>• This document is for educational purposes only.</w:t>
            </w:r>
          </w:p>
          <w:p>
            <w:pPr>
              <w:spacing w:before="20" w:after="20"/>
              <w:ind w:left="227"/>
            </w:pPr>
            <w:r>
              <w:rPr>
                <w:rFonts w:ascii="Calibri" w:hAnsi="Calibri"/>
                <w:color w:val="333333"/>
                <w:sz w:val="21"/>
              </w:rPr>
              <w:t>• Clinical decisions should always be based on individual patient assessment and current guidelines.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787878"/>
        <w:sz w:val="16"/>
      </w:rPr>
      <w:t>A free resource provided by www.bradfordvts.co.uk, Dr Ramesh Mehay, original date 2001, revised May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