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E00DDE" w14:paraId="52413B81" w14:textId="77777777">
        <w:tc>
          <w:tcPr>
            <w:tcW w:w="9638" w:type="dxa"/>
            <w:tcBorders>
              <w:top w:val="single" w:sz="4" w:space="0" w:color="E0651F"/>
              <w:left w:val="single" w:sz="4" w:space="0" w:color="E0651F"/>
              <w:bottom w:val="single" w:sz="4" w:space="0" w:color="E0651F"/>
              <w:right w:val="single" w:sz="4" w:space="0" w:color="E0651F"/>
            </w:tcBorders>
            <w:shd w:val="clear" w:color="auto" w:fill="E0651F"/>
          </w:tcPr>
          <w:p w14:paraId="4E059812" w14:textId="77777777" w:rsidR="00E00DDE" w:rsidRDefault="00E00DDE"/>
          <w:p w14:paraId="47A7BF35" w14:textId="77777777" w:rsidR="00E00DDE" w:rsidRDefault="00000000">
            <w:pPr>
              <w:spacing w:before="280" w:after="80"/>
              <w:jc w:val="center"/>
            </w:pPr>
            <w:r>
              <w:rPr>
                <w:b/>
                <w:color w:val="FFFFFF"/>
                <w:sz w:val="20"/>
              </w:rPr>
              <w:t>BRADFORD VTS TEACHING AIDS</w:t>
            </w:r>
          </w:p>
          <w:p w14:paraId="095F37D6" w14:textId="77777777" w:rsidR="00E00DDE" w:rsidRDefault="00000000">
            <w:pPr>
              <w:spacing w:before="80" w:after="120"/>
              <w:jc w:val="center"/>
            </w:pPr>
            <w:r>
              <w:rPr>
                <w:b/>
                <w:color w:val="FFFFFF"/>
                <w:sz w:val="76"/>
              </w:rPr>
              <w:t>Smoking Cessation</w:t>
            </w:r>
          </w:p>
          <w:p w14:paraId="24EDCF95" w14:textId="77777777" w:rsidR="00E00DDE" w:rsidRDefault="00000000">
            <w:pPr>
              <w:spacing w:before="40" w:after="280"/>
              <w:jc w:val="center"/>
            </w:pPr>
            <w:r>
              <w:rPr>
                <w:i/>
                <w:color w:val="FFE8D6"/>
                <w:sz w:val="24"/>
              </w:rPr>
              <w:t>A Comprehensive Clinical Guide  ·  Bradford VTS  ·  May 2026</w:t>
            </w:r>
          </w:p>
        </w:tc>
      </w:tr>
    </w:tbl>
    <w:p w14:paraId="2B949C6E" w14:textId="77777777" w:rsidR="00E00DDE" w:rsidRDefault="00000000">
      <w:pPr>
        <w:spacing w:before="160" w:after="40"/>
        <w:jc w:val="center"/>
      </w:pPr>
      <w:r>
        <w:rPr>
          <w:noProof/>
        </w:rPr>
        <w:drawing>
          <wp:inline distT="0" distB="0" distL="0" distR="0" wp14:anchorId="6CAA55D7" wp14:editId="24CFE8B4">
            <wp:extent cx="4095750" cy="2730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9977" cy="273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1F642" w14:textId="77777777" w:rsidR="00E00DDE" w:rsidRDefault="00000000">
      <w:pPr>
        <w:spacing w:before="40" w:after="280"/>
      </w:pPr>
      <w:r>
        <w:rPr>
          <w:i/>
          <w:color w:val="555555"/>
          <w:sz w:val="19"/>
        </w:rPr>
        <w:t>A practical GP reference guide to smoking cessation — pharmacological treatments, behavioural support, and SCA/AKT exam preparation. Updated to NICE NG209 (February 2025).</w:t>
      </w:r>
    </w:p>
    <w:p w14:paraId="20913B10" w14:textId="77777777" w:rsidR="00E00DDE" w:rsidRDefault="00E00DDE">
      <w:pPr>
        <w:pBdr>
          <w:bottom w:val="single" w:sz="6" w:space="1" w:color="2E86AB"/>
        </w:pBdr>
        <w:spacing w:before="120" w:after="120"/>
      </w:pPr>
    </w:p>
    <w:p w14:paraId="7E939CAA" w14:textId="77777777" w:rsidR="00E00DDE" w:rsidRDefault="00000000">
      <w:pPr>
        <w:spacing w:before="200" w:after="80"/>
      </w:pPr>
      <w:r>
        <w:rPr>
          <w:b/>
          <w:color w:val="1E3A5F"/>
          <w:sz w:val="32"/>
        </w:rPr>
        <w:t>1. Why Smoking Cessation Matters in Primary Care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E00DDE" w14:paraId="1D7A99F3" w14:textId="77777777"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EBF5FB"/>
          </w:tcPr>
          <w:p w14:paraId="7FEE2D60" w14:textId="77777777" w:rsidR="00E00DDE" w:rsidRDefault="00E00DDE"/>
          <w:p w14:paraId="6F4FB362" w14:textId="77777777" w:rsidR="00E00DDE" w:rsidRDefault="00000000">
            <w:pPr>
              <w:spacing w:before="80" w:after="20"/>
              <w:ind w:left="170"/>
            </w:pPr>
            <w:r>
              <w:rPr>
                <w:b/>
                <w:color w:val="1E3A5F"/>
                <w:sz w:val="26"/>
              </w:rPr>
              <w:t>~6.4 million</w:t>
            </w:r>
          </w:p>
          <w:p w14:paraId="5FA1AC03" w14:textId="77777777" w:rsidR="00E00DDE" w:rsidRDefault="00000000">
            <w:pPr>
              <w:spacing w:after="100"/>
              <w:ind w:left="170"/>
            </w:pPr>
            <w:r>
              <w:rPr>
                <w:color w:val="2C2C2C"/>
                <w:sz w:val="20"/>
              </w:rPr>
              <w:t>adults smoke in England (≈13% adults, 2023)</w:t>
            </w:r>
          </w:p>
        </w:tc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FDFEFE"/>
          </w:tcPr>
          <w:p w14:paraId="5850E134" w14:textId="77777777" w:rsidR="00E00DDE" w:rsidRDefault="00E00DDE"/>
          <w:p w14:paraId="31DC7A3B" w14:textId="77777777" w:rsidR="00E00DDE" w:rsidRDefault="00000000">
            <w:pPr>
              <w:spacing w:before="80" w:after="20"/>
              <w:ind w:left="170"/>
            </w:pPr>
            <w:r>
              <w:rPr>
                <w:b/>
                <w:color w:val="1E3A5F"/>
                <w:sz w:val="26"/>
              </w:rPr>
              <w:t>70,000+ deaths/year</w:t>
            </w:r>
          </w:p>
          <w:p w14:paraId="724A0A50" w14:textId="77777777" w:rsidR="00E00DDE" w:rsidRDefault="00000000">
            <w:pPr>
              <w:spacing w:after="100"/>
              <w:ind w:left="170"/>
            </w:pPr>
            <w:r>
              <w:rPr>
                <w:color w:val="2C2C2C"/>
                <w:sz w:val="20"/>
              </w:rPr>
              <w:t>in England attributable to smoking</w:t>
            </w:r>
          </w:p>
        </w:tc>
      </w:tr>
      <w:tr w:rsidR="00E00DDE" w14:paraId="50CC4471" w14:textId="77777777"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EBF5FB"/>
          </w:tcPr>
          <w:p w14:paraId="0370AE90" w14:textId="77777777" w:rsidR="00E00DDE" w:rsidRDefault="00E00DDE"/>
          <w:p w14:paraId="14E56F08" w14:textId="77777777" w:rsidR="00E00DDE" w:rsidRDefault="00000000">
            <w:pPr>
              <w:spacing w:before="80" w:after="20"/>
              <w:ind w:left="170"/>
            </w:pPr>
            <w:r>
              <w:rPr>
                <w:b/>
                <w:color w:val="1E3A5F"/>
                <w:sz w:val="26"/>
              </w:rPr>
              <w:t>£2.5 billion/year</w:t>
            </w:r>
          </w:p>
          <w:p w14:paraId="40E13988" w14:textId="77777777" w:rsidR="00E00DDE" w:rsidRDefault="00000000">
            <w:pPr>
              <w:spacing w:after="100"/>
              <w:ind w:left="170"/>
            </w:pPr>
            <w:r>
              <w:rPr>
                <w:color w:val="2C2C2C"/>
                <w:sz w:val="20"/>
              </w:rPr>
              <w:t>cost to the NHS</w:t>
            </w:r>
          </w:p>
        </w:tc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FDFEFE"/>
          </w:tcPr>
          <w:p w14:paraId="1B68F604" w14:textId="77777777" w:rsidR="00E00DDE" w:rsidRDefault="00E00DDE"/>
          <w:p w14:paraId="24B2C89A" w14:textId="77777777" w:rsidR="00E00DDE" w:rsidRDefault="00000000">
            <w:pPr>
              <w:spacing w:before="80" w:after="20"/>
              <w:ind w:left="170"/>
            </w:pPr>
            <w:r>
              <w:rPr>
                <w:b/>
                <w:color w:val="1E3A5F"/>
                <w:sz w:val="26"/>
              </w:rPr>
              <w:t>4x more likely</w:t>
            </w:r>
          </w:p>
          <w:p w14:paraId="79C68AEB" w14:textId="77777777" w:rsidR="00E00DDE" w:rsidRDefault="00000000">
            <w:pPr>
              <w:spacing w:after="100"/>
              <w:ind w:left="170"/>
            </w:pPr>
            <w:r>
              <w:rPr>
                <w:color w:val="2C2C2C"/>
                <w:sz w:val="20"/>
              </w:rPr>
              <w:t>to quit with specialist support + medication vs willpower alone</w:t>
            </w:r>
          </w:p>
        </w:tc>
      </w:tr>
      <w:tr w:rsidR="00E00DDE" w14:paraId="2AA8274E" w14:textId="77777777"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EBF5FB"/>
          </w:tcPr>
          <w:p w14:paraId="476A929E" w14:textId="77777777" w:rsidR="00E00DDE" w:rsidRDefault="00E00DDE"/>
          <w:p w14:paraId="5E87A2FE" w14:textId="77777777" w:rsidR="00E00DDE" w:rsidRDefault="00000000">
            <w:pPr>
              <w:spacing w:before="80" w:after="20"/>
              <w:ind w:left="170"/>
            </w:pPr>
            <w:r>
              <w:rPr>
                <w:b/>
                <w:color w:val="1E3A5F"/>
                <w:sz w:val="26"/>
              </w:rPr>
              <w:t>~30 quit attempts</w:t>
            </w:r>
          </w:p>
          <w:p w14:paraId="1484E42F" w14:textId="77777777" w:rsidR="00E00DDE" w:rsidRDefault="00000000">
            <w:pPr>
              <w:spacing w:after="100"/>
              <w:ind w:left="170"/>
            </w:pPr>
            <w:r>
              <w:rPr>
                <w:color w:val="2C2C2C"/>
                <w:sz w:val="20"/>
              </w:rPr>
              <w:t>average before permanent cessation</w:t>
            </w:r>
          </w:p>
        </w:tc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FDFEFE"/>
          </w:tcPr>
          <w:p w14:paraId="4932A6DB" w14:textId="77777777" w:rsidR="00E00DDE" w:rsidRDefault="00E00DDE"/>
          <w:p w14:paraId="3737F9D9" w14:textId="77777777" w:rsidR="00E00DDE" w:rsidRDefault="00000000">
            <w:pPr>
              <w:spacing w:before="80" w:after="20"/>
              <w:ind w:left="170"/>
            </w:pPr>
            <w:r>
              <w:rPr>
                <w:b/>
                <w:color w:val="1E3A5F"/>
                <w:sz w:val="26"/>
              </w:rPr>
              <w:t>2030 smokefree target</w:t>
            </w:r>
          </w:p>
          <w:p w14:paraId="7978CEF3" w14:textId="77777777" w:rsidR="00E00DDE" w:rsidRDefault="00000000">
            <w:pPr>
              <w:spacing w:after="100"/>
              <w:ind w:left="170"/>
            </w:pPr>
            <w:r>
              <w:rPr>
                <w:color w:val="2C2C2C"/>
                <w:sz w:val="20"/>
              </w:rPr>
              <w:t>UK target: &lt;5% of population smoking</w:t>
            </w:r>
          </w:p>
        </w:tc>
      </w:tr>
    </w:tbl>
    <w:p w14:paraId="0FF8ABE3" w14:textId="77777777" w:rsidR="00E00DDE" w:rsidRDefault="00E00DDE">
      <w:pPr>
        <w:spacing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E00DDE" w14:paraId="51853293" w14:textId="77777777">
        <w:tc>
          <w:tcPr>
            <w:tcW w:w="9638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D6EAF8"/>
          </w:tcPr>
          <w:p w14:paraId="51E6E10E" w14:textId="77777777" w:rsidR="00E00DDE" w:rsidRDefault="00E00DDE"/>
          <w:p w14:paraId="2154BBC4" w14:textId="77777777" w:rsidR="00E00DDE" w:rsidRDefault="00000000">
            <w:pPr>
              <w:spacing w:before="100" w:after="60"/>
            </w:pPr>
            <w:r>
              <w:rPr>
                <w:b/>
                <w:color w:val="1E3A5F"/>
                <w:sz w:val="23"/>
              </w:rPr>
              <w:t>🩺 The GP's Unique Opportunity</w:t>
            </w:r>
          </w:p>
          <w:p w14:paraId="4AB41456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70% of smokers see their GP every year — every consultation is a potential intervention</w:t>
            </w:r>
          </w:p>
          <w:p w14:paraId="797D01AD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Use Very Brief Advice (VBA): Ask → Brief Advice → Act (refer/prescribe)</w:t>
            </w:r>
          </w:p>
          <w:p w14:paraId="4BB65344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Even brief GP advice increases quit rates — it doesn't need to be a long conversation</w:t>
            </w:r>
          </w:p>
          <w:p w14:paraId="592DEA5F" w14:textId="232A6673" w:rsidR="00E00DDE" w:rsidRDefault="00000000" w:rsidP="00582A8B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Always record smoking status in the patient record</w:t>
            </w:r>
          </w:p>
        </w:tc>
      </w:tr>
    </w:tbl>
    <w:p w14:paraId="7DF2191A" w14:textId="2CA91CE0" w:rsidR="00E00DDE" w:rsidRPr="00582A8B" w:rsidRDefault="00582A8B" w:rsidP="00582A8B">
      <w:pPr>
        <w:tabs>
          <w:tab w:val="left" w:pos="2400"/>
        </w:tabs>
        <w:spacing w:after="100"/>
        <w:rPr>
          <w:sz w:val="2"/>
          <w:szCs w:val="2"/>
        </w:rPr>
      </w:pPr>
      <w:r>
        <w:tab/>
      </w:r>
    </w:p>
    <w:p w14:paraId="4BB9E345" w14:textId="77777777" w:rsidR="00E00DDE" w:rsidRDefault="00E00DDE">
      <w:pPr>
        <w:pBdr>
          <w:bottom w:val="single" w:sz="6" w:space="1" w:color="2E86AB"/>
        </w:pBdr>
        <w:spacing w:before="120" w:after="120"/>
      </w:pPr>
    </w:p>
    <w:p w14:paraId="3550AC67" w14:textId="77777777" w:rsidR="00E00DDE" w:rsidRDefault="00000000">
      <w:pPr>
        <w:spacing w:before="200" w:after="80"/>
      </w:pPr>
      <w:r>
        <w:rPr>
          <w:b/>
          <w:color w:val="1E3A5F"/>
          <w:sz w:val="32"/>
        </w:rPr>
        <w:t>2. The Four Pharmacological Options — NICE NG209 (February 2025)</w:t>
      </w:r>
    </w:p>
    <w:p w14:paraId="72F2B931" w14:textId="77777777" w:rsidR="00E00DDE" w:rsidRDefault="00000000">
      <w:pPr>
        <w:spacing w:after="120"/>
      </w:pPr>
      <w:r>
        <w:rPr>
          <w:color w:val="2C2C2C"/>
        </w:rPr>
        <w:t>NICE NG209, last reviewed 4 February 2025, now recommends FOUR pharmacological treatments for smoking cessation (a significant update from older guidance). All are most effective when combined with behavioural support.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  <w:gridCol w:w="1928"/>
      </w:tblGrid>
      <w:tr w:rsidR="00E00DDE" w14:paraId="138EEE2E" w14:textId="77777777">
        <w:tc>
          <w:tcPr>
            <w:tcW w:w="1928" w:type="dxa"/>
            <w:tcBorders>
              <w:top w:val="single" w:sz="4" w:space="0" w:color="1E3A5F"/>
              <w:left w:val="single" w:sz="4" w:space="0" w:color="1E3A5F"/>
              <w:bottom w:val="single" w:sz="4" w:space="0" w:color="1E3A5F"/>
              <w:right w:val="single" w:sz="4" w:space="0" w:color="1E3A5F"/>
            </w:tcBorders>
            <w:shd w:val="clear" w:color="auto" w:fill="1E3A5F"/>
          </w:tcPr>
          <w:p w14:paraId="64B77B78" w14:textId="77777777" w:rsidR="00E00DDE" w:rsidRDefault="00E00DDE"/>
          <w:p w14:paraId="6E088F5F" w14:textId="77777777" w:rsidR="00E00DDE" w:rsidRDefault="00000000">
            <w:pPr>
              <w:spacing w:before="60" w:after="60"/>
            </w:pPr>
            <w:r>
              <w:rPr>
                <w:b/>
                <w:color w:val="FFFFFF"/>
                <w:sz w:val="20"/>
              </w:rPr>
              <w:t>Medication</w:t>
            </w:r>
          </w:p>
        </w:tc>
        <w:tc>
          <w:tcPr>
            <w:tcW w:w="1928" w:type="dxa"/>
            <w:tcBorders>
              <w:top w:val="single" w:sz="4" w:space="0" w:color="1E3A5F"/>
              <w:left w:val="single" w:sz="4" w:space="0" w:color="1E3A5F"/>
              <w:bottom w:val="single" w:sz="4" w:space="0" w:color="1E3A5F"/>
              <w:right w:val="single" w:sz="4" w:space="0" w:color="1E3A5F"/>
            </w:tcBorders>
            <w:shd w:val="clear" w:color="auto" w:fill="1E3A5F"/>
          </w:tcPr>
          <w:p w14:paraId="5971151D" w14:textId="77777777" w:rsidR="00E00DDE" w:rsidRDefault="00E00DDE"/>
          <w:p w14:paraId="6243DF10" w14:textId="77777777" w:rsidR="00E00DDE" w:rsidRDefault="00000000">
            <w:pPr>
              <w:spacing w:before="60" w:after="60"/>
            </w:pPr>
            <w:r>
              <w:rPr>
                <w:b/>
                <w:color w:val="FFFFFF"/>
                <w:sz w:val="20"/>
              </w:rPr>
              <w:t>Efficacy</w:t>
            </w:r>
          </w:p>
        </w:tc>
        <w:tc>
          <w:tcPr>
            <w:tcW w:w="1928" w:type="dxa"/>
            <w:tcBorders>
              <w:top w:val="single" w:sz="4" w:space="0" w:color="1E3A5F"/>
              <w:left w:val="single" w:sz="4" w:space="0" w:color="1E3A5F"/>
              <w:bottom w:val="single" w:sz="4" w:space="0" w:color="1E3A5F"/>
              <w:right w:val="single" w:sz="4" w:space="0" w:color="1E3A5F"/>
            </w:tcBorders>
            <w:shd w:val="clear" w:color="auto" w:fill="1E3A5F"/>
          </w:tcPr>
          <w:p w14:paraId="60D1475F" w14:textId="77777777" w:rsidR="00E00DDE" w:rsidRDefault="00E00DDE"/>
          <w:p w14:paraId="57ABEA31" w14:textId="77777777" w:rsidR="00E00DDE" w:rsidRDefault="00000000">
            <w:pPr>
              <w:spacing w:before="60" w:after="60"/>
            </w:pPr>
            <w:r>
              <w:rPr>
                <w:b/>
                <w:color w:val="FFFFFF"/>
                <w:sz w:val="20"/>
              </w:rPr>
              <w:t>Course</w:t>
            </w:r>
          </w:p>
        </w:tc>
        <w:tc>
          <w:tcPr>
            <w:tcW w:w="1928" w:type="dxa"/>
            <w:tcBorders>
              <w:top w:val="single" w:sz="4" w:space="0" w:color="1E3A5F"/>
              <w:left w:val="single" w:sz="4" w:space="0" w:color="1E3A5F"/>
              <w:bottom w:val="single" w:sz="4" w:space="0" w:color="1E3A5F"/>
              <w:right w:val="single" w:sz="4" w:space="0" w:color="1E3A5F"/>
            </w:tcBorders>
            <w:shd w:val="clear" w:color="auto" w:fill="1E3A5F"/>
          </w:tcPr>
          <w:p w14:paraId="79443C1B" w14:textId="77777777" w:rsidR="00E00DDE" w:rsidRDefault="00E00DDE"/>
          <w:p w14:paraId="49C2BDA3" w14:textId="77777777" w:rsidR="00E00DDE" w:rsidRDefault="00000000">
            <w:pPr>
              <w:spacing w:before="60" w:after="60"/>
            </w:pPr>
            <w:r>
              <w:rPr>
                <w:b/>
                <w:color w:val="FFFFFF"/>
                <w:sz w:val="20"/>
              </w:rPr>
              <w:t>Start before quit</w:t>
            </w:r>
          </w:p>
        </w:tc>
        <w:tc>
          <w:tcPr>
            <w:tcW w:w="1928" w:type="dxa"/>
            <w:tcBorders>
              <w:top w:val="single" w:sz="4" w:space="0" w:color="1E3A5F"/>
              <w:left w:val="single" w:sz="4" w:space="0" w:color="1E3A5F"/>
              <w:bottom w:val="single" w:sz="4" w:space="0" w:color="1E3A5F"/>
              <w:right w:val="single" w:sz="4" w:space="0" w:color="1E3A5F"/>
            </w:tcBorders>
            <w:shd w:val="clear" w:color="auto" w:fill="1E3A5F"/>
          </w:tcPr>
          <w:p w14:paraId="4EF1EA5C" w14:textId="77777777" w:rsidR="00E00DDE" w:rsidRDefault="00E00DDE"/>
          <w:p w14:paraId="31B8A496" w14:textId="77777777" w:rsidR="00E00DDE" w:rsidRDefault="00000000">
            <w:pPr>
              <w:spacing w:before="60" w:after="60"/>
            </w:pPr>
            <w:r>
              <w:rPr>
                <w:b/>
                <w:color w:val="FFFFFF"/>
                <w:sz w:val="20"/>
              </w:rPr>
              <w:t>Key notes</w:t>
            </w:r>
          </w:p>
        </w:tc>
      </w:tr>
      <w:tr w:rsidR="00E00DDE" w14:paraId="4CD4932E" w14:textId="77777777">
        <w:tc>
          <w:tcPr>
            <w:tcW w:w="19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DFEFE"/>
          </w:tcPr>
          <w:p w14:paraId="6D540C76" w14:textId="77777777" w:rsidR="00E00DDE" w:rsidRDefault="00E00DDE"/>
          <w:p w14:paraId="4C6EFC15" w14:textId="77777777" w:rsidR="00E00DDE" w:rsidRDefault="00000000">
            <w:pPr>
              <w:spacing w:before="60" w:after="60"/>
              <w:ind w:left="85"/>
            </w:pPr>
            <w:r>
              <w:rPr>
                <w:b/>
                <w:color w:val="1A1A2E"/>
                <w:sz w:val="19"/>
              </w:rPr>
              <w:t>Combination NRT</w:t>
            </w:r>
          </w:p>
        </w:tc>
        <w:tc>
          <w:tcPr>
            <w:tcW w:w="19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DFEFE"/>
          </w:tcPr>
          <w:p w14:paraId="58C99D26" w14:textId="77777777" w:rsidR="00E00DDE" w:rsidRDefault="00E00DDE"/>
          <w:p w14:paraId="499EADBF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High</w:t>
            </w:r>
          </w:p>
        </w:tc>
        <w:tc>
          <w:tcPr>
            <w:tcW w:w="19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DFEFE"/>
          </w:tcPr>
          <w:p w14:paraId="677C4449" w14:textId="77777777" w:rsidR="00E00DDE" w:rsidRDefault="00E00DDE"/>
          <w:p w14:paraId="2554A4CC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8–12 weeks</w:t>
            </w:r>
          </w:p>
        </w:tc>
        <w:tc>
          <w:tcPr>
            <w:tcW w:w="19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DFEFE"/>
          </w:tcPr>
          <w:p w14:paraId="3B42FEC0" w14:textId="77777777" w:rsidR="00E00DDE" w:rsidRDefault="00E00DDE"/>
          <w:p w14:paraId="1433E105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On quit date</w:t>
            </w:r>
          </w:p>
        </w:tc>
        <w:tc>
          <w:tcPr>
            <w:tcW w:w="19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DFEFE"/>
          </w:tcPr>
          <w:p w14:paraId="254C4B6B" w14:textId="77777777" w:rsidR="00E00DDE" w:rsidRDefault="00E00DDE"/>
          <w:p w14:paraId="7AF61019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First-line; safe in pregnancy</w:t>
            </w:r>
          </w:p>
        </w:tc>
      </w:tr>
      <w:tr w:rsidR="00E00DDE" w14:paraId="52DB2147" w14:textId="77777777">
        <w:tc>
          <w:tcPr>
            <w:tcW w:w="19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5FB"/>
          </w:tcPr>
          <w:p w14:paraId="121F2E8B" w14:textId="77777777" w:rsidR="00E00DDE" w:rsidRDefault="00E00DDE"/>
          <w:p w14:paraId="51495460" w14:textId="77777777" w:rsidR="00E00DDE" w:rsidRDefault="00000000">
            <w:pPr>
              <w:spacing w:before="60" w:after="60"/>
              <w:ind w:left="85"/>
            </w:pPr>
            <w:r>
              <w:rPr>
                <w:b/>
                <w:color w:val="1A1A2E"/>
                <w:sz w:val="19"/>
              </w:rPr>
              <w:t>Varenicline</w:t>
            </w:r>
          </w:p>
        </w:tc>
        <w:tc>
          <w:tcPr>
            <w:tcW w:w="19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5FB"/>
          </w:tcPr>
          <w:p w14:paraId="0536C477" w14:textId="77777777" w:rsidR="00E00DDE" w:rsidRDefault="00E00DDE"/>
          <w:p w14:paraId="211BB7B0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Highest (single)</w:t>
            </w:r>
          </w:p>
        </w:tc>
        <w:tc>
          <w:tcPr>
            <w:tcW w:w="19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5FB"/>
          </w:tcPr>
          <w:p w14:paraId="3F62A617" w14:textId="77777777" w:rsidR="00E00DDE" w:rsidRDefault="00E00DDE"/>
          <w:p w14:paraId="468AA150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12 weeks (+12)</w:t>
            </w:r>
          </w:p>
        </w:tc>
        <w:tc>
          <w:tcPr>
            <w:tcW w:w="19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5FB"/>
          </w:tcPr>
          <w:p w14:paraId="4F5B558D" w14:textId="77777777" w:rsidR="00E00DDE" w:rsidRDefault="00E00DDE"/>
          <w:p w14:paraId="7DEDD3BE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1–2 wks before</w:t>
            </w:r>
          </w:p>
        </w:tc>
        <w:tc>
          <w:tcPr>
            <w:tcW w:w="19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5FB"/>
          </w:tcPr>
          <w:p w14:paraId="27E111D7" w14:textId="77777777" w:rsidR="00E00DDE" w:rsidRDefault="00E00DDE"/>
          <w:p w14:paraId="00763BA7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Back UK market 2024–2025</w:t>
            </w:r>
          </w:p>
        </w:tc>
      </w:tr>
      <w:tr w:rsidR="00E00DDE" w14:paraId="36EE8F47" w14:textId="77777777">
        <w:tc>
          <w:tcPr>
            <w:tcW w:w="19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EF9E7"/>
          </w:tcPr>
          <w:p w14:paraId="3B986FB2" w14:textId="77777777" w:rsidR="00E00DDE" w:rsidRDefault="00E00DDE"/>
          <w:p w14:paraId="6201C8DE" w14:textId="77777777" w:rsidR="00E00DDE" w:rsidRDefault="00000000">
            <w:pPr>
              <w:spacing w:before="60" w:after="60"/>
              <w:ind w:left="85"/>
            </w:pPr>
            <w:r>
              <w:rPr>
                <w:b/>
                <w:color w:val="1A1A2E"/>
                <w:sz w:val="19"/>
              </w:rPr>
              <w:t>Cytisinicline ⭐NEW</w:t>
            </w:r>
          </w:p>
        </w:tc>
        <w:tc>
          <w:tcPr>
            <w:tcW w:w="19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EF9E7"/>
          </w:tcPr>
          <w:p w14:paraId="7983D83E" w14:textId="77777777" w:rsidR="00E00DDE" w:rsidRDefault="00E00DDE"/>
          <w:p w14:paraId="520BBC6E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High (≈varenic.)</w:t>
            </w:r>
          </w:p>
        </w:tc>
        <w:tc>
          <w:tcPr>
            <w:tcW w:w="19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EF9E7"/>
          </w:tcPr>
          <w:p w14:paraId="2748B62F" w14:textId="77777777" w:rsidR="00E00DDE" w:rsidRDefault="00E00DDE"/>
          <w:p w14:paraId="2B81E3F8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25 days/12wks</w:t>
            </w:r>
          </w:p>
        </w:tc>
        <w:tc>
          <w:tcPr>
            <w:tcW w:w="19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EF9E7"/>
          </w:tcPr>
          <w:p w14:paraId="31137218" w14:textId="77777777" w:rsidR="00E00DDE" w:rsidRDefault="00E00DDE"/>
          <w:p w14:paraId="520CC3C1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By Day 5</w:t>
            </w:r>
          </w:p>
        </w:tc>
        <w:tc>
          <w:tcPr>
            <w:tcW w:w="19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EF9E7"/>
          </w:tcPr>
          <w:p w14:paraId="4EBEB66D" w14:textId="77777777" w:rsidR="00E00DDE" w:rsidRDefault="00E00DDE"/>
          <w:p w14:paraId="05696258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NICE Feb 2025; not &gt;65 or &lt;18</w:t>
            </w:r>
          </w:p>
        </w:tc>
      </w:tr>
      <w:tr w:rsidR="00E00DDE" w14:paraId="4F094A22" w14:textId="77777777">
        <w:tc>
          <w:tcPr>
            <w:tcW w:w="19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DEDEC"/>
          </w:tcPr>
          <w:p w14:paraId="78FB714E" w14:textId="77777777" w:rsidR="00E00DDE" w:rsidRDefault="00E00DDE"/>
          <w:p w14:paraId="6136A75C" w14:textId="77777777" w:rsidR="00E00DDE" w:rsidRDefault="00000000">
            <w:pPr>
              <w:spacing w:before="60" w:after="60"/>
              <w:ind w:left="85"/>
            </w:pPr>
            <w:r>
              <w:rPr>
                <w:b/>
                <w:color w:val="1A1A2E"/>
                <w:sz w:val="19"/>
              </w:rPr>
              <w:t>Bupropion</w:t>
            </w:r>
          </w:p>
        </w:tc>
        <w:tc>
          <w:tcPr>
            <w:tcW w:w="19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DEDEC"/>
          </w:tcPr>
          <w:p w14:paraId="08BF4F2A" w14:textId="77777777" w:rsidR="00E00DDE" w:rsidRDefault="00E00DDE"/>
          <w:p w14:paraId="2E4CB076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Moderate</w:t>
            </w:r>
          </w:p>
        </w:tc>
        <w:tc>
          <w:tcPr>
            <w:tcW w:w="19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DEDEC"/>
          </w:tcPr>
          <w:p w14:paraId="4F1A6D2B" w14:textId="77777777" w:rsidR="00E00DDE" w:rsidRDefault="00E00DDE"/>
          <w:p w14:paraId="43DADD58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7–9 weeks</w:t>
            </w:r>
          </w:p>
        </w:tc>
        <w:tc>
          <w:tcPr>
            <w:tcW w:w="19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DEDEC"/>
          </w:tcPr>
          <w:p w14:paraId="3E6A40D3" w14:textId="77777777" w:rsidR="00E00DDE" w:rsidRDefault="00E00DDE"/>
          <w:p w14:paraId="0D45BFEA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1–2 wks before</w:t>
            </w:r>
          </w:p>
        </w:tc>
        <w:tc>
          <w:tcPr>
            <w:tcW w:w="19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DEDEC"/>
          </w:tcPr>
          <w:p w14:paraId="47E01EA4" w14:textId="77777777" w:rsidR="00E00DDE" w:rsidRDefault="00E00DDE"/>
          <w:p w14:paraId="7C0460FA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Third-line; seizure risk</w:t>
            </w:r>
          </w:p>
        </w:tc>
      </w:tr>
      <w:tr w:rsidR="00E00DDE" w14:paraId="7F6249ED" w14:textId="77777777">
        <w:tc>
          <w:tcPr>
            <w:tcW w:w="19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AFAF1"/>
          </w:tcPr>
          <w:p w14:paraId="326DE92C" w14:textId="77777777" w:rsidR="00E00DDE" w:rsidRDefault="00E00DDE"/>
          <w:p w14:paraId="3D970943" w14:textId="77777777" w:rsidR="00E00DDE" w:rsidRDefault="00000000">
            <w:pPr>
              <w:spacing w:before="60" w:after="60"/>
              <w:ind w:left="85"/>
            </w:pPr>
            <w:r>
              <w:rPr>
                <w:b/>
                <w:color w:val="1A1A2E"/>
                <w:sz w:val="19"/>
              </w:rPr>
              <w:t>E-cigarettes</w:t>
            </w:r>
          </w:p>
        </w:tc>
        <w:tc>
          <w:tcPr>
            <w:tcW w:w="19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AFAF1"/>
          </w:tcPr>
          <w:p w14:paraId="664B25BB" w14:textId="77777777" w:rsidR="00E00DDE" w:rsidRDefault="00E00DDE"/>
          <w:p w14:paraId="6BF36154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Moderate–high</w:t>
            </w:r>
          </w:p>
        </w:tc>
        <w:tc>
          <w:tcPr>
            <w:tcW w:w="19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AFAF1"/>
          </w:tcPr>
          <w:p w14:paraId="72E9D105" w14:textId="77777777" w:rsidR="00E00DDE" w:rsidRDefault="00E00DDE"/>
          <w:p w14:paraId="0F049040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As needed</w:t>
            </w:r>
          </w:p>
        </w:tc>
        <w:tc>
          <w:tcPr>
            <w:tcW w:w="19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AFAF1"/>
          </w:tcPr>
          <w:p w14:paraId="3D1E9C3A" w14:textId="77777777" w:rsidR="00E00DDE" w:rsidRDefault="00E00DDE"/>
          <w:p w14:paraId="5A5C20A8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On quit date</w:t>
            </w:r>
          </w:p>
        </w:tc>
        <w:tc>
          <w:tcPr>
            <w:tcW w:w="19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AFAF1"/>
          </w:tcPr>
          <w:p w14:paraId="1B5DA0BB" w14:textId="77777777" w:rsidR="00E00DDE" w:rsidRDefault="00E00DDE"/>
          <w:p w14:paraId="71EBD549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NICE NG209 2025 supports use</w:t>
            </w:r>
          </w:p>
        </w:tc>
      </w:tr>
    </w:tbl>
    <w:p w14:paraId="78BB0567" w14:textId="77777777" w:rsidR="00E00DDE" w:rsidRDefault="00E00DDE">
      <w:pPr>
        <w:spacing w:after="160"/>
      </w:pPr>
    </w:p>
    <w:p w14:paraId="39CB2772" w14:textId="6EC581B5" w:rsidR="00582A8B" w:rsidRDefault="00582A8B">
      <w:r>
        <w:br w:type="page"/>
      </w:r>
    </w:p>
    <w:p w14:paraId="2A0DEFC5" w14:textId="77777777" w:rsidR="00E00DDE" w:rsidRDefault="00E00DDE">
      <w:pPr>
        <w:pBdr>
          <w:bottom w:val="single" w:sz="6" w:space="1" w:color="2E86AB"/>
        </w:pBdr>
        <w:spacing w:before="120" w:after="120"/>
      </w:pPr>
    </w:p>
    <w:p w14:paraId="41B510F6" w14:textId="77777777" w:rsidR="00E00DDE" w:rsidRDefault="00000000">
      <w:pPr>
        <w:spacing w:before="200" w:after="80"/>
      </w:pPr>
      <w:r>
        <w:rPr>
          <w:b/>
          <w:color w:val="1E3A5F"/>
          <w:sz w:val="30"/>
        </w:rPr>
        <w:t>3. Nicotine Replacement Therapy (NRT)</w:t>
      </w:r>
    </w:p>
    <w:p w14:paraId="5A589152" w14:textId="77777777" w:rsidR="00E00DDE" w:rsidRDefault="00000000">
      <w:pPr>
        <w:spacing w:before="40" w:after="60"/>
      </w:pPr>
      <w:r>
        <w:rPr>
          <w:color w:val="2C2C2C"/>
        </w:rPr>
        <w:t>Mechanism: Delivers therapeutic nicotine without tar, CO, and harmful chemicals. Replaces ~30–50% of cigarette nicotine. Reduces withdrawal symptoms and cravings.</w:t>
      </w:r>
    </w:p>
    <w:p w14:paraId="12CBDC78" w14:textId="77777777" w:rsidR="00E00DDE" w:rsidRDefault="00000000">
      <w:pPr>
        <w:spacing w:before="120" w:after="60"/>
      </w:pPr>
      <w:r>
        <w:rPr>
          <w:b/>
          <w:color w:val="2E86AB"/>
          <w:sz w:val="26"/>
        </w:rPr>
        <w:t>Combination NRT — First-Line (NICE NG209 2025)</w:t>
      </w:r>
    </w:p>
    <w:p w14:paraId="31D5ADBA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Nicotine PATCH (16hr or 24hr) = background dose</w:t>
      </w:r>
    </w:p>
    <w:p w14:paraId="6D769302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PLUS one fast-acting product: gum, lozenge, spray, inhalator, or microtab for breakthrough cravings</w:t>
      </w:r>
    </w:p>
    <w:p w14:paraId="78F296C7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Always start on the HIGHEST available dose — under-dosing is the most common reason for failure</w:t>
      </w:r>
    </w:p>
    <w:p w14:paraId="0D8F5598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Duration: 8–12 weeks. Prescribe 2-2-4-4 weeks to allow regular review</w:t>
      </w:r>
    </w:p>
    <w:p w14:paraId="4ED36117" w14:textId="77777777" w:rsidR="00E00DDE" w:rsidRDefault="00000000">
      <w:pPr>
        <w:spacing w:before="160" w:after="60"/>
      </w:pPr>
      <w:r>
        <w:rPr>
          <w:b/>
          <w:color w:val="2E86AB"/>
          <w:sz w:val="26"/>
        </w:rPr>
        <w:t>NRT Products &amp; Specific Cautions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E00DDE" w14:paraId="01FB438D" w14:textId="77777777">
        <w:tc>
          <w:tcPr>
            <w:tcW w:w="3213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</w:tcPr>
          <w:p w14:paraId="1E408407" w14:textId="77777777" w:rsidR="00E00DDE" w:rsidRDefault="00E00DDE"/>
          <w:p w14:paraId="2C15BDC3" w14:textId="77777777" w:rsidR="00E00DDE" w:rsidRDefault="00000000">
            <w:pPr>
              <w:spacing w:before="60" w:after="60"/>
            </w:pPr>
            <w:r>
              <w:rPr>
                <w:b/>
                <w:color w:val="FFFFFF"/>
                <w:sz w:val="20"/>
              </w:rPr>
              <w:t>NRT Form</w:t>
            </w:r>
          </w:p>
        </w:tc>
        <w:tc>
          <w:tcPr>
            <w:tcW w:w="3213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</w:tcPr>
          <w:p w14:paraId="591DA4AD" w14:textId="77777777" w:rsidR="00E00DDE" w:rsidRDefault="00E00DDE"/>
          <w:p w14:paraId="61435B96" w14:textId="77777777" w:rsidR="00E00DDE" w:rsidRDefault="00000000">
            <w:pPr>
              <w:spacing w:before="60" w:after="60"/>
            </w:pPr>
            <w:r>
              <w:rPr>
                <w:b/>
                <w:color w:val="FFFFFF"/>
                <w:sz w:val="20"/>
              </w:rPr>
              <w:t>Contraindications</w:t>
            </w:r>
          </w:p>
        </w:tc>
        <w:tc>
          <w:tcPr>
            <w:tcW w:w="3213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</w:tcPr>
          <w:p w14:paraId="701D620E" w14:textId="77777777" w:rsidR="00E00DDE" w:rsidRDefault="00E00DDE"/>
          <w:p w14:paraId="3247A7C0" w14:textId="77777777" w:rsidR="00E00DDE" w:rsidRDefault="00000000">
            <w:pPr>
              <w:spacing w:before="60" w:after="60"/>
            </w:pPr>
            <w:r>
              <w:rPr>
                <w:b/>
                <w:color w:val="FFFFFF"/>
                <w:sz w:val="20"/>
              </w:rPr>
              <w:t>Cautions</w:t>
            </w:r>
          </w:p>
        </w:tc>
      </w:tr>
      <w:tr w:rsidR="00E00DDE" w14:paraId="6D32AC73" w14:textId="77777777">
        <w:tc>
          <w:tcPr>
            <w:tcW w:w="32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DFEFE"/>
          </w:tcPr>
          <w:p w14:paraId="1F5B20B0" w14:textId="77777777" w:rsidR="00E00DDE" w:rsidRDefault="00E00DDE"/>
          <w:p w14:paraId="0601B6B7" w14:textId="77777777" w:rsidR="00E00DDE" w:rsidRDefault="00000000">
            <w:pPr>
              <w:spacing w:before="60" w:after="60"/>
              <w:ind w:left="85"/>
            </w:pPr>
            <w:r>
              <w:rPr>
                <w:b/>
                <w:color w:val="1A1A2E"/>
                <w:sz w:val="19"/>
              </w:rPr>
              <w:t>Patch</w:t>
            </w:r>
          </w:p>
        </w:tc>
        <w:tc>
          <w:tcPr>
            <w:tcW w:w="32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DFEFE"/>
          </w:tcPr>
          <w:p w14:paraId="0ACB4C7F" w14:textId="77777777" w:rsidR="00E00DDE" w:rsidRDefault="00E00DDE"/>
          <w:p w14:paraId="34425896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Hypersensitivity; children &lt;12</w:t>
            </w:r>
          </w:p>
        </w:tc>
        <w:tc>
          <w:tcPr>
            <w:tcW w:w="32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DFEFE"/>
          </w:tcPr>
          <w:p w14:paraId="704D5206" w14:textId="77777777" w:rsidR="00E00DDE" w:rsidRDefault="00E00DDE"/>
          <w:p w14:paraId="6150A0B8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Dermatological disorders (psoriasis, dermatitis)</w:t>
            </w:r>
          </w:p>
        </w:tc>
      </w:tr>
      <w:tr w:rsidR="00E00DDE" w14:paraId="29C2A5F9" w14:textId="77777777">
        <w:tc>
          <w:tcPr>
            <w:tcW w:w="32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5FB"/>
          </w:tcPr>
          <w:p w14:paraId="4C0EB069" w14:textId="77777777" w:rsidR="00E00DDE" w:rsidRDefault="00E00DDE"/>
          <w:p w14:paraId="6A929711" w14:textId="77777777" w:rsidR="00E00DDE" w:rsidRDefault="00000000">
            <w:pPr>
              <w:spacing w:before="60" w:after="60"/>
              <w:ind w:left="85"/>
            </w:pPr>
            <w:r>
              <w:rPr>
                <w:b/>
                <w:color w:val="1A1A2E"/>
                <w:sz w:val="19"/>
              </w:rPr>
              <w:t>Gum</w:t>
            </w:r>
          </w:p>
        </w:tc>
        <w:tc>
          <w:tcPr>
            <w:tcW w:w="32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5FB"/>
          </w:tcPr>
          <w:p w14:paraId="14BA48BC" w14:textId="77777777" w:rsidR="00E00DDE" w:rsidRDefault="00E00DDE"/>
          <w:p w14:paraId="49851ACE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Hypersensitivity; children &lt;12; E321 irritation</w:t>
            </w:r>
          </w:p>
        </w:tc>
        <w:tc>
          <w:tcPr>
            <w:tcW w:w="32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5FB"/>
          </w:tcPr>
          <w:p w14:paraId="126227C2" w14:textId="77777777" w:rsidR="00E00DDE" w:rsidRDefault="00E00DDE"/>
          <w:p w14:paraId="5A9BE590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Tooth/gum disease, dentures, sore throat; PKU</w:t>
            </w:r>
          </w:p>
        </w:tc>
      </w:tr>
      <w:tr w:rsidR="00E00DDE" w14:paraId="1587D00C" w14:textId="77777777">
        <w:tc>
          <w:tcPr>
            <w:tcW w:w="32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DFEFE"/>
          </w:tcPr>
          <w:p w14:paraId="2B660113" w14:textId="77777777" w:rsidR="00E00DDE" w:rsidRDefault="00E00DDE"/>
          <w:p w14:paraId="0343F18D" w14:textId="77777777" w:rsidR="00E00DDE" w:rsidRDefault="00000000">
            <w:pPr>
              <w:spacing w:before="60" w:after="60"/>
              <w:ind w:left="85"/>
            </w:pPr>
            <w:r>
              <w:rPr>
                <w:b/>
                <w:color w:val="1A1A2E"/>
                <w:sz w:val="19"/>
              </w:rPr>
              <w:t>Lozenge</w:t>
            </w:r>
          </w:p>
        </w:tc>
        <w:tc>
          <w:tcPr>
            <w:tcW w:w="32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DFEFE"/>
          </w:tcPr>
          <w:p w14:paraId="609651D0" w14:textId="77777777" w:rsidR="00E00DDE" w:rsidRDefault="00E00DDE"/>
          <w:p w14:paraId="01CD7D1F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Hypersensitivity; children &lt;12</w:t>
            </w:r>
          </w:p>
        </w:tc>
        <w:tc>
          <w:tcPr>
            <w:tcW w:w="32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DFEFE"/>
          </w:tcPr>
          <w:p w14:paraId="4345CF99" w14:textId="77777777" w:rsidR="00E00DDE" w:rsidRDefault="00E00DDE"/>
          <w:p w14:paraId="683A0968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PKU; low sodium diet (15mg Na/lozenge); angioedema risk</w:t>
            </w:r>
          </w:p>
        </w:tc>
      </w:tr>
      <w:tr w:rsidR="00E00DDE" w14:paraId="1C50E9B6" w14:textId="77777777">
        <w:tc>
          <w:tcPr>
            <w:tcW w:w="32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5FB"/>
          </w:tcPr>
          <w:p w14:paraId="16451A1A" w14:textId="77777777" w:rsidR="00E00DDE" w:rsidRDefault="00E00DDE"/>
          <w:p w14:paraId="740724B2" w14:textId="77777777" w:rsidR="00E00DDE" w:rsidRDefault="00000000">
            <w:pPr>
              <w:spacing w:before="60" w:after="60"/>
              <w:ind w:left="85"/>
            </w:pPr>
            <w:r>
              <w:rPr>
                <w:b/>
                <w:color w:val="1A1A2E"/>
                <w:sz w:val="19"/>
              </w:rPr>
              <w:t>Inhalator</w:t>
            </w:r>
          </w:p>
        </w:tc>
        <w:tc>
          <w:tcPr>
            <w:tcW w:w="32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5FB"/>
          </w:tcPr>
          <w:p w14:paraId="5117A4EB" w14:textId="77777777" w:rsidR="00E00DDE" w:rsidRDefault="00E00DDE"/>
          <w:p w14:paraId="131EA6B6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Hypersensitivity; children &lt;12</w:t>
            </w:r>
          </w:p>
        </w:tc>
        <w:tc>
          <w:tcPr>
            <w:tcW w:w="32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5FB"/>
          </w:tcPr>
          <w:p w14:paraId="19EE57B5" w14:textId="77777777" w:rsidR="00E00DDE" w:rsidRDefault="00E00DDE"/>
          <w:p w14:paraId="67A76815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Chronic throat disease; bronchospastic disease</w:t>
            </w:r>
          </w:p>
        </w:tc>
      </w:tr>
      <w:tr w:rsidR="00E00DDE" w:rsidRPr="00582A8B" w14:paraId="0D1D23FB" w14:textId="77777777">
        <w:tc>
          <w:tcPr>
            <w:tcW w:w="32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DFEFE"/>
          </w:tcPr>
          <w:p w14:paraId="6722BD29" w14:textId="77777777" w:rsidR="00E00DDE" w:rsidRDefault="00E00DDE"/>
          <w:p w14:paraId="3ABFCA20" w14:textId="77777777" w:rsidR="00E00DDE" w:rsidRDefault="00000000">
            <w:pPr>
              <w:spacing w:before="60" w:after="60"/>
              <w:ind w:left="85"/>
            </w:pPr>
            <w:r>
              <w:rPr>
                <w:b/>
                <w:color w:val="1A1A2E"/>
                <w:sz w:val="19"/>
              </w:rPr>
              <w:t>Nasal spray</w:t>
            </w:r>
          </w:p>
        </w:tc>
        <w:tc>
          <w:tcPr>
            <w:tcW w:w="32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DFEFE"/>
          </w:tcPr>
          <w:p w14:paraId="6ABA0D9B" w14:textId="77777777" w:rsidR="00E00DDE" w:rsidRDefault="00E00DDE"/>
          <w:p w14:paraId="7EA8E74B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Hypersensitivity; children &lt;12</w:t>
            </w:r>
          </w:p>
        </w:tc>
        <w:tc>
          <w:tcPr>
            <w:tcW w:w="32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DFEFE"/>
          </w:tcPr>
          <w:p w14:paraId="30BE2F58" w14:textId="77777777" w:rsidR="00E00DDE" w:rsidRPr="00582A8B" w:rsidRDefault="00E00DDE">
            <w:pPr>
              <w:rPr>
                <w:lang w:val="fr-FR"/>
              </w:rPr>
            </w:pPr>
          </w:p>
          <w:p w14:paraId="0B2B09A1" w14:textId="77777777" w:rsidR="00E00DDE" w:rsidRPr="00582A8B" w:rsidRDefault="00000000">
            <w:pPr>
              <w:spacing w:before="60" w:after="60"/>
              <w:ind w:left="85"/>
              <w:rPr>
                <w:lang w:val="fr-FR"/>
              </w:rPr>
            </w:pPr>
            <w:r w:rsidRPr="00582A8B">
              <w:rPr>
                <w:color w:val="1A1A2E"/>
                <w:sz w:val="19"/>
                <w:lang w:val="fr-FR"/>
              </w:rPr>
              <w:t xml:space="preserve">Bronchial </w:t>
            </w:r>
            <w:proofErr w:type="spellStart"/>
            <w:proofErr w:type="gramStart"/>
            <w:r w:rsidRPr="00582A8B">
              <w:rPr>
                <w:color w:val="1A1A2E"/>
                <w:sz w:val="19"/>
                <w:lang w:val="fr-FR"/>
              </w:rPr>
              <w:t>asthma</w:t>
            </w:r>
            <w:proofErr w:type="spellEnd"/>
            <w:r w:rsidRPr="00582A8B">
              <w:rPr>
                <w:color w:val="1A1A2E"/>
                <w:sz w:val="19"/>
                <w:lang w:val="fr-FR"/>
              </w:rPr>
              <w:t>;</w:t>
            </w:r>
            <w:proofErr w:type="gramEnd"/>
            <w:r w:rsidRPr="00582A8B">
              <w:rPr>
                <w:color w:val="1A1A2E"/>
                <w:sz w:val="19"/>
                <w:lang w:val="fr-FR"/>
              </w:rPr>
              <w:t xml:space="preserve"> nasal/sinus irritations/allergies</w:t>
            </w:r>
          </w:p>
        </w:tc>
      </w:tr>
      <w:tr w:rsidR="00E00DDE" w14:paraId="0C87BE5E" w14:textId="77777777">
        <w:tc>
          <w:tcPr>
            <w:tcW w:w="32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5FB"/>
          </w:tcPr>
          <w:p w14:paraId="31FA1A65" w14:textId="77777777" w:rsidR="00E00DDE" w:rsidRPr="00582A8B" w:rsidRDefault="00E00DDE">
            <w:pPr>
              <w:rPr>
                <w:lang w:val="fr-FR"/>
              </w:rPr>
            </w:pPr>
          </w:p>
          <w:p w14:paraId="62D34FBC" w14:textId="77777777" w:rsidR="00E00DDE" w:rsidRDefault="00000000">
            <w:pPr>
              <w:spacing w:before="60" w:after="60"/>
              <w:ind w:left="85"/>
            </w:pPr>
            <w:r>
              <w:rPr>
                <w:b/>
                <w:color w:val="1A1A2E"/>
                <w:sz w:val="19"/>
              </w:rPr>
              <w:t>Microtab</w:t>
            </w:r>
          </w:p>
        </w:tc>
        <w:tc>
          <w:tcPr>
            <w:tcW w:w="32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5FB"/>
          </w:tcPr>
          <w:p w14:paraId="5FA6BE3B" w14:textId="77777777" w:rsidR="00E00DDE" w:rsidRDefault="00E00DDE"/>
          <w:p w14:paraId="1ADCBC98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Hypersensitivity; children &lt;12</w:t>
            </w:r>
          </w:p>
        </w:tc>
        <w:tc>
          <w:tcPr>
            <w:tcW w:w="32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5FB"/>
          </w:tcPr>
          <w:p w14:paraId="213BE0EC" w14:textId="77777777" w:rsidR="00E00DDE" w:rsidRDefault="00E00DDE"/>
          <w:p w14:paraId="11307F13" w14:textId="77777777" w:rsidR="00E00DDE" w:rsidRDefault="00000000">
            <w:pPr>
              <w:spacing w:before="60" w:after="60"/>
              <w:ind w:left="85"/>
            </w:pPr>
            <w:r>
              <w:rPr>
                <w:color w:val="1A1A2E"/>
                <w:sz w:val="19"/>
              </w:rPr>
              <w:t>PKU (contains aspartame); tooth/gum disease</w:t>
            </w:r>
          </w:p>
        </w:tc>
      </w:tr>
    </w:tbl>
    <w:p w14:paraId="4E9ED40B" w14:textId="77777777" w:rsidR="00E00DDE" w:rsidRDefault="00E00DDE">
      <w:pPr>
        <w:spacing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E00DDE" w14:paraId="03B15412" w14:textId="77777777">
        <w:tc>
          <w:tcPr>
            <w:tcW w:w="9638" w:type="dxa"/>
            <w:tcBorders>
              <w:top w:val="single" w:sz="4" w:space="0" w:color="F4D03F"/>
              <w:left w:val="single" w:sz="4" w:space="0" w:color="F4D03F"/>
              <w:bottom w:val="single" w:sz="4" w:space="0" w:color="F4D03F"/>
              <w:right w:val="single" w:sz="4" w:space="0" w:color="F4D03F"/>
            </w:tcBorders>
            <w:shd w:val="clear" w:color="auto" w:fill="FEF9E7"/>
          </w:tcPr>
          <w:p w14:paraId="3E39972B" w14:textId="77777777" w:rsidR="00E00DDE" w:rsidRDefault="00E00DDE"/>
          <w:p w14:paraId="4269190C" w14:textId="77777777" w:rsidR="00E00DDE" w:rsidRDefault="00000000">
            <w:pPr>
              <w:spacing w:before="100" w:after="60"/>
            </w:pPr>
            <w:r>
              <w:rPr>
                <w:b/>
                <w:color w:val="7D6608"/>
                <w:sz w:val="23"/>
              </w:rPr>
              <w:t>⚠️ NRT General Cautions (all forms)</w:t>
            </w:r>
          </w:p>
          <w:p w14:paraId="54F2C5B0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Cardiovascular disease — use with caution (but continued smoking is FAR more dangerous)</w:t>
            </w:r>
          </w:p>
          <w:p w14:paraId="0096D319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Diabetes mellitus</w:t>
            </w:r>
          </w:p>
          <w:p w14:paraId="352D179C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Renal or hepatic impairment</w:t>
            </w:r>
          </w:p>
          <w:p w14:paraId="1DEF97FD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Phaeochromocytoma and uncontrolled hyperthyroidism</w:t>
            </w:r>
          </w:p>
          <w:p w14:paraId="0BA67B80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Swallowed nicotine: caution in oesophagitis, gastritis, peptic ulcer</w:t>
            </w:r>
          </w:p>
          <w:p w14:paraId="0CDC8A46" w14:textId="77777777" w:rsidR="00E00DDE" w:rsidRDefault="00E00DDE">
            <w:pPr>
              <w:spacing w:after="100"/>
            </w:pPr>
          </w:p>
        </w:tc>
      </w:tr>
    </w:tbl>
    <w:p w14:paraId="44F2EDF3" w14:textId="77777777" w:rsidR="00E00DDE" w:rsidRDefault="00E00DDE">
      <w:pPr>
        <w:spacing w:after="100"/>
      </w:pPr>
    </w:p>
    <w:p w14:paraId="369F5656" w14:textId="73B42B82" w:rsidR="00582A8B" w:rsidRDefault="00582A8B">
      <w:r>
        <w:br w:type="page"/>
      </w:r>
    </w:p>
    <w:p w14:paraId="61F61D59" w14:textId="77777777" w:rsidR="00E00DDE" w:rsidRDefault="00E00DDE">
      <w:pPr>
        <w:pBdr>
          <w:bottom w:val="single" w:sz="6" w:space="1" w:color="2E86AB"/>
        </w:pBdr>
        <w:spacing w:before="120" w:after="120"/>
      </w:pPr>
    </w:p>
    <w:p w14:paraId="19BFF550" w14:textId="77777777" w:rsidR="00E00DDE" w:rsidRDefault="00000000">
      <w:pPr>
        <w:spacing w:before="200" w:after="80"/>
      </w:pPr>
      <w:r>
        <w:rPr>
          <w:b/>
          <w:color w:val="1E3A5F"/>
          <w:sz w:val="30"/>
        </w:rPr>
        <w:t>4. Varenicline (Champix® / generic)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E00DDE" w14:paraId="1CFD4633" w14:textId="77777777">
        <w:tc>
          <w:tcPr>
            <w:tcW w:w="9638" w:type="dxa"/>
            <w:tcBorders>
              <w:top w:val="single" w:sz="4" w:space="0" w:color="E74C3C"/>
              <w:left w:val="single" w:sz="4" w:space="0" w:color="E74C3C"/>
              <w:bottom w:val="single" w:sz="4" w:space="0" w:color="E74C3C"/>
              <w:right w:val="single" w:sz="4" w:space="0" w:color="E74C3C"/>
            </w:tcBorders>
            <w:shd w:val="clear" w:color="auto" w:fill="FDEDEC"/>
          </w:tcPr>
          <w:p w14:paraId="7432D042" w14:textId="77777777" w:rsidR="00E00DDE" w:rsidRDefault="00E00DDE"/>
          <w:p w14:paraId="5C6C57C8" w14:textId="77777777" w:rsidR="00E00DDE" w:rsidRDefault="00000000">
            <w:pPr>
              <w:spacing w:before="100" w:after="60"/>
            </w:pPr>
            <w:r>
              <w:rPr>
                <w:b/>
                <w:color w:val="922B21"/>
                <w:sz w:val="23"/>
              </w:rPr>
              <w:t>⚠️ Availability Update (2024–2025)</w:t>
            </w:r>
          </w:p>
          <w:p w14:paraId="43706B66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Varenicline was WITHDRAWN from UK market in 2021 due to nitrosamine (NDEA) contamination</w:t>
            </w:r>
          </w:p>
          <w:p w14:paraId="4AD4F66E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Generic (nitrosamine-compliant) varenicline returned to UK market AUTUMN 2024</w:t>
            </w:r>
          </w:p>
          <w:p w14:paraId="66FEB3A6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Champix (Pfizer branded) relaunched JULY 2025</w:t>
            </w:r>
          </w:p>
          <w:p w14:paraId="543ED167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Both are now available on NHS prescription — prescribers should be aware</w:t>
            </w:r>
          </w:p>
          <w:p w14:paraId="08F43E0E" w14:textId="77777777" w:rsidR="00E00DDE" w:rsidRDefault="00E00DDE">
            <w:pPr>
              <w:spacing w:after="100"/>
            </w:pPr>
          </w:p>
        </w:tc>
      </w:tr>
    </w:tbl>
    <w:p w14:paraId="3B7AE553" w14:textId="77777777" w:rsidR="00E00DDE" w:rsidRDefault="00E00DDE">
      <w:pPr>
        <w:spacing w:after="100"/>
      </w:pPr>
    </w:p>
    <w:p w14:paraId="74BC6FF9" w14:textId="77777777" w:rsidR="00E00DDE" w:rsidRDefault="00000000">
      <w:pPr>
        <w:spacing w:before="40" w:after="80"/>
      </w:pPr>
      <w:r>
        <w:rPr>
          <w:color w:val="2C2C2C"/>
        </w:rPr>
        <w:t>Mechanism: Selective partial agonist at α4β2 nicotinic acetylcholine receptors. Reduces cravings/withdrawal (partial agonism) AND blocks the rewarding effect of smoking (competitive antagonism). Most effective single pharmacotherapy for smoking cessation.</w:t>
      </w:r>
    </w:p>
    <w:p w14:paraId="7C20A6F4" w14:textId="77777777" w:rsidR="00E00DDE" w:rsidRDefault="00000000">
      <w:pPr>
        <w:spacing w:before="120" w:after="60"/>
      </w:pPr>
      <w:r>
        <w:rPr>
          <w:b/>
          <w:color w:val="2E86AB"/>
          <w:sz w:val="26"/>
        </w:rPr>
        <w:t>Dosing Regimen (BNF/NICE CKS current)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E00DDE" w14:paraId="61223BEA" w14:textId="77777777"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EBF5FB"/>
          </w:tcPr>
          <w:p w14:paraId="0BB1D674" w14:textId="77777777" w:rsidR="00E00DDE" w:rsidRDefault="00E00DDE"/>
          <w:p w14:paraId="407CE4B3" w14:textId="77777777" w:rsidR="00E00DDE" w:rsidRDefault="00000000">
            <w:pPr>
              <w:spacing w:before="80" w:after="80"/>
              <w:ind w:left="170"/>
            </w:pPr>
            <w:r>
              <w:rPr>
                <w:b/>
                <w:color w:val="1E3A5F"/>
                <w:sz w:val="21"/>
              </w:rPr>
              <w:t>Days 1–3</w:t>
            </w:r>
          </w:p>
        </w:tc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EBF5FB"/>
          </w:tcPr>
          <w:p w14:paraId="125E8896" w14:textId="77777777" w:rsidR="00E00DDE" w:rsidRDefault="00E00DDE"/>
          <w:p w14:paraId="4FAAA900" w14:textId="77777777" w:rsidR="00E00DDE" w:rsidRDefault="00000000">
            <w:pPr>
              <w:spacing w:before="80" w:after="80"/>
              <w:ind w:left="170"/>
            </w:pPr>
            <w:r>
              <w:rPr>
                <w:color w:val="2C2C2C"/>
                <w:sz w:val="21"/>
              </w:rPr>
              <w:t>500 micrograms (0.5mg) ONCE daily</w:t>
            </w:r>
          </w:p>
        </w:tc>
      </w:tr>
      <w:tr w:rsidR="00E00DDE" w14:paraId="1250A87B" w14:textId="77777777"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FDFEFE"/>
          </w:tcPr>
          <w:p w14:paraId="796174D1" w14:textId="77777777" w:rsidR="00E00DDE" w:rsidRDefault="00E00DDE"/>
          <w:p w14:paraId="2ACB7CF3" w14:textId="77777777" w:rsidR="00E00DDE" w:rsidRDefault="00000000">
            <w:pPr>
              <w:spacing w:before="80" w:after="80"/>
              <w:ind w:left="170"/>
            </w:pPr>
            <w:r>
              <w:rPr>
                <w:b/>
                <w:color w:val="1E3A5F"/>
                <w:sz w:val="21"/>
              </w:rPr>
              <w:t>Days 4–7</w:t>
            </w:r>
          </w:p>
        </w:tc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FDFEFE"/>
          </w:tcPr>
          <w:p w14:paraId="5B85360A" w14:textId="77777777" w:rsidR="00E00DDE" w:rsidRDefault="00E00DDE"/>
          <w:p w14:paraId="20770D94" w14:textId="77777777" w:rsidR="00E00DDE" w:rsidRDefault="00000000">
            <w:pPr>
              <w:spacing w:before="80" w:after="80"/>
              <w:ind w:left="170"/>
            </w:pPr>
            <w:r>
              <w:rPr>
                <w:color w:val="2C2C2C"/>
                <w:sz w:val="21"/>
              </w:rPr>
              <w:t>500 micrograms (0.5mg) TWICE daily</w:t>
            </w:r>
          </w:p>
        </w:tc>
      </w:tr>
      <w:tr w:rsidR="00E00DDE" w14:paraId="5349F0A0" w14:textId="77777777"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EBF5FB"/>
          </w:tcPr>
          <w:p w14:paraId="3B5C35A0" w14:textId="77777777" w:rsidR="00E00DDE" w:rsidRDefault="00E00DDE"/>
          <w:p w14:paraId="5B8204C7" w14:textId="77777777" w:rsidR="00E00DDE" w:rsidRDefault="00000000">
            <w:pPr>
              <w:spacing w:before="80" w:after="80"/>
              <w:ind w:left="170"/>
            </w:pPr>
            <w:r>
              <w:rPr>
                <w:b/>
                <w:color w:val="1E3A5F"/>
                <w:sz w:val="21"/>
              </w:rPr>
              <w:t>Day 8 to end</w:t>
            </w:r>
          </w:p>
        </w:tc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EBF5FB"/>
          </w:tcPr>
          <w:p w14:paraId="25FE3557" w14:textId="77777777" w:rsidR="00E00DDE" w:rsidRDefault="00E00DDE"/>
          <w:p w14:paraId="2451056D" w14:textId="77777777" w:rsidR="00E00DDE" w:rsidRDefault="00000000">
            <w:pPr>
              <w:spacing w:before="80" w:after="80"/>
              <w:ind w:left="170"/>
            </w:pPr>
            <w:r>
              <w:rPr>
                <w:color w:val="2C2C2C"/>
                <w:sz w:val="21"/>
              </w:rPr>
              <w:t>1mg TWICE daily (maintenance)</w:t>
            </w:r>
          </w:p>
        </w:tc>
      </w:tr>
      <w:tr w:rsidR="00E00DDE" w14:paraId="610A574D" w14:textId="77777777"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FDFEFE"/>
          </w:tcPr>
          <w:p w14:paraId="56A115A5" w14:textId="77777777" w:rsidR="00E00DDE" w:rsidRDefault="00E00DDE"/>
          <w:p w14:paraId="7CC84DE1" w14:textId="77777777" w:rsidR="00E00DDE" w:rsidRDefault="00000000">
            <w:pPr>
              <w:spacing w:before="80" w:after="80"/>
              <w:ind w:left="170"/>
            </w:pPr>
            <w:r>
              <w:rPr>
                <w:b/>
                <w:color w:val="1E3A5F"/>
                <w:sz w:val="21"/>
              </w:rPr>
              <w:t>Course length</w:t>
            </w:r>
          </w:p>
        </w:tc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FDFEFE"/>
          </w:tcPr>
          <w:p w14:paraId="2B60A301" w14:textId="77777777" w:rsidR="00E00DDE" w:rsidRDefault="00E00DDE"/>
          <w:p w14:paraId="355A375A" w14:textId="77777777" w:rsidR="00E00DDE" w:rsidRDefault="00000000">
            <w:pPr>
              <w:spacing w:before="80" w:after="80"/>
              <w:ind w:left="170"/>
            </w:pPr>
            <w:r>
              <w:rPr>
                <w:color w:val="2C2C2C"/>
                <w:sz w:val="21"/>
              </w:rPr>
              <w:t>12 weeks standard; optional further 12 weeks if needed</w:t>
            </w:r>
          </w:p>
        </w:tc>
      </w:tr>
      <w:tr w:rsidR="00E00DDE" w14:paraId="42AA2CA2" w14:textId="77777777"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EBF5FB"/>
          </w:tcPr>
          <w:p w14:paraId="64C41C7B" w14:textId="77777777" w:rsidR="00E00DDE" w:rsidRDefault="00E00DDE"/>
          <w:p w14:paraId="52859005" w14:textId="77777777" w:rsidR="00E00DDE" w:rsidRDefault="00000000">
            <w:pPr>
              <w:spacing w:before="80" w:after="80"/>
              <w:ind w:left="170"/>
            </w:pPr>
            <w:r>
              <w:rPr>
                <w:b/>
                <w:color w:val="1E3A5F"/>
                <w:sz w:val="21"/>
              </w:rPr>
              <w:t>Before quit date</w:t>
            </w:r>
          </w:p>
        </w:tc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EBF5FB"/>
          </w:tcPr>
          <w:p w14:paraId="68F2FAE3" w14:textId="77777777" w:rsidR="00E00DDE" w:rsidRDefault="00E00DDE"/>
          <w:p w14:paraId="4C8FC5F5" w14:textId="77777777" w:rsidR="00E00DDE" w:rsidRDefault="00000000">
            <w:pPr>
              <w:spacing w:before="80" w:after="80"/>
              <w:ind w:left="170"/>
            </w:pPr>
            <w:r>
              <w:rPr>
                <w:color w:val="2C2C2C"/>
                <w:sz w:val="21"/>
              </w:rPr>
              <w:t>Start 1–2 WEEKS before the chosen quit date</w:t>
            </w:r>
          </w:p>
        </w:tc>
      </w:tr>
      <w:tr w:rsidR="00E00DDE" w14:paraId="180D8C94" w14:textId="77777777"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FDFEFE"/>
          </w:tcPr>
          <w:p w14:paraId="157F1A85" w14:textId="77777777" w:rsidR="00E00DDE" w:rsidRDefault="00E00DDE"/>
          <w:p w14:paraId="482927B9" w14:textId="77777777" w:rsidR="00E00DDE" w:rsidRDefault="00000000">
            <w:pPr>
              <w:spacing w:before="80" w:after="80"/>
              <w:ind w:left="170"/>
            </w:pPr>
            <w:r>
              <w:rPr>
                <w:b/>
                <w:color w:val="1E3A5F"/>
                <w:sz w:val="21"/>
              </w:rPr>
              <w:t>Prescribing</w:t>
            </w:r>
          </w:p>
        </w:tc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FDFEFE"/>
          </w:tcPr>
          <w:p w14:paraId="6DE5C204" w14:textId="77777777" w:rsidR="00E00DDE" w:rsidRDefault="00E00DDE"/>
          <w:p w14:paraId="2250FD2E" w14:textId="77777777" w:rsidR="00E00DDE" w:rsidRDefault="00000000">
            <w:pPr>
              <w:spacing w:before="80" w:after="80"/>
              <w:ind w:left="170"/>
            </w:pPr>
            <w:r>
              <w:rPr>
                <w:color w:val="2C2C2C"/>
                <w:sz w:val="21"/>
              </w:rPr>
              <w:t>Prescribe 2 weeks' supply at a time — allows monitoring</w:t>
            </w:r>
          </w:p>
        </w:tc>
      </w:tr>
    </w:tbl>
    <w:p w14:paraId="5AD6CC73" w14:textId="77777777" w:rsidR="00E00DDE" w:rsidRPr="00582A8B" w:rsidRDefault="00E00DDE">
      <w:pPr>
        <w:spacing w:after="120"/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E00DDE" w14:paraId="5CFC5160" w14:textId="77777777">
        <w:tc>
          <w:tcPr>
            <w:tcW w:w="9638" w:type="dxa"/>
            <w:tcBorders>
              <w:top w:val="single" w:sz="4" w:space="0" w:color="E74C3C"/>
              <w:left w:val="single" w:sz="4" w:space="0" w:color="E74C3C"/>
              <w:bottom w:val="single" w:sz="4" w:space="0" w:color="E74C3C"/>
              <w:right w:val="single" w:sz="4" w:space="0" w:color="E74C3C"/>
            </w:tcBorders>
            <w:shd w:val="clear" w:color="auto" w:fill="FDEDEC"/>
          </w:tcPr>
          <w:p w14:paraId="0B3DE05D" w14:textId="77777777" w:rsidR="00E00DDE" w:rsidRDefault="00000000">
            <w:pPr>
              <w:spacing w:before="100" w:after="60"/>
            </w:pPr>
            <w:r>
              <w:rPr>
                <w:b/>
                <w:color w:val="922B21"/>
                <w:sz w:val="23"/>
              </w:rPr>
              <w:t>Varenicline — Contraindications</w:t>
            </w:r>
          </w:p>
          <w:p w14:paraId="5FD4F6F9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Under 18 years of age</w:t>
            </w:r>
          </w:p>
          <w:p w14:paraId="0813883A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Pregnancy</w:t>
            </w:r>
          </w:p>
          <w:p w14:paraId="705DBD68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Breastfeeding</w:t>
            </w:r>
          </w:p>
          <w:p w14:paraId="2461F4E2" w14:textId="143C2901" w:rsidR="00E00DDE" w:rsidRDefault="00000000" w:rsidP="00582A8B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Hypersensitivity to varenicline or excipients</w:t>
            </w:r>
          </w:p>
        </w:tc>
      </w:tr>
    </w:tbl>
    <w:p w14:paraId="56CAB075" w14:textId="77777777" w:rsidR="00E00DDE" w:rsidRPr="00582A8B" w:rsidRDefault="00E00DDE">
      <w:pPr>
        <w:spacing w:after="100"/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E00DDE" w14:paraId="7AFCE918" w14:textId="77777777">
        <w:tc>
          <w:tcPr>
            <w:tcW w:w="9638" w:type="dxa"/>
            <w:tcBorders>
              <w:top w:val="single" w:sz="4" w:space="0" w:color="F4D03F"/>
              <w:left w:val="single" w:sz="4" w:space="0" w:color="F4D03F"/>
              <w:bottom w:val="single" w:sz="4" w:space="0" w:color="F4D03F"/>
              <w:right w:val="single" w:sz="4" w:space="0" w:color="F4D03F"/>
            </w:tcBorders>
            <w:shd w:val="clear" w:color="auto" w:fill="FEF9E7"/>
          </w:tcPr>
          <w:p w14:paraId="118A22B8" w14:textId="77777777" w:rsidR="00E00DDE" w:rsidRDefault="00000000">
            <w:pPr>
              <w:spacing w:before="100" w:after="60"/>
            </w:pPr>
            <w:r>
              <w:rPr>
                <w:b/>
                <w:color w:val="7D6608"/>
                <w:sz w:val="23"/>
              </w:rPr>
              <w:t>Varenicline — Cautions</w:t>
            </w:r>
          </w:p>
          <w:p w14:paraId="7B62B66C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Decreased renal function (dose adjustment in severe impairment)</w:t>
            </w:r>
          </w:p>
          <w:p w14:paraId="14FD3550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Psychiatric illness (major depression, bipolar, schizophrenia) — monitor closely</w:t>
            </w:r>
          </w:p>
          <w:p w14:paraId="50F2FD14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Epilepsy</w:t>
            </w:r>
          </w:p>
          <w:p w14:paraId="14E3B8E4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Cardiovascular disease — safe in most CVD patients per NICE NG209 (benefits outweigh risks)</w:t>
            </w:r>
          </w:p>
          <w:p w14:paraId="7F38C762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Side effects: nausea (take with food), headache, sleep disturbance, vivid dreams</w:t>
            </w:r>
          </w:p>
          <w:p w14:paraId="58DB9556" w14:textId="24EE40C8" w:rsidR="00E00DDE" w:rsidRDefault="00000000" w:rsidP="00582A8B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NO proven causal link with suicidal ideation — FDA black box warning removed 2016</w:t>
            </w:r>
          </w:p>
        </w:tc>
      </w:tr>
    </w:tbl>
    <w:p w14:paraId="53872A4A" w14:textId="77777777" w:rsidR="00E00DDE" w:rsidRDefault="00E00DDE">
      <w:pPr>
        <w:spacing w:after="100"/>
      </w:pPr>
    </w:p>
    <w:p w14:paraId="036E3A5E" w14:textId="77777777" w:rsidR="00E00DDE" w:rsidRDefault="00E00DDE">
      <w:pPr>
        <w:pBdr>
          <w:bottom w:val="single" w:sz="6" w:space="1" w:color="2E86AB"/>
        </w:pBdr>
        <w:spacing w:before="120" w:after="120"/>
      </w:pPr>
    </w:p>
    <w:p w14:paraId="36C1E7B0" w14:textId="77777777" w:rsidR="00E00DDE" w:rsidRDefault="00000000">
      <w:pPr>
        <w:spacing w:before="200" w:after="80"/>
      </w:pPr>
      <w:r>
        <w:rPr>
          <w:b/>
          <w:color w:val="1E3A5F"/>
          <w:sz w:val="30"/>
        </w:rPr>
        <w:lastRenderedPageBreak/>
        <w:t>5. Cytisinicline (Cytisine) ⭐ NEW — NICE NG209 February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E00DDE" w14:paraId="7C51697F" w14:textId="77777777">
        <w:tc>
          <w:tcPr>
            <w:tcW w:w="9638" w:type="dxa"/>
            <w:tcBorders>
              <w:top w:val="single" w:sz="4" w:space="0" w:color="1ABC9C"/>
              <w:left w:val="single" w:sz="4" w:space="0" w:color="1ABC9C"/>
              <w:bottom w:val="single" w:sz="4" w:space="0" w:color="1ABC9C"/>
              <w:right w:val="single" w:sz="4" w:space="0" w:color="1ABC9C"/>
            </w:tcBorders>
            <w:shd w:val="clear" w:color="auto" w:fill="E8F8F5"/>
          </w:tcPr>
          <w:p w14:paraId="47E225FA" w14:textId="77777777" w:rsidR="00E00DDE" w:rsidRDefault="00E00DDE"/>
          <w:p w14:paraId="49D7B5E5" w14:textId="77777777" w:rsidR="00E00DDE" w:rsidRDefault="00000000">
            <w:pPr>
              <w:spacing w:before="100" w:after="60"/>
            </w:pPr>
            <w:r>
              <w:rPr>
                <w:b/>
                <w:color w:val="1A5276"/>
                <w:sz w:val="23"/>
              </w:rPr>
              <w:t>🆕 New to UK — Not in Original Source Documents</w:t>
            </w:r>
          </w:p>
          <w:p w14:paraId="7369F65E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Cytisinicline licensed by MHRA March 2019; launched UK January 2024</w:t>
            </w:r>
          </w:p>
          <w:p w14:paraId="431D6EBB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Added to NICE NG209 recommendations February 2025</w:t>
            </w:r>
          </w:p>
          <w:p w14:paraId="5B2DDC11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Brand names in UK: Cytisinicline (Consilient Health) and Belnifrem</w:t>
            </w:r>
          </w:p>
          <w:p w14:paraId="096053BE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Prescription-only medication</w:t>
            </w:r>
          </w:p>
          <w:p w14:paraId="4F795226" w14:textId="77777777" w:rsidR="00E00DDE" w:rsidRDefault="00E00DDE">
            <w:pPr>
              <w:spacing w:after="100"/>
            </w:pPr>
          </w:p>
        </w:tc>
      </w:tr>
    </w:tbl>
    <w:p w14:paraId="5A492A57" w14:textId="77777777" w:rsidR="00E00DDE" w:rsidRPr="00582A8B" w:rsidRDefault="00E00DDE">
      <w:pPr>
        <w:spacing w:after="100"/>
        <w:rPr>
          <w:sz w:val="2"/>
          <w:szCs w:val="2"/>
        </w:rPr>
      </w:pPr>
    </w:p>
    <w:p w14:paraId="43EA3986" w14:textId="77777777" w:rsidR="00E00DDE" w:rsidRDefault="00000000">
      <w:pPr>
        <w:spacing w:before="40" w:after="80"/>
      </w:pPr>
      <w:r>
        <w:rPr>
          <w:color w:val="2C2C2C"/>
        </w:rPr>
        <w:t>Mechanism: Selective partial agonist at α4β2 nicotinic acetylcholine receptors — same mechanism as varenicline. Has been used in Eastern Europe for decades (derived from laburnum plant). Cochrane review: increases quit rates by ~75% vs placebo. Fewer side effects than varenicline.</w:t>
      </w:r>
    </w:p>
    <w:p w14:paraId="0BADB56E" w14:textId="77777777" w:rsidR="00E00DDE" w:rsidRDefault="00000000">
      <w:pPr>
        <w:spacing w:before="120" w:after="60"/>
      </w:pPr>
      <w:r>
        <w:rPr>
          <w:b/>
          <w:color w:val="2E86AB"/>
          <w:sz w:val="26"/>
        </w:rPr>
        <w:t>Dosing Regimen (SPC/BNF 2024 — gradually reducing schedule)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E00DDE" w14:paraId="321079C6" w14:textId="77777777">
        <w:tc>
          <w:tcPr>
            <w:tcW w:w="4819" w:type="dxa"/>
            <w:tcBorders>
              <w:top w:val="single" w:sz="4" w:space="0" w:color="1ABC9C"/>
              <w:left w:val="single" w:sz="4" w:space="0" w:color="1ABC9C"/>
              <w:bottom w:val="single" w:sz="4" w:space="0" w:color="1ABC9C"/>
              <w:right w:val="single" w:sz="4" w:space="0" w:color="1ABC9C"/>
            </w:tcBorders>
            <w:shd w:val="clear" w:color="auto" w:fill="E8F8F5"/>
          </w:tcPr>
          <w:p w14:paraId="3FDAFD2B" w14:textId="77777777" w:rsidR="00E00DDE" w:rsidRDefault="00000000" w:rsidP="00582A8B">
            <w:pPr>
              <w:spacing w:before="80" w:after="80"/>
            </w:pPr>
            <w:r>
              <w:rPr>
                <w:b/>
                <w:color w:val="1A5276"/>
                <w:sz w:val="21"/>
              </w:rPr>
              <w:t>Days 1–3</w:t>
            </w:r>
          </w:p>
        </w:tc>
        <w:tc>
          <w:tcPr>
            <w:tcW w:w="4819" w:type="dxa"/>
            <w:tcBorders>
              <w:top w:val="single" w:sz="4" w:space="0" w:color="1ABC9C"/>
              <w:left w:val="single" w:sz="4" w:space="0" w:color="1ABC9C"/>
              <w:bottom w:val="single" w:sz="4" w:space="0" w:color="1ABC9C"/>
              <w:right w:val="single" w:sz="4" w:space="0" w:color="1ABC9C"/>
            </w:tcBorders>
            <w:shd w:val="clear" w:color="auto" w:fill="E8F8F5"/>
          </w:tcPr>
          <w:p w14:paraId="612A6278" w14:textId="77777777" w:rsidR="00E00DDE" w:rsidRDefault="00000000" w:rsidP="00582A8B">
            <w:pPr>
              <w:spacing w:before="80" w:after="80"/>
            </w:pPr>
            <w:r>
              <w:rPr>
                <w:color w:val="2C2C2C"/>
                <w:sz w:val="21"/>
              </w:rPr>
              <w:t>1 tablet (1.5mg) every 2 hours — 6 tablets/day</w:t>
            </w:r>
          </w:p>
        </w:tc>
      </w:tr>
      <w:tr w:rsidR="00E00DDE" w14:paraId="3BFAB3EE" w14:textId="77777777">
        <w:tc>
          <w:tcPr>
            <w:tcW w:w="4819" w:type="dxa"/>
            <w:tcBorders>
              <w:top w:val="single" w:sz="4" w:space="0" w:color="1ABC9C"/>
              <w:left w:val="single" w:sz="4" w:space="0" w:color="1ABC9C"/>
              <w:bottom w:val="single" w:sz="4" w:space="0" w:color="1ABC9C"/>
              <w:right w:val="single" w:sz="4" w:space="0" w:color="1ABC9C"/>
            </w:tcBorders>
            <w:shd w:val="clear" w:color="auto" w:fill="FDFEFE"/>
          </w:tcPr>
          <w:p w14:paraId="07C712F1" w14:textId="77777777" w:rsidR="00E00DDE" w:rsidRDefault="00000000" w:rsidP="00582A8B">
            <w:pPr>
              <w:spacing w:before="80" w:after="80"/>
            </w:pPr>
            <w:r>
              <w:rPr>
                <w:b/>
                <w:color w:val="1A5276"/>
                <w:sz w:val="21"/>
              </w:rPr>
              <w:t>Days 4–12</w:t>
            </w:r>
          </w:p>
        </w:tc>
        <w:tc>
          <w:tcPr>
            <w:tcW w:w="4819" w:type="dxa"/>
            <w:tcBorders>
              <w:top w:val="single" w:sz="4" w:space="0" w:color="1ABC9C"/>
              <w:left w:val="single" w:sz="4" w:space="0" w:color="1ABC9C"/>
              <w:bottom w:val="single" w:sz="4" w:space="0" w:color="1ABC9C"/>
              <w:right w:val="single" w:sz="4" w:space="0" w:color="1ABC9C"/>
            </w:tcBorders>
            <w:shd w:val="clear" w:color="auto" w:fill="FDFEFE"/>
          </w:tcPr>
          <w:p w14:paraId="3CA90A3E" w14:textId="77777777" w:rsidR="00E00DDE" w:rsidRDefault="00000000" w:rsidP="00582A8B">
            <w:pPr>
              <w:spacing w:before="80" w:after="80"/>
            </w:pPr>
            <w:r>
              <w:rPr>
                <w:color w:val="2C2C2C"/>
                <w:sz w:val="21"/>
              </w:rPr>
              <w:t>1 tablet every 2.5 hours — 5 tablets/day</w:t>
            </w:r>
          </w:p>
        </w:tc>
      </w:tr>
      <w:tr w:rsidR="00E00DDE" w14:paraId="6C2959DB" w14:textId="77777777">
        <w:tc>
          <w:tcPr>
            <w:tcW w:w="4819" w:type="dxa"/>
            <w:tcBorders>
              <w:top w:val="single" w:sz="4" w:space="0" w:color="1ABC9C"/>
              <w:left w:val="single" w:sz="4" w:space="0" w:color="1ABC9C"/>
              <w:bottom w:val="single" w:sz="4" w:space="0" w:color="1ABC9C"/>
              <w:right w:val="single" w:sz="4" w:space="0" w:color="1ABC9C"/>
            </w:tcBorders>
            <w:shd w:val="clear" w:color="auto" w:fill="E8F8F5"/>
          </w:tcPr>
          <w:p w14:paraId="6AE633CA" w14:textId="77777777" w:rsidR="00E00DDE" w:rsidRDefault="00000000" w:rsidP="00582A8B">
            <w:pPr>
              <w:spacing w:before="80" w:after="80"/>
            </w:pPr>
            <w:r>
              <w:rPr>
                <w:b/>
                <w:color w:val="1A5276"/>
                <w:sz w:val="21"/>
              </w:rPr>
              <w:t>Days 13–16</w:t>
            </w:r>
          </w:p>
        </w:tc>
        <w:tc>
          <w:tcPr>
            <w:tcW w:w="4819" w:type="dxa"/>
            <w:tcBorders>
              <w:top w:val="single" w:sz="4" w:space="0" w:color="1ABC9C"/>
              <w:left w:val="single" w:sz="4" w:space="0" w:color="1ABC9C"/>
              <w:bottom w:val="single" w:sz="4" w:space="0" w:color="1ABC9C"/>
              <w:right w:val="single" w:sz="4" w:space="0" w:color="1ABC9C"/>
            </w:tcBorders>
            <w:shd w:val="clear" w:color="auto" w:fill="E8F8F5"/>
          </w:tcPr>
          <w:p w14:paraId="5170B700" w14:textId="77777777" w:rsidR="00E00DDE" w:rsidRDefault="00000000" w:rsidP="00582A8B">
            <w:pPr>
              <w:spacing w:before="80" w:after="80"/>
            </w:pPr>
            <w:r>
              <w:rPr>
                <w:color w:val="2C2C2C"/>
                <w:sz w:val="21"/>
              </w:rPr>
              <w:t>1 tablet every 3 hours — 4 tablets/day</w:t>
            </w:r>
          </w:p>
        </w:tc>
      </w:tr>
      <w:tr w:rsidR="00E00DDE" w14:paraId="111F36FC" w14:textId="77777777">
        <w:tc>
          <w:tcPr>
            <w:tcW w:w="4819" w:type="dxa"/>
            <w:tcBorders>
              <w:top w:val="single" w:sz="4" w:space="0" w:color="1ABC9C"/>
              <w:left w:val="single" w:sz="4" w:space="0" w:color="1ABC9C"/>
              <w:bottom w:val="single" w:sz="4" w:space="0" w:color="1ABC9C"/>
              <w:right w:val="single" w:sz="4" w:space="0" w:color="1ABC9C"/>
            </w:tcBorders>
            <w:shd w:val="clear" w:color="auto" w:fill="FDFEFE"/>
          </w:tcPr>
          <w:p w14:paraId="21C19B6F" w14:textId="77777777" w:rsidR="00E00DDE" w:rsidRDefault="00000000" w:rsidP="00582A8B">
            <w:pPr>
              <w:spacing w:before="80" w:after="80"/>
            </w:pPr>
            <w:r>
              <w:rPr>
                <w:b/>
                <w:color w:val="1A5276"/>
                <w:sz w:val="21"/>
              </w:rPr>
              <w:t>Days 17–20</w:t>
            </w:r>
          </w:p>
        </w:tc>
        <w:tc>
          <w:tcPr>
            <w:tcW w:w="4819" w:type="dxa"/>
            <w:tcBorders>
              <w:top w:val="single" w:sz="4" w:space="0" w:color="1ABC9C"/>
              <w:left w:val="single" w:sz="4" w:space="0" w:color="1ABC9C"/>
              <w:bottom w:val="single" w:sz="4" w:space="0" w:color="1ABC9C"/>
              <w:right w:val="single" w:sz="4" w:space="0" w:color="1ABC9C"/>
            </w:tcBorders>
            <w:shd w:val="clear" w:color="auto" w:fill="FDFEFE"/>
          </w:tcPr>
          <w:p w14:paraId="67F3DAD6" w14:textId="77777777" w:rsidR="00E00DDE" w:rsidRDefault="00000000" w:rsidP="00582A8B">
            <w:pPr>
              <w:spacing w:before="80" w:after="80"/>
            </w:pPr>
            <w:r>
              <w:rPr>
                <w:color w:val="2C2C2C"/>
                <w:sz w:val="21"/>
              </w:rPr>
              <w:t>1 tablet every 5 hours — 3 tablets/day</w:t>
            </w:r>
          </w:p>
        </w:tc>
      </w:tr>
      <w:tr w:rsidR="00E00DDE" w14:paraId="60945D3A" w14:textId="77777777">
        <w:tc>
          <w:tcPr>
            <w:tcW w:w="4819" w:type="dxa"/>
            <w:tcBorders>
              <w:top w:val="single" w:sz="4" w:space="0" w:color="1ABC9C"/>
              <w:left w:val="single" w:sz="4" w:space="0" w:color="1ABC9C"/>
              <w:bottom w:val="single" w:sz="4" w:space="0" w:color="1ABC9C"/>
              <w:right w:val="single" w:sz="4" w:space="0" w:color="1ABC9C"/>
            </w:tcBorders>
            <w:shd w:val="clear" w:color="auto" w:fill="E8F8F5"/>
          </w:tcPr>
          <w:p w14:paraId="428300CC" w14:textId="77777777" w:rsidR="00E00DDE" w:rsidRDefault="00000000" w:rsidP="00582A8B">
            <w:pPr>
              <w:spacing w:before="80" w:after="80"/>
            </w:pPr>
            <w:r>
              <w:rPr>
                <w:b/>
                <w:color w:val="1A5276"/>
                <w:sz w:val="21"/>
              </w:rPr>
              <w:t>Days 21–25</w:t>
            </w:r>
          </w:p>
        </w:tc>
        <w:tc>
          <w:tcPr>
            <w:tcW w:w="4819" w:type="dxa"/>
            <w:tcBorders>
              <w:top w:val="single" w:sz="4" w:space="0" w:color="1ABC9C"/>
              <w:left w:val="single" w:sz="4" w:space="0" w:color="1ABC9C"/>
              <w:bottom w:val="single" w:sz="4" w:space="0" w:color="1ABC9C"/>
              <w:right w:val="single" w:sz="4" w:space="0" w:color="1ABC9C"/>
            </w:tcBorders>
            <w:shd w:val="clear" w:color="auto" w:fill="E8F8F5"/>
          </w:tcPr>
          <w:p w14:paraId="5BBF9A6E" w14:textId="77777777" w:rsidR="00E00DDE" w:rsidRDefault="00000000" w:rsidP="00582A8B">
            <w:pPr>
              <w:spacing w:before="80" w:after="80"/>
            </w:pPr>
            <w:r>
              <w:rPr>
                <w:color w:val="2C2C2C"/>
                <w:sz w:val="21"/>
              </w:rPr>
              <w:t>1–2 tablets per day</w:t>
            </w:r>
          </w:p>
        </w:tc>
      </w:tr>
      <w:tr w:rsidR="00E00DDE" w14:paraId="67F1B908" w14:textId="77777777">
        <w:tc>
          <w:tcPr>
            <w:tcW w:w="4819" w:type="dxa"/>
            <w:tcBorders>
              <w:top w:val="single" w:sz="4" w:space="0" w:color="1ABC9C"/>
              <w:left w:val="single" w:sz="4" w:space="0" w:color="1ABC9C"/>
              <w:bottom w:val="single" w:sz="4" w:space="0" w:color="1ABC9C"/>
              <w:right w:val="single" w:sz="4" w:space="0" w:color="1ABC9C"/>
            </w:tcBorders>
            <w:shd w:val="clear" w:color="auto" w:fill="FDFEFE"/>
          </w:tcPr>
          <w:p w14:paraId="68E0928F" w14:textId="77777777" w:rsidR="00E00DDE" w:rsidRDefault="00000000" w:rsidP="00582A8B">
            <w:pPr>
              <w:spacing w:before="80" w:after="80"/>
            </w:pPr>
            <w:r>
              <w:rPr>
                <w:b/>
                <w:color w:val="1A5276"/>
                <w:sz w:val="21"/>
              </w:rPr>
              <w:t>Quit date</w:t>
            </w:r>
          </w:p>
        </w:tc>
        <w:tc>
          <w:tcPr>
            <w:tcW w:w="4819" w:type="dxa"/>
            <w:tcBorders>
              <w:top w:val="single" w:sz="4" w:space="0" w:color="1ABC9C"/>
              <w:left w:val="single" w:sz="4" w:space="0" w:color="1ABC9C"/>
              <w:bottom w:val="single" w:sz="4" w:space="0" w:color="1ABC9C"/>
              <w:right w:val="single" w:sz="4" w:space="0" w:color="1ABC9C"/>
            </w:tcBorders>
            <w:shd w:val="clear" w:color="auto" w:fill="FDFEFE"/>
          </w:tcPr>
          <w:p w14:paraId="22170399" w14:textId="77777777" w:rsidR="00E00DDE" w:rsidRDefault="00000000" w:rsidP="00582A8B">
            <w:pPr>
              <w:spacing w:before="80" w:after="80"/>
            </w:pPr>
            <w:r>
              <w:rPr>
                <w:color w:val="2C2C2C"/>
                <w:sz w:val="21"/>
              </w:rPr>
              <w:t>MUST be set NO LATER than Day 5 of treatment</w:t>
            </w:r>
          </w:p>
        </w:tc>
      </w:tr>
      <w:tr w:rsidR="00E00DDE" w14:paraId="31B1C4AD" w14:textId="77777777">
        <w:tc>
          <w:tcPr>
            <w:tcW w:w="4819" w:type="dxa"/>
            <w:tcBorders>
              <w:top w:val="single" w:sz="4" w:space="0" w:color="1ABC9C"/>
              <w:left w:val="single" w:sz="4" w:space="0" w:color="1ABC9C"/>
              <w:bottom w:val="single" w:sz="4" w:space="0" w:color="1ABC9C"/>
              <w:right w:val="single" w:sz="4" w:space="0" w:color="1ABC9C"/>
            </w:tcBorders>
            <w:shd w:val="clear" w:color="auto" w:fill="E8F8F5"/>
          </w:tcPr>
          <w:p w14:paraId="1F45843B" w14:textId="77777777" w:rsidR="00E00DDE" w:rsidRDefault="00000000" w:rsidP="00582A8B">
            <w:pPr>
              <w:spacing w:before="80" w:after="80"/>
            </w:pPr>
            <w:r>
              <w:rPr>
                <w:b/>
                <w:color w:val="1A5276"/>
                <w:sz w:val="21"/>
              </w:rPr>
              <w:t>Extended course</w:t>
            </w:r>
          </w:p>
        </w:tc>
        <w:tc>
          <w:tcPr>
            <w:tcW w:w="4819" w:type="dxa"/>
            <w:tcBorders>
              <w:top w:val="single" w:sz="4" w:space="0" w:color="1ABC9C"/>
              <w:left w:val="single" w:sz="4" w:space="0" w:color="1ABC9C"/>
              <w:bottom w:val="single" w:sz="4" w:space="0" w:color="1ABC9C"/>
              <w:right w:val="single" w:sz="4" w:space="0" w:color="1ABC9C"/>
            </w:tcBorders>
            <w:shd w:val="clear" w:color="auto" w:fill="E8F8F5"/>
          </w:tcPr>
          <w:p w14:paraId="05448BBF" w14:textId="77777777" w:rsidR="00E00DDE" w:rsidRDefault="00000000" w:rsidP="00582A8B">
            <w:pPr>
              <w:spacing w:before="80" w:after="80"/>
            </w:pPr>
            <w:r>
              <w:rPr>
                <w:color w:val="2C2C2C"/>
                <w:sz w:val="21"/>
              </w:rPr>
              <w:t>12 weeks probably more effective (</w:t>
            </w:r>
            <w:proofErr w:type="gramStart"/>
            <w:r>
              <w:rPr>
                <w:color w:val="2C2C2C"/>
                <w:sz w:val="21"/>
              </w:rPr>
              <w:t>similar to</w:t>
            </w:r>
            <w:proofErr w:type="gramEnd"/>
            <w:r>
              <w:rPr>
                <w:color w:val="2C2C2C"/>
                <w:sz w:val="21"/>
              </w:rPr>
              <w:t xml:space="preserve"> varenicline)</w:t>
            </w:r>
          </w:p>
        </w:tc>
      </w:tr>
      <w:tr w:rsidR="00E00DDE" w14:paraId="70018B11" w14:textId="77777777">
        <w:tc>
          <w:tcPr>
            <w:tcW w:w="4819" w:type="dxa"/>
            <w:tcBorders>
              <w:top w:val="single" w:sz="4" w:space="0" w:color="1ABC9C"/>
              <w:left w:val="single" w:sz="4" w:space="0" w:color="1ABC9C"/>
              <w:bottom w:val="single" w:sz="4" w:space="0" w:color="1ABC9C"/>
              <w:right w:val="single" w:sz="4" w:space="0" w:color="1ABC9C"/>
            </w:tcBorders>
            <w:shd w:val="clear" w:color="auto" w:fill="FDFEFE"/>
          </w:tcPr>
          <w:p w14:paraId="36DCAFA3" w14:textId="77777777" w:rsidR="00E00DDE" w:rsidRDefault="00000000" w:rsidP="00582A8B">
            <w:pPr>
              <w:spacing w:before="80" w:after="80"/>
            </w:pPr>
            <w:r>
              <w:rPr>
                <w:b/>
                <w:color w:val="1A5276"/>
                <w:sz w:val="21"/>
              </w:rPr>
              <w:t>Important</w:t>
            </w:r>
          </w:p>
        </w:tc>
        <w:tc>
          <w:tcPr>
            <w:tcW w:w="4819" w:type="dxa"/>
            <w:tcBorders>
              <w:top w:val="single" w:sz="4" w:space="0" w:color="1ABC9C"/>
              <w:left w:val="single" w:sz="4" w:space="0" w:color="1ABC9C"/>
              <w:bottom w:val="single" w:sz="4" w:space="0" w:color="1ABC9C"/>
              <w:right w:val="single" w:sz="4" w:space="0" w:color="1ABC9C"/>
            </w:tcBorders>
            <w:shd w:val="clear" w:color="auto" w:fill="FDFEFE"/>
          </w:tcPr>
          <w:p w14:paraId="117C7E2F" w14:textId="77777777" w:rsidR="00E00DDE" w:rsidRDefault="00000000" w:rsidP="00582A8B">
            <w:pPr>
              <w:spacing w:before="80" w:after="80"/>
            </w:pPr>
            <w:r>
              <w:rPr>
                <w:color w:val="2C2C2C"/>
                <w:sz w:val="21"/>
              </w:rPr>
              <w:t>If dose missed, do NOT double up — continue with next scheduled dose</w:t>
            </w:r>
          </w:p>
        </w:tc>
      </w:tr>
    </w:tbl>
    <w:p w14:paraId="0640FBA6" w14:textId="77777777" w:rsidR="00E00DDE" w:rsidRDefault="00E00DDE">
      <w:pPr>
        <w:spacing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E00DDE" w14:paraId="116B27AC" w14:textId="77777777">
        <w:tc>
          <w:tcPr>
            <w:tcW w:w="9638" w:type="dxa"/>
            <w:tcBorders>
              <w:top w:val="single" w:sz="4" w:space="0" w:color="E74C3C"/>
              <w:left w:val="single" w:sz="4" w:space="0" w:color="E74C3C"/>
              <w:bottom w:val="single" w:sz="4" w:space="0" w:color="E74C3C"/>
              <w:right w:val="single" w:sz="4" w:space="0" w:color="E74C3C"/>
            </w:tcBorders>
            <w:shd w:val="clear" w:color="auto" w:fill="FDEDEC"/>
          </w:tcPr>
          <w:p w14:paraId="0602B526" w14:textId="77777777" w:rsidR="00E00DDE" w:rsidRDefault="00E00DDE"/>
          <w:p w14:paraId="30EC1BDE" w14:textId="77777777" w:rsidR="00E00DDE" w:rsidRDefault="00000000">
            <w:pPr>
              <w:spacing w:before="100" w:after="60"/>
            </w:pPr>
            <w:r>
              <w:rPr>
                <w:b/>
                <w:color w:val="922B21"/>
                <w:sz w:val="23"/>
              </w:rPr>
              <w:t>Cytisinicline — Contraindications</w:t>
            </w:r>
          </w:p>
          <w:p w14:paraId="6CF5DBCD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Hypersensitivity to cytisinicline or excipients</w:t>
            </w:r>
          </w:p>
          <w:p w14:paraId="2EFE449B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Unstable angina; recent myocardial infarction; significant arrhythmias; recent stroke</w:t>
            </w:r>
          </w:p>
          <w:p w14:paraId="6B9AAEF8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Pregnancy and breastfeeding</w:t>
            </w:r>
          </w:p>
          <w:p w14:paraId="283756EF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Under 18 years (insufficient safety data)</w:t>
            </w:r>
          </w:p>
          <w:p w14:paraId="6E0EC598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Over 65 years (insufficient safety data)</w:t>
            </w:r>
          </w:p>
          <w:p w14:paraId="47BF4FF4" w14:textId="77777777" w:rsidR="00E00DDE" w:rsidRDefault="00E00DDE">
            <w:pPr>
              <w:spacing w:after="100"/>
            </w:pPr>
          </w:p>
        </w:tc>
      </w:tr>
    </w:tbl>
    <w:p w14:paraId="56DDB7C4" w14:textId="77777777" w:rsidR="00E00DDE" w:rsidRDefault="00E00DDE">
      <w:pPr>
        <w:spacing w:after="10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E00DDE" w14:paraId="60E587FF" w14:textId="77777777">
        <w:tc>
          <w:tcPr>
            <w:tcW w:w="9638" w:type="dxa"/>
            <w:tcBorders>
              <w:top w:val="single" w:sz="4" w:space="0" w:color="F4D03F"/>
              <w:left w:val="single" w:sz="4" w:space="0" w:color="F4D03F"/>
              <w:bottom w:val="single" w:sz="4" w:space="0" w:color="F4D03F"/>
              <w:right w:val="single" w:sz="4" w:space="0" w:color="F4D03F"/>
            </w:tcBorders>
            <w:shd w:val="clear" w:color="auto" w:fill="FEF9E7"/>
          </w:tcPr>
          <w:p w14:paraId="12DFC295" w14:textId="77777777" w:rsidR="00E00DDE" w:rsidRDefault="00E00DDE"/>
          <w:p w14:paraId="2D388295" w14:textId="77777777" w:rsidR="00E00DDE" w:rsidRDefault="00000000">
            <w:pPr>
              <w:spacing w:before="100" w:after="60"/>
            </w:pPr>
            <w:r>
              <w:rPr>
                <w:b/>
                <w:color w:val="7D6608"/>
                <w:sz w:val="23"/>
              </w:rPr>
              <w:t>Cytisinicline — Cautions (monitor closely)</w:t>
            </w:r>
          </w:p>
          <w:p w14:paraId="6BF6474C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Ischaemic heart disease, heart failure, hypertension</w:t>
            </w:r>
          </w:p>
          <w:p w14:paraId="621A1F26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Phaeochromocytoma; atherosclerosis</w:t>
            </w:r>
          </w:p>
          <w:p w14:paraId="1F29EE6A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Gastric/duodenal ulcer, GORD; hyperthyroidism; diabetes</w:t>
            </w:r>
          </w:p>
          <w:p w14:paraId="26AC2AC8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Schizophrenia; phenylketonuria (Belnifrem only)</w:t>
            </w:r>
          </w:p>
          <w:p w14:paraId="35F1FF11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Women on hormonal contraception: also use barrier method</w:t>
            </w:r>
          </w:p>
          <w:p w14:paraId="1FD302CC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NOT contraindicated in other psychiatric illness — unlike specific caution for varenicline</w:t>
            </w:r>
          </w:p>
          <w:p w14:paraId="2D564017" w14:textId="72458B46" w:rsidR="00E00DDE" w:rsidRDefault="00000000" w:rsidP="00582A8B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Do NOT combine with NRT (theoretical nicotine overdose risk); avoid anti-TB drugs</w:t>
            </w:r>
          </w:p>
        </w:tc>
      </w:tr>
    </w:tbl>
    <w:p w14:paraId="609F3314" w14:textId="77777777" w:rsidR="00E00DDE" w:rsidRDefault="00E00DDE">
      <w:pPr>
        <w:spacing w:after="100"/>
      </w:pPr>
    </w:p>
    <w:p w14:paraId="56776041" w14:textId="77777777" w:rsidR="00E00DDE" w:rsidRDefault="00E00DDE">
      <w:pPr>
        <w:pBdr>
          <w:bottom w:val="single" w:sz="6" w:space="1" w:color="2E86AB"/>
        </w:pBdr>
        <w:spacing w:before="120" w:after="120"/>
      </w:pPr>
    </w:p>
    <w:p w14:paraId="3CB47D39" w14:textId="77777777" w:rsidR="00E00DDE" w:rsidRDefault="00000000">
      <w:pPr>
        <w:spacing w:before="200" w:after="80"/>
      </w:pPr>
      <w:r>
        <w:rPr>
          <w:b/>
          <w:color w:val="1E3A5F"/>
          <w:sz w:val="30"/>
        </w:rPr>
        <w:t>6. Bupropion (Zyban®) — Third-Line Agent</w:t>
      </w:r>
    </w:p>
    <w:p w14:paraId="7334C4DA" w14:textId="77777777" w:rsidR="00E00DDE" w:rsidRDefault="00000000">
      <w:pPr>
        <w:spacing w:before="40" w:after="80"/>
      </w:pPr>
      <w:r>
        <w:rPr>
          <w:color w:val="2C2C2C"/>
        </w:rPr>
        <w:t>Mechanism: Inhibits neuronal reuptake of dopamine and noradrenaline; non-competitive inhibition of nicotinic acetylcholine receptors. Less effective than varenicline; more serious side-effect profile. Use when first-line options are contraindicated or declined.</w:t>
      </w:r>
    </w:p>
    <w:p w14:paraId="4A70D488" w14:textId="77777777" w:rsidR="00E00DDE" w:rsidRDefault="00000000">
      <w:pPr>
        <w:spacing w:before="80" w:after="60"/>
      </w:pPr>
      <w:r>
        <w:rPr>
          <w:b/>
          <w:color w:val="2E86AB"/>
          <w:sz w:val="26"/>
        </w:rPr>
        <w:t>Dosing (BNF current)</w:t>
      </w:r>
    </w:p>
    <w:p w14:paraId="659650A0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150mg ONCE daily for 6 days, then 150mg TWICE daily</w:t>
      </w:r>
    </w:p>
    <w:p w14:paraId="52A0078E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Maximum daily dose: 300mg</w:t>
      </w:r>
    </w:p>
    <w:p w14:paraId="604EAEF9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Start 1–2 weeks BEFORE the quit date</w:t>
      </w:r>
    </w:p>
    <w:p w14:paraId="459B5EDF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Course: 7–9 weeks; monthly prescriptions usual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E00DDE" w14:paraId="673319E1" w14:textId="77777777">
        <w:tc>
          <w:tcPr>
            <w:tcW w:w="9638" w:type="dxa"/>
            <w:tcBorders>
              <w:top w:val="single" w:sz="4" w:space="0" w:color="E74C3C"/>
              <w:left w:val="single" w:sz="4" w:space="0" w:color="E74C3C"/>
              <w:bottom w:val="single" w:sz="4" w:space="0" w:color="E74C3C"/>
              <w:right w:val="single" w:sz="4" w:space="0" w:color="E74C3C"/>
            </w:tcBorders>
            <w:shd w:val="clear" w:color="auto" w:fill="FDEDEC"/>
          </w:tcPr>
          <w:p w14:paraId="749377BC" w14:textId="77777777" w:rsidR="00E00DDE" w:rsidRDefault="00E00DDE"/>
          <w:p w14:paraId="5865689F" w14:textId="77777777" w:rsidR="00E00DDE" w:rsidRDefault="00000000">
            <w:pPr>
              <w:spacing w:before="100" w:after="60"/>
            </w:pPr>
            <w:r>
              <w:rPr>
                <w:b/>
                <w:color w:val="922B21"/>
                <w:sz w:val="23"/>
              </w:rPr>
              <w:t>Bupropion — Contraindications (ABSOLUTE — any history of seizures = contraindicated)</w:t>
            </w:r>
          </w:p>
          <w:p w14:paraId="456B8962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Current seizure disorder or ANY history of seizures</w:t>
            </w:r>
          </w:p>
          <w:p w14:paraId="4982447A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Abrupt alcohol/benzodiazepine withdrawal (seizure risk)</w:t>
            </w:r>
          </w:p>
          <w:p w14:paraId="2589C7ED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Concomitant use of MAOIs</w:t>
            </w:r>
          </w:p>
          <w:p w14:paraId="31C78D24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Bulimia or anorexia nervosa (or history of)</w:t>
            </w:r>
          </w:p>
          <w:p w14:paraId="4F7E60D7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Severe hepatic cirrhosis; CNS tumour</w:t>
            </w:r>
          </w:p>
          <w:p w14:paraId="3E55EBE0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Bipolar disorder (or history of)</w:t>
            </w:r>
          </w:p>
          <w:p w14:paraId="0146CD11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Pregnancy / breastfeeding</w:t>
            </w:r>
          </w:p>
          <w:p w14:paraId="1435ACBE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Hypersensitivity to bupropion or excipients; concurrent bupropion-containing product</w:t>
            </w:r>
          </w:p>
          <w:p w14:paraId="6A30A4E7" w14:textId="77777777" w:rsidR="00E00DDE" w:rsidRDefault="00E00DDE">
            <w:pPr>
              <w:spacing w:after="100"/>
            </w:pPr>
          </w:p>
        </w:tc>
      </w:tr>
    </w:tbl>
    <w:p w14:paraId="2E74BABC" w14:textId="77777777" w:rsidR="00E00DDE" w:rsidRDefault="00E00DDE">
      <w:pPr>
        <w:spacing w:after="10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E00DDE" w14:paraId="3F140203" w14:textId="77777777">
        <w:tc>
          <w:tcPr>
            <w:tcW w:w="9638" w:type="dxa"/>
            <w:tcBorders>
              <w:top w:val="single" w:sz="4" w:space="0" w:color="F4D03F"/>
              <w:left w:val="single" w:sz="4" w:space="0" w:color="F4D03F"/>
              <w:bottom w:val="single" w:sz="4" w:space="0" w:color="F4D03F"/>
              <w:right w:val="single" w:sz="4" w:space="0" w:color="F4D03F"/>
            </w:tcBorders>
            <w:shd w:val="clear" w:color="auto" w:fill="FEF9E7"/>
          </w:tcPr>
          <w:p w14:paraId="4F2C8AA6" w14:textId="77777777" w:rsidR="00E00DDE" w:rsidRDefault="00E00DDE"/>
          <w:p w14:paraId="7ACFDFA9" w14:textId="77777777" w:rsidR="00E00DDE" w:rsidRDefault="00000000">
            <w:pPr>
              <w:spacing w:before="100" w:after="60"/>
            </w:pPr>
            <w:r>
              <w:rPr>
                <w:b/>
                <w:color w:val="7D6608"/>
                <w:sz w:val="23"/>
              </w:rPr>
              <w:t>Bupropion — Cautions</w:t>
            </w:r>
          </w:p>
          <w:p w14:paraId="13C4630A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Mild/moderate hepatic or renal impairment (reduce dose)</w:t>
            </w:r>
          </w:p>
          <w:p w14:paraId="701827DC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Elderly (reduce dose)</w:t>
            </w:r>
          </w:p>
          <w:p w14:paraId="69BE09B9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Predisposing factors for seizures: alcohol abuse, head trauma, diabetes on insulin/hypoglycaemics, stimulant/anorectic use</w:t>
            </w:r>
          </w:p>
          <w:p w14:paraId="3A87E024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Hypertension; tamoxifen treatment (avoid — bupropion inhibits CYP2D6)</w:t>
            </w:r>
          </w:p>
          <w:p w14:paraId="09AE8811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Drugs lowering seizure threshold (antipsychotics, antimalarials, antidepressants)</w:t>
            </w:r>
          </w:p>
          <w:p w14:paraId="07A6B67E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Psychiatric illness: psychotic and manic symptoms reported</w:t>
            </w:r>
          </w:p>
          <w:p w14:paraId="21B3A9BC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Side effects: dry mouth, headache, insomnia; seizure risk ~1:1000</w:t>
            </w:r>
          </w:p>
          <w:p w14:paraId="0483605A" w14:textId="77777777" w:rsidR="00E00DDE" w:rsidRDefault="00E00DDE">
            <w:pPr>
              <w:spacing w:after="100"/>
            </w:pPr>
          </w:p>
        </w:tc>
      </w:tr>
    </w:tbl>
    <w:p w14:paraId="7D9DF218" w14:textId="77777777" w:rsidR="00E00DDE" w:rsidRDefault="00E00DDE">
      <w:pPr>
        <w:spacing w:after="100"/>
      </w:pPr>
    </w:p>
    <w:p w14:paraId="2F5D8E16" w14:textId="70FD0432" w:rsidR="00582A8B" w:rsidRDefault="00582A8B">
      <w:r>
        <w:br w:type="page"/>
      </w:r>
    </w:p>
    <w:p w14:paraId="3596F776" w14:textId="77777777" w:rsidR="00E00DDE" w:rsidRDefault="00E00DDE">
      <w:pPr>
        <w:pBdr>
          <w:bottom w:val="single" w:sz="6" w:space="1" w:color="2E86AB"/>
        </w:pBdr>
        <w:spacing w:before="120" w:after="120"/>
      </w:pPr>
    </w:p>
    <w:p w14:paraId="3320B623" w14:textId="77777777" w:rsidR="00E00DDE" w:rsidRDefault="00000000">
      <w:pPr>
        <w:spacing w:before="200" w:after="80"/>
      </w:pPr>
      <w:r>
        <w:rPr>
          <w:b/>
          <w:color w:val="1E3A5F"/>
          <w:sz w:val="30"/>
        </w:rPr>
        <w:t>7. Special Populations</w:t>
      </w:r>
    </w:p>
    <w:p w14:paraId="08F835E2" w14:textId="77777777" w:rsidR="00E00DDE" w:rsidRDefault="00000000">
      <w:pPr>
        <w:spacing w:before="80" w:after="60"/>
      </w:pPr>
      <w:r>
        <w:rPr>
          <w:b/>
          <w:color w:val="2E86AB"/>
          <w:sz w:val="26"/>
        </w:rPr>
        <w:t>Pregnancy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E00DDE" w14:paraId="1E2316C0" w14:textId="77777777">
        <w:tc>
          <w:tcPr>
            <w:tcW w:w="9638" w:type="dxa"/>
            <w:tcBorders>
              <w:top w:val="single" w:sz="4" w:space="0" w:color="1ABC9C"/>
              <w:left w:val="single" w:sz="4" w:space="0" w:color="1ABC9C"/>
              <w:bottom w:val="single" w:sz="4" w:space="0" w:color="1ABC9C"/>
              <w:right w:val="single" w:sz="4" w:space="0" w:color="1ABC9C"/>
            </w:tcBorders>
            <w:shd w:val="clear" w:color="auto" w:fill="E8F8F5"/>
          </w:tcPr>
          <w:p w14:paraId="3537D86C" w14:textId="77777777" w:rsidR="00E00DDE" w:rsidRDefault="00E00DDE"/>
          <w:p w14:paraId="3A767F5A" w14:textId="77777777" w:rsidR="00E00DDE" w:rsidRDefault="00000000">
            <w:pPr>
              <w:spacing w:before="100" w:after="60"/>
            </w:pPr>
            <w:r>
              <w:rPr>
                <w:b/>
                <w:color w:val="1A5276"/>
                <w:sz w:val="23"/>
              </w:rPr>
              <w:t>🤰 Pregnancy — NRT is the ONLY recommended medication</w:t>
            </w:r>
          </w:p>
          <w:p w14:paraId="6F006A8C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Smoking in pregnancy causes significant harm to mother and baby — always advise stopping</w:t>
            </w:r>
          </w:p>
          <w:p w14:paraId="7E04684E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NRT is the ONLY medication recommended in pregnancy</w:t>
            </w:r>
          </w:p>
          <w:p w14:paraId="0A226476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Use combination NRT if single NRT insufficient; advise removing patch at night</w:t>
            </w:r>
          </w:p>
          <w:p w14:paraId="6474BA89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Varenicline, cytisinicline, and bupropion are ALL contraindicated in pregnancy</w:t>
            </w:r>
          </w:p>
          <w:p w14:paraId="6D251865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Refer to specialist stop smoking midwife service</w:t>
            </w:r>
          </w:p>
          <w:p w14:paraId="4325D9D8" w14:textId="77777777" w:rsidR="00E00DDE" w:rsidRDefault="00E00DDE">
            <w:pPr>
              <w:spacing w:after="100"/>
            </w:pPr>
          </w:p>
        </w:tc>
      </w:tr>
    </w:tbl>
    <w:p w14:paraId="432C9113" w14:textId="77777777" w:rsidR="00E00DDE" w:rsidRDefault="00E00DDE">
      <w:pPr>
        <w:spacing w:after="100"/>
      </w:pPr>
    </w:p>
    <w:p w14:paraId="1FC67121" w14:textId="77777777" w:rsidR="00E00DDE" w:rsidRDefault="00000000">
      <w:pPr>
        <w:spacing w:before="120" w:after="60"/>
      </w:pPr>
      <w:r>
        <w:rPr>
          <w:b/>
          <w:color w:val="2E86AB"/>
          <w:sz w:val="26"/>
        </w:rPr>
        <w:t>Depression</w:t>
      </w:r>
    </w:p>
    <w:p w14:paraId="1AEEAFB2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Stopping smoking IMPROVES mental health in most people (contrary to popular belief)</w:t>
      </w:r>
    </w:p>
    <w:p w14:paraId="51D6F5B0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Depression is a nicotine withdrawal symptom — warn patients proactively</w:t>
      </w:r>
    </w:p>
    <w:p w14:paraId="3E9C395A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All medications are generally safe to use; monitor closely</w:t>
      </w:r>
    </w:p>
    <w:p w14:paraId="0A51186D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Bupropion associated with increased depression — monitor</w:t>
      </w:r>
    </w:p>
    <w:p w14:paraId="6422C232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Varenicline: advise patient to stop and seek review if mood changes, anxiety, or suicidal ideation occur</w:t>
      </w:r>
    </w:p>
    <w:p w14:paraId="2480E5A3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Do NOT withhold cessation treatment — benefits outweigh risks</w:t>
      </w:r>
    </w:p>
    <w:p w14:paraId="7FF66026" w14:textId="77777777" w:rsidR="00E00DDE" w:rsidRDefault="00000000">
      <w:pPr>
        <w:spacing w:before="120" w:after="60"/>
      </w:pPr>
      <w:r>
        <w:rPr>
          <w:b/>
          <w:color w:val="2E86AB"/>
          <w:sz w:val="26"/>
        </w:rPr>
        <w:t>Cardiovascular Disease</w:t>
      </w:r>
    </w:p>
    <w:p w14:paraId="29D38C04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Stopping smoking is THE most important cardiovascular intervention</w:t>
      </w:r>
    </w:p>
    <w:p w14:paraId="33AF32D2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NRT and varenicline can be used in CVD — NICE NG209: benefits outweigh risks</w:t>
      </w:r>
    </w:p>
    <w:p w14:paraId="633D730F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Cytisinicline: contraindicated in unstable angina, recent MI, significant arrhythmias, recent stroke</w:t>
      </w:r>
    </w:p>
    <w:p w14:paraId="4773FF4F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Continued smoking poses FAR greater cardiovascular risk than any cessation medication</w:t>
      </w:r>
    </w:p>
    <w:p w14:paraId="48165303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CO monitoring particularly valuable in CVD patients</w:t>
      </w:r>
    </w:p>
    <w:p w14:paraId="1B7B87B6" w14:textId="77777777" w:rsidR="00E00DDE" w:rsidRDefault="00000000">
      <w:pPr>
        <w:spacing w:before="120" w:after="60"/>
      </w:pPr>
      <w:r>
        <w:rPr>
          <w:b/>
          <w:color w:val="2E86AB"/>
          <w:sz w:val="26"/>
        </w:rPr>
        <w:t>Patients with Mental Health Conditions</w:t>
      </w:r>
    </w:p>
    <w:p w14:paraId="6D1220FD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High smoking prevalence in serious mental illness — prioritise cessation support</w:t>
      </w:r>
    </w:p>
    <w:p w14:paraId="6B887BE0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Stopping smoking has been shown to IMPROVE mental health symptoms</w:t>
      </w:r>
    </w:p>
    <w:p w14:paraId="6E0524DA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NICE NG209 strongly recommends offering cessation support in mental health settings</w:t>
      </w:r>
    </w:p>
    <w:p w14:paraId="5663AF5D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Monitor for psychiatric symptom changes; ensure close follow-up</w:t>
      </w:r>
    </w:p>
    <w:p w14:paraId="494B597A" w14:textId="77777777" w:rsidR="00E00DDE" w:rsidRDefault="00000000">
      <w:pPr>
        <w:spacing w:before="120" w:after="60"/>
      </w:pPr>
      <w:r>
        <w:rPr>
          <w:b/>
          <w:color w:val="2E86AB"/>
          <w:sz w:val="26"/>
        </w:rPr>
        <w:t>Weight Gain After Stopping</w:t>
      </w:r>
    </w:p>
    <w:p w14:paraId="6AB47D3A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Average weight gain: 3–6kg (most people gain some weight long-term)</w:t>
      </w:r>
    </w:p>
    <w:p w14:paraId="29350718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Nicotine raises metabolic rate and acts as a mild appetite suppressant</w:t>
      </w:r>
    </w:p>
    <w:p w14:paraId="725DE235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Medication delays weight gain but rarely prevents it entirely</w:t>
      </w:r>
    </w:p>
    <w:p w14:paraId="16BBF7D4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Warn patients proactively — but reassure that health benefits of stopping FAR outweigh weight gain risk</w:t>
      </w:r>
    </w:p>
    <w:p w14:paraId="441F3B22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Address weight concerns once patient is a confirmed ex-smoker</w:t>
      </w:r>
    </w:p>
    <w:p w14:paraId="7D2C6D40" w14:textId="7BA04919" w:rsidR="00582A8B" w:rsidRDefault="00582A8B">
      <w:r>
        <w:br w:type="page"/>
      </w:r>
    </w:p>
    <w:p w14:paraId="4F213F1D" w14:textId="77777777" w:rsidR="00E00DDE" w:rsidRDefault="00E00DDE">
      <w:pPr>
        <w:pBdr>
          <w:bottom w:val="single" w:sz="6" w:space="1" w:color="2E86AB"/>
        </w:pBdr>
        <w:spacing w:before="120" w:after="120"/>
      </w:pPr>
    </w:p>
    <w:p w14:paraId="2C6831A7" w14:textId="77777777" w:rsidR="00E00DDE" w:rsidRDefault="00000000">
      <w:pPr>
        <w:spacing w:before="200" w:after="80"/>
      </w:pPr>
      <w:r>
        <w:rPr>
          <w:b/>
          <w:color w:val="1E3A5F"/>
          <w:sz w:val="30"/>
        </w:rPr>
        <w:t>8. E-Cigarettes (Vapes) — NICE NG209 2025 Position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E00DDE" w14:paraId="3FAFB359" w14:textId="77777777">
        <w:tc>
          <w:tcPr>
            <w:tcW w:w="9638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D6EAF8"/>
          </w:tcPr>
          <w:p w14:paraId="3445A1D2" w14:textId="77777777" w:rsidR="00E00DDE" w:rsidRDefault="00E00DDE"/>
          <w:p w14:paraId="6E5DBA12" w14:textId="77777777" w:rsidR="00E00DDE" w:rsidRDefault="00000000">
            <w:pPr>
              <w:spacing w:before="100" w:after="60"/>
            </w:pPr>
            <w:r>
              <w:rPr>
                <w:b/>
                <w:color w:val="1A5276"/>
                <w:sz w:val="23"/>
              </w:rPr>
              <w:t>📋 NICE NG209 (February 2025) — E-Cigarettes as Cessation Aid</w:t>
            </w:r>
          </w:p>
          <w:p w14:paraId="1CB83B01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Nicotine e-cigarettes are a RECOGNISED cessation aid per NICE NG209 (February 2025)</w:t>
            </w:r>
          </w:p>
          <w:p w14:paraId="62BC4F95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Cochrane systematic review (2025): nicotine e-cigarettes more effective than NRT for cessation</w:t>
            </w:r>
          </w:p>
          <w:p w14:paraId="6D45E623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Current language: e-cigarettes are 'substantially less harmful than cigarettes' (the older PHE 2015 '95% less harmful' figure has been replaced with more nuanced wording)</w:t>
            </w:r>
          </w:p>
          <w:p w14:paraId="2D9AB2D8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Long-term health effects still being studied — not risk-free, but far less harmful than smoking</w:t>
            </w:r>
          </w:p>
          <w:p w14:paraId="22CBD220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NOT recommended for non-smokers, children, young people, or pregnant women</w:t>
            </w:r>
          </w:p>
          <w:p w14:paraId="0048DE4F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Cannot be prescribed on NHS but can be actively recommended to adult smokers</w:t>
            </w:r>
          </w:p>
          <w:p w14:paraId="06853786" w14:textId="77777777" w:rsidR="00E00DDE" w:rsidRDefault="00E00DDE">
            <w:pPr>
              <w:spacing w:after="100"/>
            </w:pPr>
          </w:p>
        </w:tc>
      </w:tr>
    </w:tbl>
    <w:p w14:paraId="528030DD" w14:textId="77777777" w:rsidR="00E00DDE" w:rsidRDefault="00E00DDE">
      <w:pPr>
        <w:spacing w:after="100"/>
      </w:pPr>
    </w:p>
    <w:p w14:paraId="1ADF6594" w14:textId="77777777" w:rsidR="00E00DDE" w:rsidRDefault="00000000">
      <w:pPr>
        <w:spacing w:before="80" w:after="120"/>
      </w:pPr>
      <w:r>
        <w:rPr>
          <w:i/>
          <w:color w:val="1A5276"/>
          <w:sz w:val="21"/>
        </w:rPr>
        <w:t>📝 Useful consultation phrase: 'Vaping is not completely harmless, but it's far less harmful than smoking. If it helps you stop completely, it's a good option — and the goal eventually would be to stop vaping too.'</w:t>
      </w:r>
    </w:p>
    <w:p w14:paraId="0748A9B3" w14:textId="77777777" w:rsidR="00E00DDE" w:rsidRDefault="00E00DDE">
      <w:pPr>
        <w:pBdr>
          <w:bottom w:val="single" w:sz="6" w:space="1" w:color="2E86AB"/>
        </w:pBdr>
        <w:spacing w:before="120" w:after="120"/>
      </w:pPr>
    </w:p>
    <w:p w14:paraId="09A2DDB8" w14:textId="77777777" w:rsidR="00E00DDE" w:rsidRDefault="00000000">
      <w:pPr>
        <w:spacing w:before="200" w:after="80"/>
      </w:pPr>
      <w:r>
        <w:rPr>
          <w:b/>
          <w:color w:val="1E3A5F"/>
          <w:sz w:val="30"/>
        </w:rPr>
        <w:t>9. Behavioural Support — What Works? (Cochrane Review 2021)</w:t>
      </w:r>
    </w:p>
    <w:p w14:paraId="48209D55" w14:textId="77777777" w:rsidR="00E00DDE" w:rsidRDefault="00000000">
      <w:pPr>
        <w:spacing w:before="40" w:after="120"/>
      </w:pPr>
      <w:r>
        <w:rPr>
          <w:color w:val="2C2C2C"/>
        </w:rPr>
        <w:t>The Cochrane Review on Behavioural Interventions for Smoking Cessation (March 2021) included 312 RCTs with 250,563 adult smokers measuring abstinence at ≥6 months.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E00DDE" w14:paraId="2B2FBB6D" w14:textId="77777777">
        <w:tc>
          <w:tcPr>
            <w:tcW w:w="4819" w:type="dxa"/>
            <w:shd w:val="clear" w:color="auto" w:fill="1E3A5F"/>
          </w:tcPr>
          <w:p w14:paraId="26409647" w14:textId="77777777" w:rsidR="00E00DDE" w:rsidRDefault="00E00DDE"/>
          <w:p w14:paraId="16D1F7D0" w14:textId="77777777" w:rsidR="00E00DDE" w:rsidRDefault="00000000">
            <w:pPr>
              <w:spacing w:before="60" w:after="60"/>
              <w:ind w:left="170"/>
            </w:pPr>
            <w:r>
              <w:rPr>
                <w:b/>
                <w:color w:val="FFFFFF"/>
                <w:sz w:val="20"/>
              </w:rPr>
              <w:t>Evidence Level</w:t>
            </w:r>
          </w:p>
        </w:tc>
        <w:tc>
          <w:tcPr>
            <w:tcW w:w="4819" w:type="dxa"/>
            <w:shd w:val="clear" w:color="auto" w:fill="1E3A5F"/>
          </w:tcPr>
          <w:p w14:paraId="101CAE1F" w14:textId="77777777" w:rsidR="00E00DDE" w:rsidRDefault="00E00DDE"/>
          <w:p w14:paraId="3750A0A5" w14:textId="77777777" w:rsidR="00E00DDE" w:rsidRDefault="00000000">
            <w:pPr>
              <w:spacing w:before="60" w:after="60"/>
              <w:ind w:left="170"/>
            </w:pPr>
            <w:r>
              <w:rPr>
                <w:b/>
                <w:color w:val="FFFFFF"/>
                <w:sz w:val="20"/>
              </w:rPr>
              <w:t>Finding</w:t>
            </w:r>
          </w:p>
        </w:tc>
      </w:tr>
      <w:tr w:rsidR="00E00DDE" w14:paraId="3340AD5C" w14:textId="77777777"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EBF5FB"/>
          </w:tcPr>
          <w:p w14:paraId="61360423" w14:textId="77777777" w:rsidR="00E00DDE" w:rsidRDefault="00E00DDE"/>
          <w:p w14:paraId="70498DC0" w14:textId="77777777" w:rsidR="00E00DDE" w:rsidRDefault="00000000">
            <w:pPr>
              <w:spacing w:before="80" w:after="80"/>
              <w:ind w:left="170"/>
            </w:pPr>
            <w:r>
              <w:rPr>
                <w:b/>
                <w:color w:val="1E3A5F"/>
                <w:sz w:val="20"/>
              </w:rPr>
              <w:t>HIGH CERTAINTY</w:t>
            </w:r>
          </w:p>
        </w:tc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EBF5FB"/>
          </w:tcPr>
          <w:p w14:paraId="50CFF330" w14:textId="77777777" w:rsidR="00E00DDE" w:rsidRDefault="00E00DDE"/>
          <w:p w14:paraId="54B15CC4" w14:textId="77777777" w:rsidR="00E00DDE" w:rsidRDefault="00000000">
            <w:pPr>
              <w:spacing w:before="80" w:after="80"/>
              <w:ind w:left="170"/>
            </w:pPr>
            <w:r>
              <w:rPr>
                <w:color w:val="2C2C2C"/>
                <w:sz w:val="20"/>
              </w:rPr>
              <w:t>Behavioural counselling (any form) significantly increases quit rates — 194 studies</w:t>
            </w:r>
          </w:p>
        </w:tc>
      </w:tr>
      <w:tr w:rsidR="00E00DDE" w14:paraId="263CB6AD" w14:textId="77777777"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FDFEFE"/>
          </w:tcPr>
          <w:p w14:paraId="53477A50" w14:textId="77777777" w:rsidR="00E00DDE" w:rsidRDefault="00E00DDE"/>
          <w:p w14:paraId="782C2B5F" w14:textId="77777777" w:rsidR="00E00DDE" w:rsidRDefault="00000000">
            <w:pPr>
              <w:spacing w:before="80" w:after="80"/>
              <w:ind w:left="170"/>
            </w:pPr>
            <w:r>
              <w:rPr>
                <w:b/>
                <w:color w:val="1E3A5F"/>
                <w:sz w:val="20"/>
              </w:rPr>
              <w:t>HIGH CERTAINTY</w:t>
            </w:r>
          </w:p>
        </w:tc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FDFEFE"/>
          </w:tcPr>
          <w:p w14:paraId="5188D352" w14:textId="77777777" w:rsidR="00E00DDE" w:rsidRDefault="00E00DDE"/>
          <w:p w14:paraId="091FDBB7" w14:textId="77777777" w:rsidR="00E00DDE" w:rsidRDefault="00000000">
            <w:pPr>
              <w:spacing w:before="80" w:after="80"/>
              <w:ind w:left="170"/>
            </w:pPr>
            <w:r>
              <w:rPr>
                <w:color w:val="2C2C2C"/>
                <w:sz w:val="20"/>
              </w:rPr>
              <w:t>Financial incentives (paying people to stop) are effective — 19 studies</w:t>
            </w:r>
          </w:p>
        </w:tc>
      </w:tr>
      <w:tr w:rsidR="00E00DDE" w14:paraId="18233D7D" w14:textId="77777777"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EBF5FB"/>
          </w:tcPr>
          <w:p w14:paraId="0238D15C" w14:textId="77777777" w:rsidR="00E00DDE" w:rsidRDefault="00E00DDE"/>
          <w:p w14:paraId="58C466F9" w14:textId="77777777" w:rsidR="00E00DDE" w:rsidRDefault="00000000">
            <w:pPr>
              <w:spacing w:before="80" w:after="80"/>
              <w:ind w:left="170"/>
            </w:pPr>
            <w:r>
              <w:rPr>
                <w:b/>
                <w:color w:val="1E3A5F"/>
                <w:sz w:val="20"/>
              </w:rPr>
              <w:t>MODERATE</w:t>
            </w:r>
          </w:p>
        </w:tc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EBF5FB"/>
          </w:tcPr>
          <w:p w14:paraId="01AF5347" w14:textId="77777777" w:rsidR="00E00DDE" w:rsidRDefault="00E00DDE"/>
          <w:p w14:paraId="3E1A75BA" w14:textId="77777777" w:rsidR="00E00DDE" w:rsidRDefault="00000000">
            <w:pPr>
              <w:spacing w:before="80" w:after="80"/>
              <w:ind w:left="170"/>
            </w:pPr>
            <w:r>
              <w:rPr>
                <w:color w:val="2C2C2C"/>
                <w:sz w:val="20"/>
              </w:rPr>
              <w:t>Text message interventions effective for long-term cessation vs no support</w:t>
            </w:r>
          </w:p>
        </w:tc>
      </w:tr>
    </w:tbl>
    <w:p w14:paraId="1AFA9185" w14:textId="77777777" w:rsidR="00E00DDE" w:rsidRDefault="00E00DDE">
      <w:pPr>
        <w:spacing w:after="120"/>
      </w:pPr>
    </w:p>
    <w:p w14:paraId="19AD5C22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Stop Smoking Services: free; specialist support + medication; 4x more likely to quit vs willpower alone</w:t>
      </w:r>
    </w:p>
    <w:p w14:paraId="2AB43C66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Financial incentives ARE effective — relevant for commissioners</w:t>
      </w:r>
    </w:p>
    <w:p w14:paraId="5F7DE9CC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Text message support: useful adjunct between contacts</w:t>
      </w:r>
    </w:p>
    <w:p w14:paraId="7C7F21A7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Unclear: hypnotherapy, exercise-based programmes, competition-based interventions</w:t>
      </w:r>
    </w:p>
    <w:p w14:paraId="343B0F1C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Hypnotherapy: evidence inconclusive — NOT recommended (and not free!)</w:t>
      </w:r>
    </w:p>
    <w:p w14:paraId="58BF805C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Acupuncture: systematic reviews suggest NOT effective — NOT recommended</w:t>
      </w:r>
    </w:p>
    <w:p w14:paraId="45AC256F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Allen Carr's Easyway: similar to behavioural support alone; bizarrely discourages medication — runs counter to NICE guidance; NOT recommended as standalone</w:t>
      </w:r>
    </w:p>
    <w:p w14:paraId="7824EF42" w14:textId="5FD5013D" w:rsidR="00582A8B" w:rsidRDefault="00582A8B" w:rsidP="00582A8B">
      <w:pPr>
        <w:pBdr>
          <w:bottom w:val="single" w:sz="6" w:space="1" w:color="2E86AB"/>
        </w:pBdr>
        <w:tabs>
          <w:tab w:val="left" w:pos="2355"/>
        </w:tabs>
        <w:spacing w:before="120" w:after="120"/>
      </w:pPr>
      <w:r>
        <w:tab/>
      </w:r>
    </w:p>
    <w:p w14:paraId="099D6EC9" w14:textId="77777777" w:rsidR="00582A8B" w:rsidRDefault="00582A8B">
      <w:r>
        <w:br w:type="page"/>
      </w:r>
    </w:p>
    <w:p w14:paraId="0C52CED2" w14:textId="77777777" w:rsidR="00E00DDE" w:rsidRDefault="00E00DDE" w:rsidP="00582A8B">
      <w:pPr>
        <w:pBdr>
          <w:bottom w:val="single" w:sz="6" w:space="1" w:color="2E86AB"/>
        </w:pBdr>
        <w:tabs>
          <w:tab w:val="left" w:pos="2355"/>
        </w:tabs>
        <w:spacing w:before="120" w:after="120"/>
      </w:pPr>
    </w:p>
    <w:p w14:paraId="3BFBB24F" w14:textId="77777777" w:rsidR="00E00DDE" w:rsidRDefault="00000000">
      <w:pPr>
        <w:spacing w:before="200" w:after="80"/>
      </w:pPr>
      <w:r>
        <w:rPr>
          <w:b/>
          <w:color w:val="1E3A5F"/>
          <w:sz w:val="30"/>
        </w:rPr>
        <w:t>10. Follow-Up Consultations and Relapse</w:t>
      </w:r>
    </w:p>
    <w:p w14:paraId="41F459F0" w14:textId="77777777" w:rsidR="00E00DDE" w:rsidRDefault="00000000">
      <w:pPr>
        <w:spacing w:before="80" w:after="60"/>
      </w:pPr>
      <w:r>
        <w:rPr>
          <w:b/>
          <w:color w:val="2E86AB"/>
          <w:sz w:val="26"/>
        </w:rPr>
        <w:t>At each follow-up visit, assess:</w:t>
      </w:r>
    </w:p>
    <w:p w14:paraId="562B32D7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Withdrawal symptoms — how is the patient managing them?</w:t>
      </w:r>
    </w:p>
    <w:p w14:paraId="524A3619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Smoking status — ideally validated by CO monitoring (CO &lt;10ppm = non-smoker)</w:t>
      </w:r>
    </w:p>
    <w:p w14:paraId="040A4EAD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Medication usage — correct dose? Using enough? Using correctly?</w:t>
      </w:r>
    </w:p>
    <w:p w14:paraId="1A79046A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Difficult situations encountered since last visit — how managed?</w:t>
      </w:r>
    </w:p>
    <w:p w14:paraId="2FAB0783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Forthcoming high-risk situations — plan ahead</w:t>
      </w:r>
    </w:p>
    <w:p w14:paraId="4F4BFE7C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Reinforce the 'not a puff' rule — even one cigarette resets the withdrawal cycle</w:t>
      </w:r>
    </w:p>
    <w:p w14:paraId="316EC958" w14:textId="77777777" w:rsidR="00E00DDE" w:rsidRDefault="00000000">
      <w:pPr>
        <w:pStyle w:val="ListBullet"/>
        <w:spacing w:before="20" w:after="40"/>
        <w:ind w:left="283"/>
      </w:pPr>
      <w:r>
        <w:rPr>
          <w:color w:val="2C2C2C"/>
          <w:sz w:val="21"/>
        </w:rPr>
        <w:t>Provide further medication supply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E00DDE" w14:paraId="596CFDC6" w14:textId="77777777">
        <w:tc>
          <w:tcPr>
            <w:tcW w:w="9638" w:type="dxa"/>
            <w:tcBorders>
              <w:top w:val="single" w:sz="4" w:space="0" w:color="E74C3C"/>
              <w:left w:val="single" w:sz="4" w:space="0" w:color="E74C3C"/>
              <w:bottom w:val="single" w:sz="4" w:space="0" w:color="E74C3C"/>
              <w:right w:val="single" w:sz="4" w:space="0" w:color="E74C3C"/>
            </w:tcBorders>
            <w:shd w:val="clear" w:color="auto" w:fill="FDEDEC"/>
          </w:tcPr>
          <w:p w14:paraId="022EF6D6" w14:textId="77777777" w:rsidR="00E00DDE" w:rsidRDefault="00E00DDE"/>
          <w:p w14:paraId="5EC01641" w14:textId="77777777" w:rsidR="00E00DDE" w:rsidRDefault="00000000">
            <w:pPr>
              <w:spacing w:before="100" w:after="60"/>
            </w:pPr>
            <w:r>
              <w:rPr>
                <w:b/>
                <w:color w:val="922B21"/>
                <w:sz w:val="23"/>
              </w:rPr>
              <w:t>⚡ The '6-Month Wait' is a MYTH</w:t>
            </w:r>
          </w:p>
          <w:p w14:paraId="0A22A365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There is NO mandatory waiting period between quit attempts</w:t>
            </w:r>
          </w:p>
          <w:p w14:paraId="6DE313C2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Up to 70% of patients return to smoking within a year — smoking is a chronic relapsing addiction</w:t>
            </w:r>
          </w:p>
          <w:p w14:paraId="3B79F0EA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Average: ~30 attempts before permanent cessation</w:t>
            </w:r>
          </w:p>
          <w:p w14:paraId="501C092A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If motivated and ready: support re-attempts as soon as the patient is prepared</w:t>
            </w:r>
          </w:p>
          <w:p w14:paraId="5E986706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Adequate reflection time is helpful — ask what led to relapse and what they'll do differently</w:t>
            </w:r>
          </w:p>
          <w:p w14:paraId="17B5380F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Always offer behavioural support + medication with every new attempt</w:t>
            </w:r>
          </w:p>
          <w:p w14:paraId="1E3459FD" w14:textId="77777777" w:rsidR="00E00DDE" w:rsidRDefault="00E00DDE">
            <w:pPr>
              <w:spacing w:after="100"/>
            </w:pPr>
          </w:p>
        </w:tc>
      </w:tr>
    </w:tbl>
    <w:p w14:paraId="45507DFB" w14:textId="77777777" w:rsidR="00E00DDE" w:rsidRDefault="00E00DDE">
      <w:pPr>
        <w:spacing w:after="100"/>
      </w:pPr>
    </w:p>
    <w:p w14:paraId="3BFDD2FC" w14:textId="77777777" w:rsidR="00E00DDE" w:rsidRDefault="00E00DDE">
      <w:pPr>
        <w:pBdr>
          <w:bottom w:val="single" w:sz="6" w:space="1" w:color="2E86AB"/>
        </w:pBdr>
        <w:spacing w:before="120" w:after="120"/>
      </w:pPr>
    </w:p>
    <w:p w14:paraId="1393EE5B" w14:textId="77777777" w:rsidR="00E00DDE" w:rsidRDefault="00000000">
      <w:pPr>
        <w:spacing w:before="200" w:after="80"/>
      </w:pPr>
      <w:r>
        <w:rPr>
          <w:b/>
          <w:color w:val="6C3483"/>
          <w:sz w:val="30"/>
        </w:rPr>
        <w:t>AKT Exam Pearls 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E00DDE" w14:paraId="4345F0AA" w14:textId="77777777">
        <w:tc>
          <w:tcPr>
            <w:tcW w:w="9638" w:type="dxa"/>
            <w:tcBorders>
              <w:top w:val="single" w:sz="4" w:space="0" w:color="7D3C98"/>
              <w:left w:val="single" w:sz="4" w:space="0" w:color="7D3C98"/>
              <w:bottom w:val="single" w:sz="4" w:space="0" w:color="7D3C98"/>
              <w:right w:val="single" w:sz="4" w:space="0" w:color="7D3C98"/>
            </w:tcBorders>
            <w:shd w:val="clear" w:color="auto" w:fill="EDE0F9"/>
          </w:tcPr>
          <w:p w14:paraId="2D2BE69C" w14:textId="77777777" w:rsidR="00E00DDE" w:rsidRDefault="00E00DDE"/>
          <w:p w14:paraId="083AC871" w14:textId="77777777" w:rsidR="00E00DDE" w:rsidRDefault="00000000">
            <w:pPr>
              <w:spacing w:before="100" w:after="60"/>
            </w:pPr>
            <w:r>
              <w:rPr>
                <w:b/>
                <w:color w:val="4A235A"/>
                <w:sz w:val="23"/>
              </w:rPr>
              <w:t>🟣 AKT Focus — High-Yield Facts</w:t>
            </w:r>
          </w:p>
          <w:p w14:paraId="52283B64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NICE NG209 (Feb 2025): FOUR options — NRT, varenicline, cytisinicline, bupropion</w:t>
            </w:r>
          </w:p>
          <w:p w14:paraId="6C7B48D6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b/>
                <w:color w:val="1A1A2E"/>
                <w:sz w:val="20"/>
              </w:rPr>
              <w:t xml:space="preserve">Varenicline dosing: </w:t>
            </w:r>
            <w:r>
              <w:rPr>
                <w:color w:val="1A1A2E"/>
                <w:sz w:val="20"/>
              </w:rPr>
              <w:t>Day 1-3: 500mcg OD → Day 4-7: 500mcg BD → Day 8+: 1mg BD</w:t>
            </w:r>
          </w:p>
          <w:p w14:paraId="50A62DF5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b/>
                <w:color w:val="1A1A2E"/>
                <w:sz w:val="20"/>
              </w:rPr>
              <w:t xml:space="preserve">Cytisinicline: </w:t>
            </w:r>
            <w:r>
              <w:rPr>
                <w:color w:val="1A1A2E"/>
                <w:sz w:val="20"/>
              </w:rPr>
              <w:t>1.5mg tablets; quit date by Day 5; NOT for &gt;65 or &lt;18 or CVS contraindications</w:t>
            </w:r>
          </w:p>
          <w:p w14:paraId="123DDF5B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b/>
                <w:color w:val="1A1A2E"/>
                <w:sz w:val="20"/>
              </w:rPr>
              <w:t xml:space="preserve">Bupropion: </w:t>
            </w:r>
            <w:r>
              <w:rPr>
                <w:color w:val="1A1A2E"/>
                <w:sz w:val="20"/>
              </w:rPr>
              <w:t>ABSOLUTE CI = any history of seizures; 150mg OD × 6d, then 150mg BD</w:t>
            </w:r>
          </w:p>
          <w:p w14:paraId="6AAE673E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NRT is the ONLY medication in pregnancy — varenicline, cytisinicline, and bupropion all contraindicated</w:t>
            </w:r>
          </w:p>
          <w:p w14:paraId="3FBBB6C6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Combination NRT (patch + fast-acting) is superior to single NRT</w:t>
            </w:r>
          </w:p>
          <w:p w14:paraId="1F5FB06F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CO monitoring: CO &lt;10ppm = confirmed non-smoker</w:t>
            </w:r>
          </w:p>
          <w:p w14:paraId="35005862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No mandatory waiting period between quit attempts — the 6-month rule is a myth</w:t>
            </w:r>
          </w:p>
          <w:p w14:paraId="694B7B12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Varenicline: removed 2021 (nitrosamines); generic back autumn 2024; Champix July 2025</w:t>
            </w:r>
          </w:p>
          <w:p w14:paraId="0FBD48B8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Financial incentives: HIGH-CERTAINTY Cochrane evidence that they work</w:t>
            </w:r>
          </w:p>
          <w:p w14:paraId="6B9B72E3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Cytisinicline: same mechanism as varenicline (α4β2 partial agonist); derived from laburnum</w:t>
            </w:r>
          </w:p>
          <w:p w14:paraId="45936992" w14:textId="77777777" w:rsidR="00E00DDE" w:rsidRDefault="00E00DDE">
            <w:pPr>
              <w:spacing w:after="100"/>
            </w:pPr>
          </w:p>
        </w:tc>
      </w:tr>
    </w:tbl>
    <w:p w14:paraId="6D2E6F70" w14:textId="77777777" w:rsidR="00E00DDE" w:rsidRDefault="00E00DDE">
      <w:pPr>
        <w:spacing w:after="100"/>
      </w:pPr>
    </w:p>
    <w:p w14:paraId="2C2D3303" w14:textId="77777777" w:rsidR="00582A8B" w:rsidRDefault="00582A8B">
      <w:pPr>
        <w:rPr>
          <w:b/>
          <w:color w:val="0E6655"/>
          <w:sz w:val="30"/>
        </w:rPr>
      </w:pPr>
      <w:r>
        <w:rPr>
          <w:b/>
          <w:color w:val="0E6655"/>
          <w:sz w:val="30"/>
        </w:rPr>
        <w:br w:type="page"/>
      </w:r>
    </w:p>
    <w:p w14:paraId="2976190B" w14:textId="77AFBE87" w:rsidR="00E00DDE" w:rsidRDefault="00000000">
      <w:pPr>
        <w:spacing w:before="200" w:after="80"/>
      </w:pPr>
      <w:r>
        <w:rPr>
          <w:b/>
          <w:color w:val="0E6655"/>
          <w:sz w:val="30"/>
        </w:rPr>
        <w:lastRenderedPageBreak/>
        <w:t>SCA Exam Pearls 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E00DDE" w14:paraId="626CCE1C" w14:textId="77777777">
        <w:tc>
          <w:tcPr>
            <w:tcW w:w="9638" w:type="dxa"/>
            <w:tcBorders>
              <w:top w:val="single" w:sz="4" w:space="0" w:color="1ABC9C"/>
              <w:left w:val="single" w:sz="4" w:space="0" w:color="1ABC9C"/>
              <w:bottom w:val="single" w:sz="4" w:space="0" w:color="1ABC9C"/>
              <w:right w:val="single" w:sz="4" w:space="0" w:color="1ABC9C"/>
            </w:tcBorders>
            <w:shd w:val="clear" w:color="auto" w:fill="D1F2EB"/>
          </w:tcPr>
          <w:p w14:paraId="32AB907E" w14:textId="77777777" w:rsidR="00E00DDE" w:rsidRDefault="00E00DDE"/>
          <w:p w14:paraId="7AD2EEE9" w14:textId="77777777" w:rsidR="00E00DDE" w:rsidRDefault="00000000">
            <w:pPr>
              <w:spacing w:before="100" w:after="60"/>
            </w:pPr>
            <w:r>
              <w:rPr>
                <w:b/>
                <w:color w:val="0B5345"/>
                <w:sz w:val="23"/>
              </w:rPr>
              <w:t>🩵 SCA Focus — Consultation Skills</w:t>
            </w:r>
          </w:p>
          <w:p w14:paraId="0924693E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ICE: explore Ideas (why haven't they stopped?), Concerns (about withdrawal, weight, medication), Expectations</w:t>
            </w:r>
          </w:p>
          <w:p w14:paraId="54E62818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Shared decision-making: 'There are a few options — would you like to go through them together?'</w:t>
            </w:r>
          </w:p>
          <w:p w14:paraId="1C9CFFE1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Safety-netting on varenicline/bupropion: 'If you notice changes in mood, anxiety, or feel very low, stop the tablets and come back and see me — or go to A&amp;E if urgent'</w:t>
            </w:r>
          </w:p>
          <w:p w14:paraId="4E112870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Address weight gain proactively: 'Most people gain a small amount of weight — but the health benefits of stopping are far more important'</w:t>
            </w:r>
          </w:p>
          <w:p w14:paraId="03493864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Reassure after relapse: 'Many people find it takes several attempts — it doesn't mean you've failed. What do you think led you back to smoking?'</w:t>
            </w:r>
          </w:p>
          <w:p w14:paraId="2B0516CB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E-cigarettes: 'Vaping is far less harmful than smoking. If it helps you stop completely, it's worth considering.'</w:t>
            </w:r>
          </w:p>
          <w:p w14:paraId="7D4821A4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Motivational interviewing: don't offer medication to someone in pre-contemplation — assess readiness first</w:t>
            </w:r>
          </w:p>
          <w:p w14:paraId="533F94C0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SCA pitfall: not referring to Stop Smoking Service — always offer the referral</w:t>
            </w:r>
          </w:p>
          <w:p w14:paraId="493A7379" w14:textId="77777777" w:rsidR="00E00DDE" w:rsidRDefault="00E00DDE">
            <w:pPr>
              <w:spacing w:after="100"/>
            </w:pPr>
          </w:p>
        </w:tc>
      </w:tr>
    </w:tbl>
    <w:p w14:paraId="032BEA42" w14:textId="77777777" w:rsidR="00E00DDE" w:rsidRDefault="00E00DDE">
      <w:pPr>
        <w:spacing w:after="100"/>
      </w:pPr>
    </w:p>
    <w:p w14:paraId="46C69089" w14:textId="77777777" w:rsidR="00E00DDE" w:rsidRDefault="00000000">
      <w:pPr>
        <w:spacing w:before="200" w:after="80"/>
      </w:pPr>
      <w:r>
        <w:rPr>
          <w:b/>
          <w:color w:val="922B21"/>
          <w:sz w:val="30"/>
        </w:rPr>
        <w:t>🔴 Red Flags — Safety-Critical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E00DDE" w14:paraId="6F2A8B9D" w14:textId="77777777">
        <w:tc>
          <w:tcPr>
            <w:tcW w:w="9638" w:type="dxa"/>
            <w:tcBorders>
              <w:top w:val="single" w:sz="4" w:space="0" w:color="E74C3C"/>
              <w:left w:val="single" w:sz="4" w:space="0" w:color="E74C3C"/>
              <w:bottom w:val="single" w:sz="4" w:space="0" w:color="E74C3C"/>
              <w:right w:val="single" w:sz="4" w:space="0" w:color="E74C3C"/>
            </w:tcBorders>
            <w:shd w:val="clear" w:color="auto" w:fill="FDEDEC"/>
          </w:tcPr>
          <w:p w14:paraId="4AA3B834" w14:textId="77777777" w:rsidR="00E00DDE" w:rsidRDefault="00E00DDE"/>
          <w:p w14:paraId="05DE8AF8" w14:textId="77777777" w:rsidR="00E00DDE" w:rsidRDefault="00000000">
            <w:pPr>
              <w:spacing w:before="100" w:after="60"/>
            </w:pPr>
            <w:r>
              <w:rPr>
                <w:b/>
                <w:color w:val="922B21"/>
                <w:sz w:val="23"/>
              </w:rPr>
              <w:t>🔴 Red Flags — Act Immediately</w:t>
            </w:r>
          </w:p>
          <w:p w14:paraId="45860B09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Worsening depression, suicidal ideation, or significant behaviour change on varenicline or bupropion → stop medication immediately; urgent review</w:t>
            </w:r>
          </w:p>
          <w:p w14:paraId="426221ED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Seizure on bupropion → stop immediately; absolute contraindication to future bupropion use</w:t>
            </w:r>
          </w:p>
          <w:p w14:paraId="49BC49C7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Chest pain or cardiovascular event during cessation → urgent cardiac assessment; review medication</w:t>
            </w:r>
          </w:p>
          <w:p w14:paraId="57673879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Hypersensitivity reaction to any cessation medication → stop immediately</w:t>
            </w:r>
          </w:p>
          <w:p w14:paraId="2DEE6A5A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Pregnancy discovered during varenicline/bupropion course → stop immediately; switch to NRT only</w:t>
            </w:r>
          </w:p>
          <w:p w14:paraId="2E72C3DB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Severe persistent nausea/vomiting on varenicline → review; try with food; consider dose reduction</w:t>
            </w:r>
          </w:p>
          <w:p w14:paraId="03D07524" w14:textId="77777777" w:rsidR="00E00DDE" w:rsidRDefault="00E00DDE">
            <w:pPr>
              <w:spacing w:after="100"/>
            </w:pPr>
          </w:p>
        </w:tc>
      </w:tr>
    </w:tbl>
    <w:p w14:paraId="4E3B0650" w14:textId="77777777" w:rsidR="00E00DDE" w:rsidRDefault="00E00DDE">
      <w:pPr>
        <w:spacing w:after="100"/>
      </w:pPr>
    </w:p>
    <w:p w14:paraId="496E03B4" w14:textId="77777777" w:rsidR="00E00DDE" w:rsidRDefault="00000000">
      <w:pPr>
        <w:spacing w:before="200" w:after="80"/>
      </w:pPr>
      <w:r>
        <w:rPr>
          <w:b/>
          <w:color w:val="1E3A5F"/>
          <w:sz w:val="30"/>
        </w:rPr>
        <w:t>⭐ Top 10 Tips for GP Trainees</w:t>
      </w:r>
    </w:p>
    <w:p w14:paraId="1C90E5A9" w14:textId="77777777" w:rsidR="00E00DDE" w:rsidRDefault="00000000">
      <w:pPr>
        <w:pStyle w:val="ListBullet"/>
        <w:spacing w:before="20" w:after="40"/>
        <w:ind w:left="283"/>
      </w:pPr>
      <w:r>
        <w:rPr>
          <w:b/>
          <w:color w:val="2C2C2C"/>
          <w:sz w:val="21"/>
        </w:rPr>
        <w:t xml:space="preserve">1. Combination NRT is first-line </w:t>
      </w:r>
      <w:r>
        <w:rPr>
          <w:color w:val="2C2C2C"/>
          <w:sz w:val="21"/>
        </w:rPr>
        <w:t>— patch + fast-acting product. Safe including in most comorbidities.</w:t>
      </w:r>
    </w:p>
    <w:p w14:paraId="7DC752FE" w14:textId="77777777" w:rsidR="00E00DDE" w:rsidRDefault="00000000">
      <w:pPr>
        <w:pStyle w:val="ListBullet"/>
        <w:spacing w:before="20" w:after="40"/>
        <w:ind w:left="283"/>
      </w:pPr>
      <w:r>
        <w:rPr>
          <w:b/>
          <w:color w:val="2C2C2C"/>
          <w:sz w:val="21"/>
        </w:rPr>
        <w:t xml:space="preserve">2. Start on the HIGHEST NRT dose </w:t>
      </w:r>
      <w:r>
        <w:rPr>
          <w:color w:val="2C2C2C"/>
          <w:sz w:val="21"/>
        </w:rPr>
        <w:t>— most failures are from under-dosing or stopping too soon.</w:t>
      </w:r>
    </w:p>
    <w:p w14:paraId="62C7C8DE" w14:textId="77777777" w:rsidR="00E00DDE" w:rsidRDefault="00000000">
      <w:pPr>
        <w:pStyle w:val="ListBullet"/>
        <w:spacing w:before="20" w:after="40"/>
        <w:ind w:left="283"/>
      </w:pPr>
      <w:r>
        <w:rPr>
          <w:b/>
          <w:color w:val="2C2C2C"/>
          <w:sz w:val="21"/>
        </w:rPr>
        <w:t xml:space="preserve">3. Varenicline is back </w:t>
      </w:r>
      <w:r>
        <w:rPr>
          <w:color w:val="2C2C2C"/>
          <w:sz w:val="21"/>
        </w:rPr>
        <w:t>— generic available from autumn 2024; Champix relaunched July 2025. Most effective single drug.</w:t>
      </w:r>
    </w:p>
    <w:p w14:paraId="2571CA63" w14:textId="77777777" w:rsidR="00E00DDE" w:rsidRDefault="00000000">
      <w:pPr>
        <w:pStyle w:val="ListBullet"/>
        <w:spacing w:before="20" w:after="40"/>
        <w:ind w:left="283"/>
      </w:pPr>
      <w:r>
        <w:rPr>
          <w:b/>
          <w:color w:val="2C2C2C"/>
          <w:sz w:val="21"/>
        </w:rPr>
        <w:t xml:space="preserve">4. Cytisinicline is new (NICE Feb 2025) </w:t>
      </w:r>
      <w:r>
        <w:rPr>
          <w:color w:val="2C2C2C"/>
          <w:sz w:val="21"/>
        </w:rPr>
        <w:t>— same mechanism as varenicline; not for &gt;65 or &lt;18; quit by Day 5.</w:t>
      </w:r>
    </w:p>
    <w:p w14:paraId="196DF45C" w14:textId="77777777" w:rsidR="00E00DDE" w:rsidRDefault="00000000">
      <w:pPr>
        <w:pStyle w:val="ListBullet"/>
        <w:spacing w:before="20" w:after="40"/>
        <w:ind w:left="283"/>
      </w:pPr>
      <w:r>
        <w:rPr>
          <w:b/>
          <w:color w:val="2C2C2C"/>
          <w:sz w:val="21"/>
        </w:rPr>
        <w:t xml:space="preserve">5. Behavioural support + medication = best outcome </w:t>
      </w:r>
      <w:r>
        <w:rPr>
          <w:color w:val="2C2C2C"/>
          <w:sz w:val="21"/>
        </w:rPr>
        <w:t>— always refer to Stop Smoking Service.</w:t>
      </w:r>
    </w:p>
    <w:p w14:paraId="2A443056" w14:textId="77777777" w:rsidR="00E00DDE" w:rsidRDefault="00000000">
      <w:pPr>
        <w:pStyle w:val="ListBullet"/>
        <w:spacing w:before="20" w:after="40"/>
        <w:ind w:left="283"/>
      </w:pPr>
      <w:r>
        <w:rPr>
          <w:b/>
          <w:color w:val="2C2C2C"/>
          <w:sz w:val="21"/>
        </w:rPr>
        <w:t xml:space="preserve">6. NRT only in pregnancy </w:t>
      </w:r>
      <w:r>
        <w:rPr>
          <w:color w:val="2C2C2C"/>
          <w:sz w:val="21"/>
        </w:rPr>
        <w:t>— no other cessation drug is safe in pregnancy.</w:t>
      </w:r>
    </w:p>
    <w:p w14:paraId="14FF0E97" w14:textId="77777777" w:rsidR="00E00DDE" w:rsidRDefault="00000000">
      <w:pPr>
        <w:pStyle w:val="ListBullet"/>
        <w:spacing w:before="20" w:after="40"/>
        <w:ind w:left="283"/>
      </w:pPr>
      <w:r>
        <w:rPr>
          <w:b/>
          <w:color w:val="2C2C2C"/>
          <w:sz w:val="21"/>
        </w:rPr>
        <w:t xml:space="preserve">7. The 6-month wait is a myth </w:t>
      </w:r>
      <w:r>
        <w:rPr>
          <w:color w:val="2C2C2C"/>
          <w:sz w:val="21"/>
        </w:rPr>
        <w:t>— support re-attempts as soon as the patient is motivated.</w:t>
      </w:r>
    </w:p>
    <w:p w14:paraId="17DF64F0" w14:textId="77777777" w:rsidR="00E00DDE" w:rsidRDefault="00000000">
      <w:pPr>
        <w:pStyle w:val="ListBullet"/>
        <w:spacing w:before="20" w:after="40"/>
        <w:ind w:left="283"/>
      </w:pPr>
      <w:r>
        <w:rPr>
          <w:b/>
          <w:color w:val="2C2C2C"/>
          <w:sz w:val="21"/>
        </w:rPr>
        <w:t xml:space="preserve">8. CO monitoring </w:t>
      </w:r>
      <w:r>
        <w:rPr>
          <w:color w:val="2C2C2C"/>
          <w:sz w:val="21"/>
        </w:rPr>
        <w:t>— use at follow-up visits; CO &lt;10ppm confirms non-smoker.</w:t>
      </w:r>
    </w:p>
    <w:p w14:paraId="703019DC" w14:textId="77777777" w:rsidR="00E00DDE" w:rsidRDefault="00000000">
      <w:pPr>
        <w:pStyle w:val="ListBullet"/>
        <w:spacing w:before="20" w:after="40"/>
        <w:ind w:left="283"/>
      </w:pPr>
      <w:r>
        <w:rPr>
          <w:b/>
          <w:color w:val="2C2C2C"/>
          <w:sz w:val="21"/>
        </w:rPr>
        <w:t xml:space="preserve">9. E-cigarettes are NICE-supported </w:t>
      </w:r>
      <w:r>
        <w:rPr>
          <w:color w:val="2C2C2C"/>
          <w:sz w:val="21"/>
        </w:rPr>
        <w:t>per NG209 2025 — but not for non-smokers or pregnant women.</w:t>
      </w:r>
    </w:p>
    <w:p w14:paraId="005D027D" w14:textId="77777777" w:rsidR="00E00DDE" w:rsidRDefault="00000000">
      <w:pPr>
        <w:pStyle w:val="ListBullet"/>
        <w:spacing w:before="20" w:after="40"/>
        <w:ind w:left="283"/>
      </w:pPr>
      <w:r>
        <w:rPr>
          <w:b/>
          <w:color w:val="2C2C2C"/>
          <w:sz w:val="21"/>
        </w:rPr>
        <w:t xml:space="preserve">10. Don't underestimate nicotine dependence </w:t>
      </w:r>
      <w:r>
        <w:rPr>
          <w:color w:val="2C2C2C"/>
          <w:sz w:val="21"/>
        </w:rPr>
        <w:t>— it is a chronic relapsing addiction requiring ongoing support.</w:t>
      </w:r>
    </w:p>
    <w:p w14:paraId="7F4992FB" w14:textId="77777777" w:rsidR="00582A8B" w:rsidRDefault="00582A8B">
      <w:pPr>
        <w:rPr>
          <w:b/>
          <w:color w:val="7D6608"/>
          <w:sz w:val="30"/>
        </w:rPr>
      </w:pPr>
      <w:r>
        <w:rPr>
          <w:b/>
          <w:color w:val="7D6608"/>
          <w:sz w:val="30"/>
        </w:rPr>
        <w:br w:type="page"/>
      </w:r>
    </w:p>
    <w:p w14:paraId="0B3528BD" w14:textId="5D0AB834" w:rsidR="00E00DDE" w:rsidRDefault="00000000">
      <w:pPr>
        <w:spacing w:before="200" w:after="80"/>
      </w:pPr>
      <w:r>
        <w:rPr>
          <w:b/>
          <w:color w:val="7D6608"/>
          <w:sz w:val="30"/>
        </w:rPr>
        <w:lastRenderedPageBreak/>
        <w:t>🟠 Common Pitfalls to Avoid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E00DDE" w14:paraId="2FEDC1C3" w14:textId="77777777">
        <w:tc>
          <w:tcPr>
            <w:tcW w:w="9638" w:type="dxa"/>
            <w:tcBorders>
              <w:top w:val="single" w:sz="4" w:space="0" w:color="F4D03F"/>
              <w:left w:val="single" w:sz="4" w:space="0" w:color="F4D03F"/>
              <w:bottom w:val="single" w:sz="4" w:space="0" w:color="F4D03F"/>
              <w:right w:val="single" w:sz="4" w:space="0" w:color="F4D03F"/>
            </w:tcBorders>
            <w:shd w:val="clear" w:color="auto" w:fill="FEF9E7"/>
          </w:tcPr>
          <w:p w14:paraId="11689E66" w14:textId="77777777" w:rsidR="00E00DDE" w:rsidRDefault="00E00DDE"/>
          <w:p w14:paraId="759178B2" w14:textId="77777777" w:rsidR="00E00DDE" w:rsidRDefault="00000000">
            <w:pPr>
              <w:spacing w:before="100" w:after="60"/>
            </w:pPr>
            <w:r>
              <w:rPr>
                <w:b/>
                <w:color w:val="7D6608"/>
                <w:sz w:val="23"/>
              </w:rPr>
              <w:t>🟠 Common Trainee Errors</w:t>
            </w:r>
          </w:p>
          <w:p w14:paraId="68D04AD2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Prescribing single NRT when combination is clearly indicated</w:t>
            </w:r>
          </w:p>
          <w:p w14:paraId="19D35027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Prescribing inadequate NRT dose — 'start low, go slow' is WRONG for NRT; start HIGH</w:t>
            </w:r>
          </w:p>
          <w:p w14:paraId="5AB6B74A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Telling patients they must wait 6 months after a failed attempt — this is a myth</w:t>
            </w:r>
          </w:p>
          <w:p w14:paraId="2EA28AE5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Forgetting to refer to Stop Smoking Service — this is the key component</w:t>
            </w:r>
          </w:p>
          <w:p w14:paraId="2CB73415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Using varenicline OR bupropion in pregnancy — both are CONTRAINDICATED; use NRT only</w:t>
            </w:r>
          </w:p>
          <w:p w14:paraId="0B55C8A6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Forgetting cytisinicline as a new option (NICE NG209, Feb 2025)</w:t>
            </w:r>
          </w:p>
          <w:p w14:paraId="74FF3290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Prescribing bupropion to any patient with a history of seizures — absolute contraindication</w:t>
            </w:r>
          </w:p>
          <w:p w14:paraId="7D43A93B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Not monitoring for psychiatric symptoms on varenicline/bupropion in at-risk patients</w:t>
            </w:r>
          </w:p>
          <w:p w14:paraId="27C0446E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Saying e-cigarettes are 'safe' — they are 'substantially less harmful', not harmless</w:t>
            </w:r>
          </w:p>
          <w:p w14:paraId="160DFD84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Missing the AKT fact: varenicline AND cytisinicline are both contraindicated in pregnancy AND under-18s</w:t>
            </w:r>
          </w:p>
          <w:p w14:paraId="31C3645B" w14:textId="77777777" w:rsidR="00E00DDE" w:rsidRDefault="00E00DDE">
            <w:pPr>
              <w:spacing w:after="100"/>
            </w:pPr>
          </w:p>
        </w:tc>
      </w:tr>
    </w:tbl>
    <w:p w14:paraId="4F2F335A" w14:textId="77777777" w:rsidR="00E00DDE" w:rsidRDefault="00E00DDE">
      <w:pPr>
        <w:spacing w:after="100"/>
      </w:pPr>
    </w:p>
    <w:p w14:paraId="60D1D18B" w14:textId="77777777" w:rsidR="00E00DDE" w:rsidRDefault="00E00DDE">
      <w:pPr>
        <w:pBdr>
          <w:bottom w:val="single" w:sz="6" w:space="1" w:color="2E86AB"/>
        </w:pBdr>
        <w:spacing w:before="120" w:after="120"/>
      </w:pPr>
    </w:p>
    <w:p w14:paraId="6C60B722" w14:textId="77777777" w:rsidR="00E00DDE" w:rsidRDefault="00000000">
      <w:pPr>
        <w:spacing w:before="200" w:after="80"/>
      </w:pPr>
      <w:r>
        <w:rPr>
          <w:b/>
          <w:color w:val="1E3A5F"/>
          <w:sz w:val="30"/>
        </w:rPr>
        <w:t>⚡ Quick Recall — High-Yield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E00DDE" w14:paraId="7ED2321C" w14:textId="77777777"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EBF5FB"/>
          </w:tcPr>
          <w:p w14:paraId="555E73EF" w14:textId="77777777" w:rsidR="00E00DDE" w:rsidRPr="00582A8B" w:rsidRDefault="00E00DDE">
            <w:pPr>
              <w:rPr>
                <w:lang w:val="fr-FR"/>
              </w:rPr>
            </w:pPr>
          </w:p>
          <w:p w14:paraId="239276E9" w14:textId="77777777" w:rsidR="00E00DDE" w:rsidRPr="00582A8B" w:rsidRDefault="00000000">
            <w:pPr>
              <w:spacing w:before="80" w:after="80"/>
              <w:ind w:left="170"/>
              <w:rPr>
                <w:lang w:val="fr-FR"/>
              </w:rPr>
            </w:pPr>
            <w:proofErr w:type="gramStart"/>
            <w:r w:rsidRPr="00582A8B">
              <w:rPr>
                <w:color w:val="1E3A5F"/>
                <w:sz w:val="20"/>
                <w:lang w:val="fr-FR"/>
              </w:rPr>
              <w:t>✓  4</w:t>
            </w:r>
            <w:proofErr w:type="gramEnd"/>
            <w:r w:rsidRPr="00582A8B">
              <w:rPr>
                <w:color w:val="1E3A5F"/>
                <w:sz w:val="20"/>
                <w:lang w:val="fr-FR"/>
              </w:rPr>
              <w:t xml:space="preserve"> </w:t>
            </w:r>
            <w:proofErr w:type="gramStart"/>
            <w:r w:rsidRPr="00582A8B">
              <w:rPr>
                <w:color w:val="1E3A5F"/>
                <w:sz w:val="20"/>
                <w:lang w:val="fr-FR"/>
              </w:rPr>
              <w:t>options:</w:t>
            </w:r>
            <w:proofErr w:type="gramEnd"/>
            <w:r w:rsidRPr="00582A8B">
              <w:rPr>
                <w:color w:val="1E3A5F"/>
                <w:sz w:val="20"/>
                <w:lang w:val="fr-FR"/>
              </w:rPr>
              <w:t xml:space="preserve"> NRT, </w:t>
            </w:r>
            <w:proofErr w:type="spellStart"/>
            <w:r w:rsidRPr="00582A8B">
              <w:rPr>
                <w:color w:val="1E3A5F"/>
                <w:sz w:val="20"/>
                <w:lang w:val="fr-FR"/>
              </w:rPr>
              <w:t>varenicline</w:t>
            </w:r>
            <w:proofErr w:type="spellEnd"/>
            <w:r w:rsidRPr="00582A8B">
              <w:rPr>
                <w:color w:val="1E3A5F"/>
                <w:sz w:val="20"/>
                <w:lang w:val="fr-FR"/>
              </w:rPr>
              <w:t xml:space="preserve">, cytisine, </w:t>
            </w:r>
            <w:proofErr w:type="spellStart"/>
            <w:r w:rsidRPr="00582A8B">
              <w:rPr>
                <w:color w:val="1E3A5F"/>
                <w:sz w:val="20"/>
                <w:lang w:val="fr-FR"/>
              </w:rPr>
              <w:t>bupropion</w:t>
            </w:r>
            <w:proofErr w:type="spellEnd"/>
          </w:p>
        </w:tc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EBF5FB"/>
          </w:tcPr>
          <w:p w14:paraId="44E88F60" w14:textId="77777777" w:rsidR="00E00DDE" w:rsidRPr="00582A8B" w:rsidRDefault="00E00DDE">
            <w:pPr>
              <w:rPr>
                <w:lang w:val="fr-FR"/>
              </w:rPr>
            </w:pPr>
          </w:p>
          <w:p w14:paraId="28D141B3" w14:textId="77777777" w:rsidR="00E00DDE" w:rsidRDefault="00000000">
            <w:pPr>
              <w:spacing w:before="80" w:after="80"/>
              <w:ind w:left="170"/>
            </w:pPr>
            <w:proofErr w:type="gramStart"/>
            <w:r>
              <w:rPr>
                <w:color w:val="1E3A5F"/>
                <w:sz w:val="20"/>
              </w:rPr>
              <w:t>✓  Combination</w:t>
            </w:r>
            <w:proofErr w:type="gramEnd"/>
            <w:r>
              <w:rPr>
                <w:color w:val="1E3A5F"/>
                <w:sz w:val="20"/>
              </w:rPr>
              <w:t xml:space="preserve"> NRT = patch + fast-acting</w:t>
            </w:r>
          </w:p>
        </w:tc>
      </w:tr>
      <w:tr w:rsidR="00E00DDE" w14:paraId="23D8D664" w14:textId="77777777"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FDFEFE"/>
          </w:tcPr>
          <w:p w14:paraId="60D96451" w14:textId="77777777" w:rsidR="00E00DDE" w:rsidRDefault="00E00DDE"/>
          <w:p w14:paraId="0EEA52EB" w14:textId="77777777" w:rsidR="00E00DDE" w:rsidRDefault="00000000">
            <w:pPr>
              <w:spacing w:before="80" w:after="80"/>
              <w:ind w:left="170"/>
            </w:pPr>
            <w:r>
              <w:rPr>
                <w:color w:val="1E3A5F"/>
                <w:sz w:val="20"/>
              </w:rPr>
              <w:t>✓  Always use highest NRT dose</w:t>
            </w:r>
          </w:p>
        </w:tc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FDFEFE"/>
          </w:tcPr>
          <w:p w14:paraId="4E7BAC87" w14:textId="77777777" w:rsidR="00E00DDE" w:rsidRDefault="00E00DDE"/>
          <w:p w14:paraId="7996A8DB" w14:textId="77777777" w:rsidR="00E00DDE" w:rsidRDefault="00000000">
            <w:pPr>
              <w:spacing w:before="80" w:after="80"/>
              <w:ind w:left="170"/>
            </w:pPr>
            <w:r>
              <w:rPr>
                <w:color w:val="1E3A5F"/>
                <w:sz w:val="20"/>
              </w:rPr>
              <w:t>✓  Varenicline: start 1-2 weeks before quit date</w:t>
            </w:r>
          </w:p>
        </w:tc>
      </w:tr>
      <w:tr w:rsidR="00E00DDE" w14:paraId="25DD8E5A" w14:textId="77777777"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EBF5FB"/>
          </w:tcPr>
          <w:p w14:paraId="50A5857B" w14:textId="77777777" w:rsidR="00E00DDE" w:rsidRDefault="00E00DDE"/>
          <w:p w14:paraId="78FEA0A3" w14:textId="77777777" w:rsidR="00E00DDE" w:rsidRDefault="00000000">
            <w:pPr>
              <w:spacing w:before="80" w:after="80"/>
              <w:ind w:left="170"/>
            </w:pPr>
            <w:r>
              <w:rPr>
                <w:color w:val="1E3A5F"/>
                <w:sz w:val="20"/>
              </w:rPr>
              <w:t>✓  Cytisinicline: quit date by Day 5; not &gt;65 or &lt;18 (NEW NICE 2025)</w:t>
            </w:r>
          </w:p>
        </w:tc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EBF5FB"/>
          </w:tcPr>
          <w:p w14:paraId="5B658F10" w14:textId="77777777" w:rsidR="00E00DDE" w:rsidRDefault="00E00DDE"/>
          <w:p w14:paraId="622E50C5" w14:textId="77777777" w:rsidR="00E00DDE" w:rsidRDefault="00000000">
            <w:pPr>
              <w:spacing w:before="80" w:after="80"/>
              <w:ind w:left="170"/>
            </w:pPr>
            <w:r>
              <w:rPr>
                <w:color w:val="1E3A5F"/>
                <w:sz w:val="20"/>
              </w:rPr>
              <w:t>✓  NRT only in pregnancy — others all contraindicated</w:t>
            </w:r>
          </w:p>
        </w:tc>
      </w:tr>
      <w:tr w:rsidR="00E00DDE" w14:paraId="76D668A5" w14:textId="77777777"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FDFEFE"/>
          </w:tcPr>
          <w:p w14:paraId="3FAAE50B" w14:textId="77777777" w:rsidR="00E00DDE" w:rsidRDefault="00E00DDE"/>
          <w:p w14:paraId="1A21A260" w14:textId="77777777" w:rsidR="00E00DDE" w:rsidRDefault="00000000">
            <w:pPr>
              <w:spacing w:before="80" w:after="80"/>
              <w:ind w:left="170"/>
            </w:pPr>
            <w:r>
              <w:rPr>
                <w:color w:val="1E3A5F"/>
                <w:sz w:val="20"/>
              </w:rPr>
              <w:t>✓  No 6-month wait between quit attempts</w:t>
            </w:r>
          </w:p>
        </w:tc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FDFEFE"/>
          </w:tcPr>
          <w:p w14:paraId="175F0C60" w14:textId="77777777" w:rsidR="00E00DDE" w:rsidRDefault="00E00DDE"/>
          <w:p w14:paraId="346A8E00" w14:textId="77777777" w:rsidR="00E00DDE" w:rsidRDefault="00000000">
            <w:pPr>
              <w:spacing w:before="80" w:after="80"/>
              <w:ind w:left="170"/>
            </w:pPr>
            <w:r>
              <w:rPr>
                <w:color w:val="1E3A5F"/>
                <w:sz w:val="20"/>
              </w:rPr>
              <w:t>✓  Behavioural support + medication = best outcome</w:t>
            </w:r>
          </w:p>
        </w:tc>
      </w:tr>
      <w:tr w:rsidR="00E00DDE" w14:paraId="5764EC6F" w14:textId="77777777"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EBF5FB"/>
          </w:tcPr>
          <w:p w14:paraId="1A796932" w14:textId="77777777" w:rsidR="00E00DDE" w:rsidRDefault="00E00DDE"/>
          <w:p w14:paraId="3EC56254" w14:textId="77777777" w:rsidR="00E00DDE" w:rsidRDefault="00000000">
            <w:pPr>
              <w:spacing w:before="80" w:after="80"/>
              <w:ind w:left="170"/>
            </w:pPr>
            <w:r>
              <w:rPr>
                <w:color w:val="1E3A5F"/>
                <w:sz w:val="20"/>
              </w:rPr>
              <w:t>✓  CO &lt;10ppm = confirmed non-smoker</w:t>
            </w:r>
          </w:p>
        </w:tc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EBF5FB"/>
          </w:tcPr>
          <w:p w14:paraId="355A0F13" w14:textId="77777777" w:rsidR="00E00DDE" w:rsidRDefault="00E00DDE"/>
          <w:p w14:paraId="5B012E95" w14:textId="77777777" w:rsidR="00E00DDE" w:rsidRDefault="00000000">
            <w:pPr>
              <w:spacing w:before="80" w:after="80"/>
              <w:ind w:left="170"/>
            </w:pPr>
            <w:r>
              <w:rPr>
                <w:color w:val="1E3A5F"/>
                <w:sz w:val="20"/>
              </w:rPr>
              <w:t>✓  E-cigarettes: NICE NG209 2025 supports as cessation aid</w:t>
            </w:r>
          </w:p>
        </w:tc>
      </w:tr>
      <w:tr w:rsidR="00E00DDE" w14:paraId="3CE0AA07" w14:textId="77777777"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FDFEFE"/>
          </w:tcPr>
          <w:p w14:paraId="55CF4427" w14:textId="77777777" w:rsidR="00E00DDE" w:rsidRDefault="00E00DDE"/>
          <w:p w14:paraId="0B76603E" w14:textId="77777777" w:rsidR="00E00DDE" w:rsidRDefault="00000000">
            <w:pPr>
              <w:spacing w:before="80" w:after="80"/>
              <w:ind w:left="170"/>
            </w:pPr>
            <w:r>
              <w:rPr>
                <w:color w:val="1E3A5F"/>
                <w:sz w:val="20"/>
              </w:rPr>
              <w:t>✓  Bupropion: absolute contraindication in any seizure history</w:t>
            </w:r>
          </w:p>
        </w:tc>
        <w:tc>
          <w:tcPr>
            <w:tcW w:w="4819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FDFEFE"/>
          </w:tcPr>
          <w:p w14:paraId="5756D65B" w14:textId="77777777" w:rsidR="00E00DDE" w:rsidRDefault="00E00DDE"/>
          <w:p w14:paraId="396A44DD" w14:textId="77777777" w:rsidR="00E00DDE" w:rsidRDefault="00000000">
            <w:pPr>
              <w:spacing w:before="80" w:after="80"/>
              <w:ind w:left="170"/>
            </w:pPr>
            <w:r>
              <w:rPr>
                <w:color w:val="1E3A5F"/>
                <w:sz w:val="20"/>
              </w:rPr>
              <w:t>✓  Refer ALL patients to Stop Smoking Service</w:t>
            </w:r>
          </w:p>
        </w:tc>
      </w:tr>
    </w:tbl>
    <w:p w14:paraId="11E79CEC" w14:textId="77777777" w:rsidR="00E00DDE" w:rsidRDefault="00E00DDE"/>
    <w:p w14:paraId="7D7BBD0F" w14:textId="77777777" w:rsidR="00E00DDE" w:rsidRDefault="00E00DDE">
      <w:pPr>
        <w:pBdr>
          <w:bottom w:val="single" w:sz="6" w:space="1" w:color="E74C3C"/>
        </w:pBdr>
        <w:spacing w:before="120"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E00DDE" w14:paraId="618E87CA" w14:textId="77777777">
        <w:tc>
          <w:tcPr>
            <w:tcW w:w="9638" w:type="dxa"/>
            <w:tcBorders>
              <w:top w:val="single" w:sz="4" w:space="0" w:color="E74C3C"/>
              <w:left w:val="single" w:sz="4" w:space="0" w:color="E74C3C"/>
              <w:bottom w:val="single" w:sz="4" w:space="0" w:color="E74C3C"/>
              <w:right w:val="single" w:sz="4" w:space="0" w:color="E74C3C"/>
            </w:tcBorders>
            <w:shd w:val="clear" w:color="auto" w:fill="FDEDEC"/>
          </w:tcPr>
          <w:p w14:paraId="0F10D28D" w14:textId="77777777" w:rsidR="00E00DDE" w:rsidRDefault="00E00DDE"/>
          <w:p w14:paraId="136A267E" w14:textId="77777777" w:rsidR="00E00DDE" w:rsidRDefault="00000000">
            <w:pPr>
              <w:spacing w:before="100" w:after="60"/>
            </w:pPr>
            <w:r>
              <w:rPr>
                <w:b/>
                <w:color w:val="922B21"/>
                <w:sz w:val="23"/>
              </w:rPr>
              <w:t>⚠️ Disclaimer — Important</w:t>
            </w:r>
          </w:p>
          <w:p w14:paraId="6A537D3F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Always double check this advice and drug doses with the latest NICE/BNF guidance.</w:t>
            </w:r>
          </w:p>
          <w:p w14:paraId="1FF8D30C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This document is for educational purposes only.</w:t>
            </w:r>
          </w:p>
          <w:p w14:paraId="27C54230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Drug guidance updated to NICE NG209 (February 2025) and current BNF at time of creation (May 2026).</w:t>
            </w:r>
          </w:p>
          <w:p w14:paraId="5588E236" w14:textId="77777777" w:rsidR="00E00DDE" w:rsidRDefault="00000000">
            <w:pPr>
              <w:pStyle w:val="ListBullet"/>
              <w:spacing w:before="20" w:after="20"/>
              <w:ind w:left="227"/>
            </w:pPr>
            <w:r>
              <w:rPr>
                <w:color w:val="1A1A2E"/>
                <w:sz w:val="20"/>
              </w:rPr>
              <w:t>Clinical practice may have evolved — always verify before prescribing.</w:t>
            </w:r>
          </w:p>
          <w:p w14:paraId="7F5B02FC" w14:textId="77777777" w:rsidR="00E00DDE" w:rsidRDefault="00E00DDE">
            <w:pPr>
              <w:spacing w:after="100"/>
            </w:pPr>
          </w:p>
        </w:tc>
      </w:tr>
    </w:tbl>
    <w:p w14:paraId="33FC2F2B" w14:textId="77777777" w:rsidR="00E00DDE" w:rsidRDefault="00E00DDE">
      <w:pPr>
        <w:spacing w:after="100"/>
      </w:pPr>
    </w:p>
    <w:sectPr w:rsidR="00E00DDE" w:rsidSect="00034616">
      <w:footerReference w:type="default" r:id="rId9"/>
      <w:pgSz w:w="11906" w:h="16838"/>
      <w:pgMar w:top="1020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AEB7D" w14:textId="77777777" w:rsidR="001430B1" w:rsidRDefault="001430B1">
      <w:pPr>
        <w:spacing w:after="0" w:line="240" w:lineRule="auto"/>
      </w:pPr>
      <w:r>
        <w:separator/>
      </w:r>
    </w:p>
  </w:endnote>
  <w:endnote w:type="continuationSeparator" w:id="0">
    <w:p w14:paraId="42A53EA4" w14:textId="77777777" w:rsidR="001430B1" w:rsidRDefault="00143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6CE5A" w14:textId="77777777" w:rsidR="00E00DDE" w:rsidRDefault="00000000">
    <w:pPr>
      <w:pStyle w:val="Footer"/>
      <w:jc w:val="center"/>
    </w:pPr>
    <w:r>
      <w:rPr>
        <w:i/>
        <w:color w:val="888888"/>
        <w:sz w:val="16"/>
      </w:rPr>
      <w:t>A free resource provided by www.bradfordvts.co.uk, Dr Ramesh Mehay, revised 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63C47" w14:textId="77777777" w:rsidR="001430B1" w:rsidRDefault="001430B1">
      <w:pPr>
        <w:spacing w:after="0" w:line="240" w:lineRule="auto"/>
      </w:pPr>
      <w:r>
        <w:separator/>
      </w:r>
    </w:p>
  </w:footnote>
  <w:footnote w:type="continuationSeparator" w:id="0">
    <w:p w14:paraId="574D6685" w14:textId="77777777" w:rsidR="001430B1" w:rsidRDefault="00143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5177912">
    <w:abstractNumId w:val="8"/>
  </w:num>
  <w:num w:numId="2" w16cid:durableId="976496581">
    <w:abstractNumId w:val="6"/>
  </w:num>
  <w:num w:numId="3" w16cid:durableId="116681804">
    <w:abstractNumId w:val="5"/>
  </w:num>
  <w:num w:numId="4" w16cid:durableId="1287544328">
    <w:abstractNumId w:val="4"/>
  </w:num>
  <w:num w:numId="5" w16cid:durableId="1433816623">
    <w:abstractNumId w:val="7"/>
  </w:num>
  <w:num w:numId="6" w16cid:durableId="2012947282">
    <w:abstractNumId w:val="3"/>
  </w:num>
  <w:num w:numId="7" w16cid:durableId="2051567622">
    <w:abstractNumId w:val="2"/>
  </w:num>
  <w:num w:numId="8" w16cid:durableId="1812363452">
    <w:abstractNumId w:val="1"/>
  </w:num>
  <w:num w:numId="9" w16cid:durableId="1730765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30B1"/>
    <w:rsid w:val="0015074B"/>
    <w:rsid w:val="0029639D"/>
    <w:rsid w:val="00326F90"/>
    <w:rsid w:val="00582A8B"/>
    <w:rsid w:val="00AA1D8D"/>
    <w:rsid w:val="00B47730"/>
    <w:rsid w:val="00CB0664"/>
    <w:rsid w:val="00DD4497"/>
    <w:rsid w:val="00E00DD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222B07"/>
  <w14:defaultImageDpi w14:val="300"/>
  <w15:docId w15:val="{D9B4D440-5561-4F80-86AB-66032B6F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2632</Words>
  <Characters>16059</Characters>
  <Application>Microsoft Office Word</Application>
  <DocSecurity>0</DocSecurity>
  <Lines>573</Lines>
  <Paragraphs>381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3</cp:revision>
  <dcterms:created xsi:type="dcterms:W3CDTF">2013-12-23T23:15:00Z</dcterms:created>
  <dcterms:modified xsi:type="dcterms:W3CDTF">2026-06-26T13:17:00Z</dcterms:modified>
  <cp:category/>
</cp:coreProperties>
</file>