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200"/>
      </w:tblGrid>
      <w:tr w:rsidR="0051348E" w14:paraId="67CC4875" w14:textId="77777777">
        <w:trPr>
          <w:jc w:val="center"/>
        </w:trPr>
        <w:tc>
          <w:tcPr>
            <w:tcW w:w="10200" w:type="dxa"/>
            <w:shd w:val="clear" w:color="auto" w:fill="E87420"/>
          </w:tcPr>
          <w:p w14:paraId="7956E7DA" w14:textId="77777777" w:rsidR="0051348E" w:rsidRDefault="00000000">
            <w:pPr>
              <w:jc w:val="center"/>
            </w:pPr>
            <w:r>
              <w:rPr>
                <w:b/>
                <w:color w:val="FFFFFF"/>
              </w:rPr>
              <w:t>BRADFORD VTS TEACHING AIDS</w:t>
            </w:r>
          </w:p>
          <w:p w14:paraId="16098DEF" w14:textId="77777777" w:rsidR="0051348E" w:rsidRDefault="00000000">
            <w:pPr>
              <w:jc w:val="center"/>
            </w:pPr>
            <w:r>
              <w:rPr>
                <w:b/>
                <w:color w:val="FFFFFF"/>
                <w:sz w:val="40"/>
              </w:rPr>
              <w:t>Drug misuse — scenarios and tutorial guide</w:t>
            </w:r>
          </w:p>
          <w:p w14:paraId="0796C77E" w14:textId="77777777" w:rsidR="0051348E" w:rsidRDefault="00000000">
            <w:pPr>
              <w:jc w:val="center"/>
            </w:pPr>
            <w:r>
              <w:rPr>
                <w:i/>
                <w:color w:val="FFFFFF"/>
              </w:rPr>
              <w:t>Case-based learning · Bradford VTS · May 2026</w:t>
            </w:r>
          </w:p>
          <w:p w14:paraId="3E6FF30E" w14:textId="77777777" w:rsidR="0051348E" w:rsidRDefault="0051348E">
            <w:pPr>
              <w:spacing w:after="120"/>
            </w:pPr>
          </w:p>
        </w:tc>
      </w:tr>
      <w:tr w:rsidR="0051348E" w14:paraId="44974C91" w14:textId="77777777">
        <w:trPr>
          <w:jc w:val="center"/>
        </w:trPr>
        <w:tc>
          <w:tcPr>
            <w:tcW w:w="10200" w:type="dxa"/>
          </w:tcPr>
          <w:p w14:paraId="2304B1AF" w14:textId="77777777" w:rsidR="0051348E" w:rsidRDefault="00000000">
            <w:pPr>
              <w:jc w:val="center"/>
            </w:pPr>
            <w:r>
              <w:rPr>
                <w:noProof/>
              </w:rPr>
              <w:drawing>
                <wp:inline distT="0" distB="0" distL="0" distR="0" wp14:anchorId="384591B9" wp14:editId="2621E639">
                  <wp:extent cx="4029075" cy="2686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jpg"/>
                          <pic:cNvPicPr/>
                        </pic:nvPicPr>
                        <pic:blipFill>
                          <a:blip r:embed="rId8"/>
                          <a:stretch>
                            <a:fillRect/>
                          </a:stretch>
                        </pic:blipFill>
                        <pic:spPr>
                          <a:xfrm>
                            <a:off x="0" y="0"/>
                            <a:ext cx="4031067" cy="2687378"/>
                          </a:xfrm>
                          <a:prstGeom prst="rect">
                            <a:avLst/>
                          </a:prstGeom>
                        </pic:spPr>
                      </pic:pic>
                    </a:graphicData>
                  </a:graphic>
                </wp:inline>
              </w:drawing>
            </w:r>
          </w:p>
          <w:p w14:paraId="06213FC0" w14:textId="77777777" w:rsidR="0051348E" w:rsidRDefault="00000000">
            <w:pPr>
              <w:jc w:val="center"/>
            </w:pPr>
            <w:r>
              <w:rPr>
                <w:i/>
                <w:color w:val="5A5A5A"/>
                <w:sz w:val="20"/>
              </w:rPr>
              <w:t>A consultation about substance misuse should stay calm, respectful and practical. Start with safety, understand the patient’s goals, and make the next step easy.</w:t>
            </w:r>
          </w:p>
        </w:tc>
      </w:tr>
    </w:tbl>
    <w:p w14:paraId="7B6129C5" w14:textId="77777777" w:rsidR="0051348E" w:rsidRDefault="0051348E"/>
    <w:p w14:paraId="598C5543" w14:textId="77777777" w:rsidR="0051348E" w:rsidRDefault="00000000">
      <w:pPr>
        <w:jc w:val="center"/>
      </w:pPr>
      <w:r>
        <w:rPr>
          <w:i/>
          <w:color w:val="5A5A5A"/>
          <w:sz w:val="19"/>
        </w:rPr>
        <w:t>Tip: if the table of contents looks blank in Word, press Ctrl+A then F9 to update fields.</w:t>
      </w:r>
    </w:p>
    <w:p w14:paraId="30F21BEE" w14:textId="7D89CE34" w:rsidR="0051348E" w:rsidRDefault="00000000" w:rsidP="00AD02ED">
      <w:pPr>
        <w:pStyle w:val="Heading1"/>
      </w:pPr>
      <w:r>
        <w:rPr>
          <w:rFonts w:ascii="Aptos" w:eastAsia="Aptos" w:hAnsi="Aptos" w:cs="Aptos"/>
          <w:color w:val="2D2D2D"/>
          <w:sz w:val="32"/>
        </w:rPr>
        <w:t>Contents</w:t>
      </w:r>
      <w:r>
        <w:fldChar w:fldCharType="begin"/>
      </w:r>
      <w:r>
        <w:instrText>TOC \o "1-3" \h \z \u</w:instrText>
      </w:r>
      <w:r>
        <w:fldChar w:fldCharType="separate"/>
      </w:r>
      <w:r>
        <w:fldChar w:fldCharType="end"/>
      </w:r>
    </w:p>
    <w:p w14:paraId="53264F67" w14:textId="77777777" w:rsidR="0051348E" w:rsidRDefault="00000000">
      <w:pPr>
        <w:pStyle w:val="Heading1"/>
      </w:pPr>
      <w:r>
        <w:rPr>
          <w:rFonts w:ascii="Aptos" w:eastAsia="Aptos" w:hAnsi="Aptos" w:cs="Aptos"/>
          <w:color w:val="2D2D2D"/>
          <w:sz w:val="32"/>
        </w:rPr>
        <w:t>How to use this handout</w:t>
      </w:r>
    </w:p>
    <w:p w14:paraId="7FC1095E" w14:textId="77777777" w:rsidR="0051348E" w:rsidRDefault="00000000">
      <w:pPr>
        <w:pStyle w:val="ListBullet"/>
        <w:spacing w:after="60"/>
      </w:pPr>
      <w:r>
        <w:rPr>
          <w:color w:val="2D2D2D"/>
        </w:rPr>
        <w:t>This teaching aid combines the original Bradford VTS scenarios and guidance into one practical tutorial document.</w:t>
      </w:r>
    </w:p>
    <w:p w14:paraId="2B914B05" w14:textId="77777777" w:rsidR="0051348E" w:rsidRDefault="00000000">
      <w:pPr>
        <w:pStyle w:val="ListBullet"/>
        <w:spacing w:after="60"/>
      </w:pPr>
      <w:r>
        <w:rPr>
          <w:color w:val="2D2D2D"/>
        </w:rPr>
        <w:t>Each scenario is written as a clinical vignette, followed by structured discussion points, AKT exam tips, SCA consultation tips and key safety red flags.</w:t>
      </w:r>
    </w:p>
    <w:p w14:paraId="7FF7B9A2" w14:textId="77777777" w:rsidR="0051348E" w:rsidRDefault="00000000">
      <w:pPr>
        <w:pStyle w:val="ListBullet"/>
        <w:spacing w:after="60"/>
      </w:pPr>
      <w:r>
        <w:rPr>
          <w:color w:val="2D2D2D"/>
        </w:rPr>
        <w:t>Older local Bradford service references have been removed and replaced with generic wording: local drug treatment services / DAAT.</w:t>
      </w:r>
    </w:p>
    <w:p w14:paraId="5D996C3E" w14:textId="77777777" w:rsidR="0051348E" w:rsidRDefault="00000000">
      <w:pPr>
        <w:pStyle w:val="ListBullet"/>
        <w:spacing w:after="60"/>
      </w:pPr>
      <w:r>
        <w:rPr>
          <w:color w:val="2D2D2D"/>
        </w:rPr>
        <w:t>Guidance has been refreshed to reflect current NICE, NICE CKS and related UK guidance available in 2024 and 2025.[2][3][4][5][7]</w:t>
      </w:r>
    </w:p>
    <w:p w14:paraId="61DA720B" w14:textId="77777777" w:rsidR="0051348E" w:rsidRDefault="00000000">
      <w:pPr>
        <w:pStyle w:val="Heading1"/>
      </w:pPr>
      <w:r>
        <w:rPr>
          <w:rFonts w:ascii="Aptos" w:eastAsia="Aptos" w:hAnsi="Aptos" w:cs="Aptos"/>
          <w:color w:val="2D2D2D"/>
          <w:sz w:val="32"/>
        </w:rPr>
        <w:lastRenderedPageBreak/>
        <w:t>Core assessment framework</w:t>
      </w:r>
    </w:p>
    <w:p w14:paraId="145602F0" w14:textId="77777777" w:rsidR="0051348E" w:rsidRDefault="00000000">
      <w:pPr>
        <w:pStyle w:val="Heading2"/>
      </w:pPr>
      <w:r>
        <w:rPr>
          <w:rFonts w:ascii="Aptos" w:eastAsia="Aptos" w:hAnsi="Aptos" w:cs="Aptos"/>
          <w:color w:val="2D2D2D"/>
        </w:rPr>
        <w:t>History</w:t>
      </w:r>
    </w:p>
    <w:p w14:paraId="42BB7D17" w14:textId="77777777" w:rsidR="0051348E" w:rsidRDefault="00000000">
      <w:pPr>
        <w:pStyle w:val="ListBullet"/>
        <w:spacing w:after="60"/>
      </w:pPr>
      <w:r>
        <w:rPr>
          <w:color w:val="2D2D2D"/>
        </w:rPr>
        <w:t>What substances are being used now, including alcohol, prescribed medicines and street drugs?</w:t>
      </w:r>
    </w:p>
    <w:p w14:paraId="2DBAB545" w14:textId="77777777" w:rsidR="0051348E" w:rsidRDefault="00000000">
      <w:pPr>
        <w:pStyle w:val="ListBullet"/>
        <w:spacing w:after="60"/>
      </w:pPr>
      <w:r>
        <w:rPr>
          <w:color w:val="2D2D2D"/>
        </w:rPr>
        <w:t>How much is used each day, by which route, and when was the last use?</w:t>
      </w:r>
    </w:p>
    <w:p w14:paraId="6EC8F0B4" w14:textId="77777777" w:rsidR="0051348E" w:rsidRDefault="00000000">
      <w:pPr>
        <w:pStyle w:val="ListBullet"/>
        <w:spacing w:after="60"/>
      </w:pPr>
      <w:r>
        <w:rPr>
          <w:color w:val="2D2D2D"/>
        </w:rPr>
        <w:t>Has the person injected before, and have they ever shared equipment?</w:t>
      </w:r>
    </w:p>
    <w:p w14:paraId="2DC72506" w14:textId="77777777" w:rsidR="0051348E" w:rsidRDefault="00000000">
      <w:pPr>
        <w:pStyle w:val="ListBullet"/>
        <w:spacing w:after="60"/>
      </w:pPr>
      <w:r>
        <w:rPr>
          <w:color w:val="2D2D2D"/>
        </w:rPr>
        <w:t>What past treatment, abstinence periods and overdoses have occurred?</w:t>
      </w:r>
    </w:p>
    <w:p w14:paraId="4BE425EE" w14:textId="77777777" w:rsidR="0051348E" w:rsidRDefault="00000000">
      <w:pPr>
        <w:pStyle w:val="ListBullet"/>
        <w:spacing w:after="60"/>
      </w:pPr>
      <w:r>
        <w:rPr>
          <w:color w:val="2D2D2D"/>
        </w:rPr>
        <w:t>Why is the person asking for help now, and what do they want today?</w:t>
      </w:r>
    </w:p>
    <w:p w14:paraId="0A8FF1A2" w14:textId="77777777" w:rsidR="0051348E" w:rsidRDefault="00000000">
      <w:pPr>
        <w:pStyle w:val="ListBullet"/>
        <w:spacing w:after="60"/>
      </w:pPr>
      <w:r>
        <w:rPr>
          <w:color w:val="2D2D2D"/>
        </w:rPr>
        <w:t>What physical health problems are present, including blood-borne virus risks, pregnancy risk, infections and constipation?</w:t>
      </w:r>
    </w:p>
    <w:p w14:paraId="4F3582FB" w14:textId="77777777" w:rsidR="0051348E" w:rsidRDefault="00000000">
      <w:pPr>
        <w:pStyle w:val="ListBullet"/>
        <w:spacing w:after="60"/>
      </w:pPr>
      <w:r>
        <w:rPr>
          <w:color w:val="2D2D2D"/>
        </w:rPr>
        <w:t>What mental health symptoms or diagnoses are present, including self-harm or trauma history?</w:t>
      </w:r>
    </w:p>
    <w:p w14:paraId="52EEBAB0" w14:textId="77777777" w:rsidR="0051348E" w:rsidRDefault="00000000">
      <w:pPr>
        <w:pStyle w:val="ListBullet"/>
        <w:spacing w:after="60"/>
      </w:pPr>
      <w:r>
        <w:rPr>
          <w:color w:val="2D2D2D"/>
        </w:rPr>
        <w:t>What is the housing, family, work and safeguarding situation?</w:t>
      </w:r>
    </w:p>
    <w:p w14:paraId="2B7CD42C" w14:textId="77777777" w:rsidR="0051348E" w:rsidRDefault="00000000">
      <w:pPr>
        <w:pStyle w:val="Heading2"/>
      </w:pPr>
      <w:r>
        <w:rPr>
          <w:rFonts w:ascii="Aptos" w:eastAsia="Aptos" w:hAnsi="Aptos" w:cs="Aptos"/>
          <w:color w:val="2D2D2D"/>
        </w:rPr>
        <w:t>Examination</w:t>
      </w:r>
    </w:p>
    <w:p w14:paraId="6EE4547A" w14:textId="77777777" w:rsidR="0051348E" w:rsidRDefault="00000000">
      <w:pPr>
        <w:pStyle w:val="ListBullet"/>
        <w:spacing w:after="60"/>
      </w:pPr>
      <w:r>
        <w:rPr>
          <w:color w:val="2D2D2D"/>
        </w:rPr>
        <w:t>Mental state and level of intoxication or withdrawal</w:t>
      </w:r>
    </w:p>
    <w:p w14:paraId="4889CAE0" w14:textId="77777777" w:rsidR="0051348E" w:rsidRDefault="00000000">
      <w:pPr>
        <w:pStyle w:val="ListBullet"/>
        <w:spacing w:after="60"/>
      </w:pPr>
      <w:r>
        <w:rPr>
          <w:color w:val="2D2D2D"/>
        </w:rPr>
        <w:t>General appearance, weight, hydration and nutrition</w:t>
      </w:r>
    </w:p>
    <w:p w14:paraId="6938C545" w14:textId="77777777" w:rsidR="0051348E" w:rsidRDefault="00000000">
      <w:pPr>
        <w:pStyle w:val="ListBullet"/>
        <w:spacing w:after="60"/>
      </w:pPr>
      <w:r>
        <w:rPr>
          <w:color w:val="2D2D2D"/>
        </w:rPr>
        <w:t>Blood pressure, pulse and temperature when clinically indicated</w:t>
      </w:r>
    </w:p>
    <w:p w14:paraId="41F4D65C" w14:textId="77777777" w:rsidR="0051348E" w:rsidRDefault="00000000">
      <w:pPr>
        <w:pStyle w:val="ListBullet"/>
        <w:spacing w:after="60"/>
      </w:pPr>
      <w:r>
        <w:rPr>
          <w:color w:val="2D2D2D"/>
        </w:rPr>
        <w:t>Injection sites, abscesses, cellulitis, groin problems or venous damage</w:t>
      </w:r>
    </w:p>
    <w:p w14:paraId="68D06FA5" w14:textId="77777777" w:rsidR="0051348E" w:rsidRDefault="00000000">
      <w:pPr>
        <w:pStyle w:val="ListBullet"/>
        <w:spacing w:after="60"/>
      </w:pPr>
      <w:r>
        <w:rPr>
          <w:color w:val="2D2D2D"/>
        </w:rPr>
        <w:t>System examination guided by history, especially cardiovascular and respiratory signs</w:t>
      </w:r>
    </w:p>
    <w:p w14:paraId="1F58002F" w14:textId="77777777" w:rsidR="0051348E" w:rsidRDefault="00000000">
      <w:pPr>
        <w:pStyle w:val="Heading2"/>
      </w:pPr>
      <w:r>
        <w:rPr>
          <w:rFonts w:ascii="Aptos" w:eastAsia="Aptos" w:hAnsi="Aptos" w:cs="Aptos"/>
          <w:color w:val="2D2D2D"/>
        </w:rPr>
        <w:t>Investigations</w:t>
      </w:r>
    </w:p>
    <w:p w14:paraId="0E0BCC7D" w14:textId="77777777" w:rsidR="0051348E" w:rsidRDefault="00000000">
      <w:pPr>
        <w:pStyle w:val="ListBullet"/>
        <w:spacing w:after="60"/>
      </w:pPr>
      <w:r>
        <w:rPr>
          <w:color w:val="2D2D2D"/>
        </w:rPr>
        <w:t>Hepatitis B and C testing, and HIV testing where risk is present</w:t>
      </w:r>
    </w:p>
    <w:p w14:paraId="75B0A0D6" w14:textId="77777777" w:rsidR="0051348E" w:rsidRDefault="00000000">
      <w:pPr>
        <w:pStyle w:val="ListBullet"/>
        <w:spacing w:after="60"/>
      </w:pPr>
      <w:r>
        <w:rPr>
          <w:color w:val="2D2D2D"/>
        </w:rPr>
        <w:t>Pregnancy testing when relevant</w:t>
      </w:r>
    </w:p>
    <w:p w14:paraId="1417323F" w14:textId="77777777" w:rsidR="0051348E" w:rsidRDefault="00000000">
      <w:pPr>
        <w:pStyle w:val="ListBullet"/>
        <w:spacing w:after="60"/>
      </w:pPr>
      <w:r>
        <w:rPr>
          <w:color w:val="2D2D2D"/>
        </w:rPr>
        <w:t>Blood tests guided by history and treatment plans, such as FBC, U and E, LFT and other targeted tests</w:t>
      </w:r>
    </w:p>
    <w:p w14:paraId="58EF6224" w14:textId="77777777" w:rsidR="0051348E" w:rsidRDefault="00000000">
      <w:pPr>
        <w:pStyle w:val="ListBullet"/>
        <w:spacing w:after="60"/>
      </w:pPr>
      <w:r>
        <w:rPr>
          <w:color w:val="2D2D2D"/>
        </w:rPr>
        <w:t>Urine or oral fluid drug testing as part of a wider assessment, not as the only source of truth.[7]</w:t>
      </w:r>
    </w:p>
    <w:p w14:paraId="7294F550" w14:textId="77777777" w:rsidR="0051348E" w:rsidRDefault="00000000">
      <w:pPr>
        <w:pStyle w:val="ListBullet"/>
        <w:spacing w:after="60"/>
      </w:pPr>
      <w:r>
        <w:rPr>
          <w:color w:val="2D2D2D"/>
        </w:rPr>
        <w:t>ECG when clinically indicated, especially if medication risks or comorbidity suggest a need</w:t>
      </w:r>
    </w:p>
    <w:p w14:paraId="5793F007" w14:textId="77777777" w:rsidR="0051348E" w:rsidRDefault="00000000">
      <w:pPr>
        <w:pStyle w:val="Heading2"/>
      </w:pPr>
      <w:r>
        <w:rPr>
          <w:rFonts w:ascii="Aptos" w:eastAsia="Aptos" w:hAnsi="Aptos" w:cs="Aptos"/>
          <w:color w:val="2D2D2D"/>
        </w:rPr>
        <w:t>Other health promotion points</w:t>
      </w:r>
    </w:p>
    <w:p w14:paraId="616C2105" w14:textId="77777777" w:rsidR="0051348E" w:rsidRDefault="00000000">
      <w:pPr>
        <w:pStyle w:val="ListBullet"/>
        <w:spacing w:after="60"/>
      </w:pPr>
      <w:r>
        <w:rPr>
          <w:color w:val="2D2D2D"/>
        </w:rPr>
        <w:t>Hepatitis B vaccination if not immune</w:t>
      </w:r>
    </w:p>
    <w:p w14:paraId="0C3BACEA" w14:textId="77777777" w:rsidR="0051348E" w:rsidRDefault="00000000">
      <w:pPr>
        <w:pStyle w:val="ListBullet"/>
        <w:spacing w:after="60"/>
      </w:pPr>
      <w:r>
        <w:rPr>
          <w:color w:val="2D2D2D"/>
        </w:rPr>
        <w:t>Sexual health advice and contraception support where relevant</w:t>
      </w:r>
    </w:p>
    <w:p w14:paraId="6865364B" w14:textId="77777777" w:rsidR="0051348E" w:rsidRDefault="00000000">
      <w:pPr>
        <w:pStyle w:val="ListBullet"/>
        <w:spacing w:after="60"/>
      </w:pPr>
      <w:r>
        <w:rPr>
          <w:color w:val="2D2D2D"/>
        </w:rPr>
        <w:t>Diet, oral health and general health promotion</w:t>
      </w:r>
    </w:p>
    <w:p w14:paraId="0DE0B84F" w14:textId="77777777" w:rsidR="0051348E" w:rsidRDefault="00000000">
      <w:pPr>
        <w:pStyle w:val="ListBullet"/>
        <w:spacing w:after="60"/>
      </w:pPr>
      <w:r>
        <w:rPr>
          <w:color w:val="2D2D2D"/>
        </w:rPr>
        <w:t>Naloxone awareness and overdose prevention</w:t>
      </w:r>
    </w:p>
    <w:p w14:paraId="010B791B" w14:textId="77777777" w:rsidR="0051348E" w:rsidRDefault="00000000">
      <w:pPr>
        <w:pStyle w:val="ListBullet"/>
        <w:spacing w:after="60"/>
      </w:pPr>
      <w:r>
        <w:rPr>
          <w:color w:val="2D2D2D"/>
        </w:rPr>
        <w:t>Signposting to local drug treatment services / DAAT and community pharmacy support</w:t>
      </w:r>
    </w:p>
    <w:p w14:paraId="0642BBE7" w14:textId="77777777" w:rsidR="00AD02ED" w:rsidRDefault="00AD02ED">
      <w:pPr>
        <w:rPr>
          <w:b/>
          <w:bCs/>
          <w:color w:val="2D2D2D"/>
          <w:sz w:val="32"/>
          <w:szCs w:val="28"/>
        </w:rPr>
      </w:pPr>
      <w:r>
        <w:rPr>
          <w:color w:val="2D2D2D"/>
          <w:sz w:val="32"/>
        </w:rPr>
        <w:br w:type="page"/>
      </w:r>
    </w:p>
    <w:p w14:paraId="3031C272" w14:textId="2AB89542" w:rsidR="0051348E" w:rsidRDefault="00000000">
      <w:pPr>
        <w:pStyle w:val="Heading1"/>
      </w:pPr>
      <w:r>
        <w:rPr>
          <w:rFonts w:ascii="Aptos" w:eastAsia="Aptos" w:hAnsi="Aptos" w:cs="Aptos"/>
          <w:color w:val="2D2D2D"/>
          <w:sz w:val="32"/>
        </w:rPr>
        <w:lastRenderedPageBreak/>
        <w:t>Scenario 1: Assessment and referral</w:t>
      </w:r>
    </w:p>
    <w:p w14:paraId="7FFD6DBF" w14:textId="77777777" w:rsidR="0051348E" w:rsidRDefault="00000000">
      <w:r>
        <w:rPr>
          <w:b/>
          <w:color w:val="2D2D2D"/>
        </w:rPr>
        <w:t xml:space="preserve">Herbert, age 24: </w:t>
      </w:r>
      <w:r>
        <w:rPr>
          <w:color w:val="2D2D2D"/>
        </w:rPr>
        <w:t>Herbert has been registered with the practice since childhood and still lives with his parents and younger brother. He has not attended for 7 years. He says he has been smoking heroin for the last 5 years and now wants help because it is wrecking his life.</w:t>
      </w:r>
    </w:p>
    <w:p w14:paraId="38683807" w14:textId="77777777" w:rsidR="0051348E" w:rsidRDefault="00000000">
      <w:pPr>
        <w:pStyle w:val="Heading2"/>
      </w:pPr>
      <w:r>
        <w:rPr>
          <w:rFonts w:ascii="Aptos" w:eastAsia="Aptos" w:hAnsi="Aptos" w:cs="Aptos"/>
          <w:color w:val="2D2D2D"/>
        </w:rPr>
        <w:t>Discussion</w:t>
      </w:r>
    </w:p>
    <w:p w14:paraId="113A3B8A" w14:textId="77777777" w:rsidR="0051348E" w:rsidRPr="00AD02ED" w:rsidRDefault="00000000">
      <w:pPr>
        <w:pStyle w:val="ListBullet"/>
        <w:spacing w:after="60"/>
        <w:rPr>
          <w:sz w:val="20"/>
          <w:szCs w:val="20"/>
        </w:rPr>
      </w:pPr>
      <w:r w:rsidRPr="00AD02ED">
        <w:rPr>
          <w:color w:val="2D2D2D"/>
          <w:sz w:val="20"/>
          <w:szCs w:val="20"/>
        </w:rPr>
        <w:t>Start with a calm, non-judgemental assessment. Ask what drugs he uses, how much, how often, the route, the last use, and whether he also uses alcohol, benzodiazepines, gabapentinoids, crack, cocaine, cannabis or prescribed opioids.</w:t>
      </w:r>
    </w:p>
    <w:p w14:paraId="020ACC31" w14:textId="77777777" w:rsidR="0051348E" w:rsidRPr="00AD02ED" w:rsidRDefault="00000000">
      <w:pPr>
        <w:pStyle w:val="ListBullet"/>
        <w:spacing w:after="60"/>
        <w:rPr>
          <w:sz w:val="20"/>
          <w:szCs w:val="20"/>
        </w:rPr>
      </w:pPr>
      <w:r w:rsidRPr="00AD02ED">
        <w:rPr>
          <w:color w:val="2D2D2D"/>
          <w:sz w:val="20"/>
          <w:szCs w:val="20"/>
        </w:rPr>
        <w:t>Ask why he is asking for help now. This can uncover a recent overdose, family pressure, debt, housing problems, fear of losing work, or new motivation to change.</w:t>
      </w:r>
    </w:p>
    <w:p w14:paraId="734829F9" w14:textId="77777777" w:rsidR="0051348E" w:rsidRPr="00AD02ED" w:rsidRDefault="00000000">
      <w:pPr>
        <w:pStyle w:val="ListBullet"/>
        <w:spacing w:after="60"/>
        <w:rPr>
          <w:sz w:val="20"/>
          <w:szCs w:val="20"/>
        </w:rPr>
      </w:pPr>
      <w:r w:rsidRPr="00AD02ED">
        <w:rPr>
          <w:color w:val="2D2D2D"/>
          <w:sz w:val="20"/>
          <w:szCs w:val="20"/>
        </w:rPr>
        <w:t>Take a broad medical and psychiatric history. Include previous overdoses, self-harm, depression, anxiety, psychosis, trauma, blood-borne virus risks, injecting history, sexual health, current medicines and allergies.</w:t>
      </w:r>
    </w:p>
    <w:p w14:paraId="327F1BD0" w14:textId="77777777" w:rsidR="0051348E" w:rsidRPr="00AD02ED" w:rsidRDefault="00000000">
      <w:pPr>
        <w:pStyle w:val="ListBullet"/>
        <w:spacing w:after="60"/>
        <w:rPr>
          <w:sz w:val="20"/>
          <w:szCs w:val="20"/>
        </w:rPr>
      </w:pPr>
      <w:r w:rsidRPr="00AD02ED">
        <w:rPr>
          <w:color w:val="2D2D2D"/>
          <w:sz w:val="20"/>
          <w:szCs w:val="20"/>
        </w:rPr>
        <w:t>Examine as guided by the history. Weight, general appearance, mental state, blood pressure and signs of injecting complications can all be useful.</w:t>
      </w:r>
    </w:p>
    <w:p w14:paraId="515AC9C3" w14:textId="77777777" w:rsidR="0051348E" w:rsidRPr="00AD02ED" w:rsidRDefault="00000000">
      <w:pPr>
        <w:pStyle w:val="ListBullet"/>
        <w:spacing w:after="60"/>
        <w:rPr>
          <w:sz w:val="20"/>
          <w:szCs w:val="20"/>
        </w:rPr>
      </w:pPr>
      <w:r w:rsidRPr="00AD02ED">
        <w:rPr>
          <w:color w:val="2D2D2D"/>
          <w:sz w:val="20"/>
          <w:szCs w:val="20"/>
        </w:rPr>
        <w:t>Offer early harm reduction and screening while referral is being arranged. This may include hepatitis B and C testing, HIV testing, hepatitis B vaccination if needed, overdose prevention advice and discussion about naloxone availability through local services.[2][3][6][7]</w:t>
      </w:r>
    </w:p>
    <w:p w14:paraId="22FB1775" w14:textId="77777777" w:rsidR="0051348E" w:rsidRPr="00AD02ED" w:rsidRDefault="00000000">
      <w:pPr>
        <w:pStyle w:val="ListBullet"/>
        <w:spacing w:after="60"/>
        <w:rPr>
          <w:sz w:val="20"/>
          <w:szCs w:val="20"/>
        </w:rPr>
      </w:pPr>
      <w:r w:rsidRPr="00AD02ED">
        <w:rPr>
          <w:color w:val="2D2D2D"/>
          <w:sz w:val="20"/>
          <w:szCs w:val="20"/>
        </w:rPr>
        <w:t>Explain UK context in plain English for IMG learners: the GP often makes the first assessment, then refers or links the patient to local drug treatment services or DAAT for structured support, psychosocial work and opioid substitution treatment.</w:t>
      </w:r>
    </w:p>
    <w:p w14:paraId="15BFA046" w14:textId="77777777" w:rsidR="0051348E" w:rsidRPr="00AD02ED" w:rsidRDefault="00000000">
      <w:pPr>
        <w:pStyle w:val="ListBullet"/>
        <w:spacing w:after="60"/>
        <w:rPr>
          <w:sz w:val="20"/>
          <w:szCs w:val="20"/>
        </w:rPr>
      </w:pPr>
      <w:r w:rsidRPr="00AD02ED">
        <w:rPr>
          <w:color w:val="2D2D2D"/>
          <w:sz w:val="20"/>
          <w:szCs w:val="20"/>
        </w:rPr>
        <w:t>Explain that methadone and buprenorphine are standard options for opioid substitution treatment, chosen case by case, and usually given with supervision at the start plus supportive care.[2][4][5]</w:t>
      </w:r>
    </w:p>
    <w:p w14:paraId="73745CD1" w14:textId="77777777" w:rsidR="0051348E" w:rsidRPr="00AD02ED" w:rsidRDefault="00000000">
      <w:pPr>
        <w:pStyle w:val="ListBullet"/>
        <w:spacing w:after="60"/>
        <w:rPr>
          <w:sz w:val="20"/>
          <w:szCs w:val="20"/>
        </w:rPr>
      </w:pPr>
      <w:r w:rsidRPr="00AD02ED">
        <w:rPr>
          <w:color w:val="2D2D2D"/>
          <w:sz w:val="20"/>
          <w:szCs w:val="20"/>
        </w:rPr>
        <w:t>Do not promise detoxification on day one. For many patients, maintenance treatment with good engagement is safer and more effective than rushing into detoxification.[4]</w:t>
      </w:r>
    </w:p>
    <w:tbl>
      <w:tblPr>
        <w:tblW w:w="0" w:type="auto"/>
        <w:jc w:val="center"/>
        <w:tblLook w:val="04A0" w:firstRow="1" w:lastRow="0" w:firstColumn="1" w:lastColumn="0" w:noHBand="0" w:noVBand="1"/>
      </w:tblPr>
      <w:tblGrid>
        <w:gridCol w:w="10200"/>
      </w:tblGrid>
      <w:tr w:rsidR="0051348E" w14:paraId="54F79ED4" w14:textId="77777777">
        <w:trPr>
          <w:jc w:val="center"/>
        </w:trPr>
        <w:tc>
          <w:tcPr>
            <w:tcW w:w="10200" w:type="dxa"/>
            <w:shd w:val="clear" w:color="auto" w:fill="FCF2E9"/>
          </w:tcPr>
          <w:p w14:paraId="5219B164" w14:textId="77777777" w:rsidR="0051348E" w:rsidRPr="00AD02ED" w:rsidRDefault="00000000">
            <w:pPr>
              <w:spacing w:after="80"/>
            </w:pPr>
            <w:r w:rsidRPr="00AD02ED">
              <w:rPr>
                <w:b/>
              </w:rPr>
              <w:t>Discussion points for the group</w:t>
            </w:r>
          </w:p>
          <w:p w14:paraId="3EB71FB9" w14:textId="77777777" w:rsidR="0051348E" w:rsidRDefault="00000000">
            <w:pPr>
              <w:pStyle w:val="ListBullet"/>
            </w:pPr>
            <w:r>
              <w:rPr>
                <w:color w:val="2D2D2D"/>
                <w:sz w:val="21"/>
              </w:rPr>
              <w:t>What assessment must be done before referral?</w:t>
            </w:r>
          </w:p>
          <w:p w14:paraId="1248C03F" w14:textId="77777777" w:rsidR="0051348E" w:rsidRDefault="00000000">
            <w:pPr>
              <w:pStyle w:val="ListBullet"/>
            </w:pPr>
            <w:r>
              <w:rPr>
                <w:color w:val="2D2D2D"/>
                <w:sz w:val="21"/>
              </w:rPr>
              <w:t>What same-day interventions can start in primary care?</w:t>
            </w:r>
          </w:p>
          <w:p w14:paraId="0C03E1AB" w14:textId="77777777" w:rsidR="0051348E" w:rsidRDefault="00000000">
            <w:pPr>
              <w:pStyle w:val="ListBullet"/>
            </w:pPr>
            <w:r>
              <w:rPr>
                <w:color w:val="2D2D2D"/>
                <w:sz w:val="21"/>
              </w:rPr>
              <w:t>How would you explain referral and treatment options simply?</w:t>
            </w:r>
          </w:p>
          <w:p w14:paraId="0BF51A1E" w14:textId="77777777" w:rsidR="0051348E" w:rsidRDefault="00000000">
            <w:pPr>
              <w:pStyle w:val="ListBullet"/>
            </w:pPr>
            <w:r>
              <w:rPr>
                <w:color w:val="2D2D2D"/>
                <w:sz w:val="21"/>
              </w:rPr>
              <w:t>What factors make waiting unsafe?</w:t>
            </w:r>
          </w:p>
        </w:tc>
      </w:tr>
    </w:tbl>
    <w:p w14:paraId="3A95121E" w14:textId="77777777" w:rsidR="0051348E" w:rsidRPr="00AD02ED" w:rsidRDefault="0051348E">
      <w:pPr>
        <w:rPr>
          <w:sz w:val="2"/>
          <w:szCs w:val="2"/>
        </w:rPr>
      </w:pPr>
    </w:p>
    <w:tbl>
      <w:tblPr>
        <w:tblW w:w="0" w:type="auto"/>
        <w:jc w:val="center"/>
        <w:tblLook w:val="04A0" w:firstRow="1" w:lastRow="0" w:firstColumn="1" w:lastColumn="0" w:noHBand="0" w:noVBand="1"/>
      </w:tblPr>
      <w:tblGrid>
        <w:gridCol w:w="10200"/>
      </w:tblGrid>
      <w:tr w:rsidR="0051348E" w14:paraId="7E7F4278" w14:textId="77777777">
        <w:trPr>
          <w:jc w:val="center"/>
        </w:trPr>
        <w:tc>
          <w:tcPr>
            <w:tcW w:w="10200" w:type="dxa"/>
            <w:shd w:val="clear" w:color="auto" w:fill="F3ECFC"/>
          </w:tcPr>
          <w:p w14:paraId="03E4E058" w14:textId="77777777" w:rsidR="0051348E" w:rsidRDefault="00000000">
            <w:r>
              <w:rPr>
                <w:b/>
                <w:color w:val="2D2D2D"/>
              </w:rPr>
              <w:t xml:space="preserve">AKT tip: </w:t>
            </w:r>
            <w:r>
              <w:rPr>
                <w:color w:val="2D2D2D"/>
                <w:sz w:val="21"/>
              </w:rPr>
              <w:t>In AKT-style questions, a safe answer starts with assessment: substance history, mental health, physical health, overdose risk, blood-borne virus risk, safeguarding and social context. Do not jump straight to prescribing or detox.</w:t>
            </w:r>
          </w:p>
        </w:tc>
      </w:tr>
    </w:tbl>
    <w:p w14:paraId="7325DFC4" w14:textId="77777777" w:rsidR="0051348E" w:rsidRPr="00AD02ED" w:rsidRDefault="0051348E">
      <w:pPr>
        <w:rPr>
          <w:sz w:val="2"/>
          <w:szCs w:val="2"/>
        </w:rPr>
      </w:pPr>
    </w:p>
    <w:tbl>
      <w:tblPr>
        <w:tblW w:w="0" w:type="auto"/>
        <w:jc w:val="center"/>
        <w:tblLook w:val="04A0" w:firstRow="1" w:lastRow="0" w:firstColumn="1" w:lastColumn="0" w:noHBand="0" w:noVBand="1"/>
      </w:tblPr>
      <w:tblGrid>
        <w:gridCol w:w="10200"/>
      </w:tblGrid>
      <w:tr w:rsidR="0051348E" w14:paraId="7F736A22" w14:textId="77777777">
        <w:trPr>
          <w:jc w:val="center"/>
        </w:trPr>
        <w:tc>
          <w:tcPr>
            <w:tcW w:w="10200" w:type="dxa"/>
            <w:shd w:val="clear" w:color="auto" w:fill="E6F7F8"/>
          </w:tcPr>
          <w:p w14:paraId="0F064AE2" w14:textId="77777777" w:rsidR="0051348E" w:rsidRDefault="00000000">
            <w:r>
              <w:rPr>
                <w:b/>
                <w:color w:val="2D2D2D"/>
              </w:rPr>
              <w:t xml:space="preserve">SCA tip: </w:t>
            </w:r>
            <w:r>
              <w:rPr>
                <w:color w:val="2D2D2D"/>
                <w:sz w:val="21"/>
              </w:rPr>
              <w:t>A good SCA opening is: 'You have done the right thing by coming in today. I would like to understand what is happening, check for any urgent risks, and then agree the best next step with you.'</w:t>
            </w:r>
          </w:p>
        </w:tc>
      </w:tr>
    </w:tbl>
    <w:p w14:paraId="09BB96BC" w14:textId="77777777" w:rsidR="0051348E" w:rsidRPr="00AD02ED" w:rsidRDefault="0051348E">
      <w:pPr>
        <w:rPr>
          <w:sz w:val="2"/>
          <w:szCs w:val="2"/>
        </w:rPr>
      </w:pPr>
    </w:p>
    <w:tbl>
      <w:tblPr>
        <w:tblW w:w="0" w:type="auto"/>
        <w:jc w:val="center"/>
        <w:tblLook w:val="04A0" w:firstRow="1" w:lastRow="0" w:firstColumn="1" w:lastColumn="0" w:noHBand="0" w:noVBand="1"/>
      </w:tblPr>
      <w:tblGrid>
        <w:gridCol w:w="10200"/>
      </w:tblGrid>
      <w:tr w:rsidR="0051348E" w14:paraId="2467768D" w14:textId="77777777">
        <w:trPr>
          <w:jc w:val="center"/>
        </w:trPr>
        <w:tc>
          <w:tcPr>
            <w:tcW w:w="10200" w:type="dxa"/>
            <w:shd w:val="clear" w:color="auto" w:fill="FCEBEA"/>
          </w:tcPr>
          <w:p w14:paraId="7C9271DA" w14:textId="77777777" w:rsidR="0051348E" w:rsidRPr="00AD02ED" w:rsidRDefault="00000000">
            <w:pPr>
              <w:spacing w:after="80"/>
              <w:rPr>
                <w:color w:val="EE0000"/>
              </w:rPr>
            </w:pPr>
            <w:r w:rsidRPr="00AD02ED">
              <w:rPr>
                <w:b/>
                <w:color w:val="EE0000"/>
              </w:rPr>
              <w:t>Red flags</w:t>
            </w:r>
          </w:p>
          <w:p w14:paraId="1926A3F2" w14:textId="77777777" w:rsidR="0051348E" w:rsidRDefault="00000000">
            <w:pPr>
              <w:pStyle w:val="ListBullet"/>
            </w:pPr>
            <w:r>
              <w:rPr>
                <w:color w:val="2D2D2D"/>
                <w:sz w:val="21"/>
              </w:rPr>
              <w:t>Recent overdose, suicidal thoughts, severe withdrawal, sepsis, chest pain, pregnancy, psychosis, or major use of alcohol or benzodiazepines alongside opioids.</w:t>
            </w:r>
          </w:p>
          <w:p w14:paraId="7A6C362E" w14:textId="77777777" w:rsidR="0051348E" w:rsidRDefault="00000000">
            <w:pPr>
              <w:pStyle w:val="ListBullet"/>
            </w:pPr>
            <w:r>
              <w:rPr>
                <w:color w:val="2D2D2D"/>
                <w:sz w:val="21"/>
              </w:rPr>
              <w:t>Loss of tolerance after any break in opioid use greatly raises overdose risk if heroin use restarts.</w:t>
            </w:r>
          </w:p>
        </w:tc>
      </w:tr>
    </w:tbl>
    <w:p w14:paraId="303BD22B" w14:textId="77777777" w:rsidR="0051348E" w:rsidRDefault="0051348E"/>
    <w:p w14:paraId="01FA9863" w14:textId="77777777" w:rsidR="0051348E" w:rsidRDefault="00000000">
      <w:pPr>
        <w:pStyle w:val="Heading1"/>
      </w:pPr>
      <w:r>
        <w:rPr>
          <w:rFonts w:ascii="Aptos" w:eastAsia="Aptos" w:hAnsi="Aptos" w:cs="Aptos"/>
          <w:color w:val="2D2D2D"/>
          <w:sz w:val="32"/>
        </w:rPr>
        <w:lastRenderedPageBreak/>
        <w:t>Scenario 2: Treatment, engagement and harm minimisation</w:t>
      </w:r>
    </w:p>
    <w:p w14:paraId="05B4BC80" w14:textId="77777777" w:rsidR="0051348E" w:rsidRDefault="00000000">
      <w:r>
        <w:rPr>
          <w:b/>
          <w:color w:val="2D2D2D"/>
        </w:rPr>
        <w:t xml:space="preserve">Gertrude, age 20: </w:t>
      </w:r>
      <w:r>
        <w:rPr>
          <w:color w:val="2D2D2D"/>
        </w:rPr>
        <w:t>Gertrude has only been registered with the practice for a few months. She attends with a smelly vaginal discharge. You notice she is very thin and has needle marks in both arms. She says she injects about £50 of heroin daily and smokes crack most days, but insists that drugs are 'not really a problem'.</w:t>
      </w:r>
    </w:p>
    <w:p w14:paraId="01B02644" w14:textId="77777777" w:rsidR="0051348E" w:rsidRDefault="00000000">
      <w:pPr>
        <w:pStyle w:val="Heading2"/>
      </w:pPr>
      <w:r>
        <w:rPr>
          <w:rFonts w:ascii="Aptos" w:eastAsia="Aptos" w:hAnsi="Aptos" w:cs="Aptos"/>
          <w:color w:val="2D2D2D"/>
        </w:rPr>
        <w:t>Discussion</w:t>
      </w:r>
    </w:p>
    <w:p w14:paraId="5DB8A5CE" w14:textId="77777777" w:rsidR="0051348E" w:rsidRPr="00AD02ED" w:rsidRDefault="00000000">
      <w:pPr>
        <w:pStyle w:val="ListBullet"/>
        <w:spacing w:after="60"/>
        <w:rPr>
          <w:sz w:val="20"/>
          <w:szCs w:val="20"/>
        </w:rPr>
      </w:pPr>
      <w:r w:rsidRPr="00AD02ED">
        <w:rPr>
          <w:color w:val="2D2D2D"/>
          <w:sz w:val="20"/>
          <w:szCs w:val="20"/>
        </w:rPr>
        <w:t>Treat the presenting complaint properly, but widen the consultation because the examination suggests major health risks.</w:t>
      </w:r>
    </w:p>
    <w:p w14:paraId="0FBDB9BE" w14:textId="77777777" w:rsidR="0051348E" w:rsidRPr="00AD02ED" w:rsidRDefault="00000000">
      <w:pPr>
        <w:pStyle w:val="ListBullet"/>
        <w:spacing w:after="60"/>
        <w:rPr>
          <w:sz w:val="20"/>
          <w:szCs w:val="20"/>
        </w:rPr>
      </w:pPr>
      <w:r w:rsidRPr="00AD02ED">
        <w:rPr>
          <w:color w:val="2D2D2D"/>
          <w:sz w:val="20"/>
          <w:szCs w:val="20"/>
        </w:rPr>
        <w:t>Think about injecting complications and wider vulnerability: abscess, cellulitis, deep vein thrombosis, infective endocarditis, hepatitis, HIV, malnutrition, sexual ill health, pregnancy risk, coercion, exploitation and domestic abuse.</w:t>
      </w:r>
    </w:p>
    <w:p w14:paraId="7C8B72CE" w14:textId="77777777" w:rsidR="0051348E" w:rsidRPr="00AD02ED" w:rsidRDefault="00000000">
      <w:pPr>
        <w:pStyle w:val="ListBullet"/>
        <w:spacing w:after="60"/>
        <w:rPr>
          <w:sz w:val="20"/>
          <w:szCs w:val="20"/>
        </w:rPr>
      </w:pPr>
      <w:r w:rsidRPr="00AD02ED">
        <w:rPr>
          <w:color w:val="2D2D2D"/>
          <w:sz w:val="20"/>
          <w:szCs w:val="20"/>
        </w:rPr>
        <w:t>Use a brief intervention style. Link the conversation to her own priorities today. For example: pain, discharge, weight loss, finances, skin damage or staying out of hospital.</w:t>
      </w:r>
    </w:p>
    <w:p w14:paraId="0CC03F4D" w14:textId="77777777" w:rsidR="0051348E" w:rsidRPr="00AD02ED" w:rsidRDefault="00000000">
      <w:pPr>
        <w:pStyle w:val="ListBullet"/>
        <w:spacing w:after="60"/>
        <w:rPr>
          <w:sz w:val="20"/>
          <w:szCs w:val="20"/>
        </w:rPr>
      </w:pPr>
      <w:r w:rsidRPr="00AD02ED">
        <w:rPr>
          <w:color w:val="2D2D2D"/>
          <w:sz w:val="20"/>
          <w:szCs w:val="20"/>
        </w:rPr>
        <w:t>Offer practical harm reduction advice in plain English: use clean injecting equipment, do not share works, avoid mixing opioids with alcohol or sedatives, seek help early for fever or swollen injection sites, and ask about naloxone access through local services.[3][6][7]</w:t>
      </w:r>
    </w:p>
    <w:p w14:paraId="46492731" w14:textId="77777777" w:rsidR="0051348E" w:rsidRPr="00AD02ED" w:rsidRDefault="00000000">
      <w:pPr>
        <w:pStyle w:val="ListBullet"/>
        <w:spacing w:after="60"/>
        <w:rPr>
          <w:sz w:val="20"/>
          <w:szCs w:val="20"/>
        </w:rPr>
      </w:pPr>
      <w:r w:rsidRPr="00AD02ED">
        <w:rPr>
          <w:color w:val="2D2D2D"/>
          <w:sz w:val="20"/>
          <w:szCs w:val="20"/>
        </w:rPr>
        <w:t>Offer sexual health care, STI testing, contraception discussion, pregnancy testing if relevant, cervical screening if due, and blood-borne virus testing.</w:t>
      </w:r>
    </w:p>
    <w:p w14:paraId="7F7161CE" w14:textId="77777777" w:rsidR="0051348E" w:rsidRPr="00AD02ED" w:rsidRDefault="00000000">
      <w:pPr>
        <w:pStyle w:val="ListBullet"/>
        <w:spacing w:after="60"/>
        <w:rPr>
          <w:sz w:val="20"/>
          <w:szCs w:val="20"/>
        </w:rPr>
      </w:pPr>
      <w:r w:rsidRPr="00AD02ED">
        <w:rPr>
          <w:color w:val="2D2D2D"/>
          <w:sz w:val="20"/>
          <w:szCs w:val="20"/>
        </w:rPr>
        <w:t>Explain UK context for IMG learners: even if she is not ready to stop using, referral to local drug treatment services or DAAT can still provide harm reduction, engagement support and a route into future treatment.</w:t>
      </w:r>
    </w:p>
    <w:p w14:paraId="3BC22854" w14:textId="77777777" w:rsidR="0051348E" w:rsidRPr="00AD02ED" w:rsidRDefault="00000000">
      <w:pPr>
        <w:pStyle w:val="ListBullet"/>
        <w:spacing w:after="60"/>
        <w:rPr>
          <w:sz w:val="20"/>
          <w:szCs w:val="20"/>
        </w:rPr>
      </w:pPr>
      <w:r w:rsidRPr="00AD02ED">
        <w:rPr>
          <w:color w:val="2D2D2D"/>
          <w:sz w:val="20"/>
          <w:szCs w:val="20"/>
        </w:rPr>
        <w:t>Where opioid dependence treatment is accepted, methadone or buprenorphine are the usual maintenance options. Psychosocial support should run alongside medication.[2][5][7]</w:t>
      </w:r>
    </w:p>
    <w:tbl>
      <w:tblPr>
        <w:tblW w:w="0" w:type="auto"/>
        <w:jc w:val="center"/>
        <w:tblLook w:val="04A0" w:firstRow="1" w:lastRow="0" w:firstColumn="1" w:lastColumn="0" w:noHBand="0" w:noVBand="1"/>
      </w:tblPr>
      <w:tblGrid>
        <w:gridCol w:w="10200"/>
      </w:tblGrid>
      <w:tr w:rsidR="0051348E" w14:paraId="63734175" w14:textId="77777777">
        <w:trPr>
          <w:jc w:val="center"/>
        </w:trPr>
        <w:tc>
          <w:tcPr>
            <w:tcW w:w="10200" w:type="dxa"/>
            <w:shd w:val="clear" w:color="auto" w:fill="FCF2E9"/>
          </w:tcPr>
          <w:p w14:paraId="2291E82C" w14:textId="77777777" w:rsidR="0051348E" w:rsidRPr="00AD02ED" w:rsidRDefault="00000000">
            <w:pPr>
              <w:spacing w:after="80"/>
            </w:pPr>
            <w:r w:rsidRPr="00AD02ED">
              <w:rPr>
                <w:b/>
              </w:rPr>
              <w:t>Discussion points for the group</w:t>
            </w:r>
          </w:p>
          <w:p w14:paraId="5284A8AA" w14:textId="77777777" w:rsidR="0051348E" w:rsidRDefault="00000000">
            <w:pPr>
              <w:pStyle w:val="ListBullet"/>
            </w:pPr>
            <w:r>
              <w:rPr>
                <w:color w:val="2D2D2D"/>
                <w:sz w:val="21"/>
              </w:rPr>
              <w:t>How do you balance the presenting complaint with opportunistic substance misuse care?</w:t>
            </w:r>
          </w:p>
          <w:p w14:paraId="464762F1" w14:textId="77777777" w:rsidR="0051348E" w:rsidRDefault="00000000">
            <w:pPr>
              <w:pStyle w:val="ListBullet"/>
            </w:pPr>
            <w:r>
              <w:rPr>
                <w:color w:val="2D2D2D"/>
                <w:sz w:val="21"/>
              </w:rPr>
              <w:t>Which infections and safeguarding issues must be actively considered?</w:t>
            </w:r>
          </w:p>
          <w:p w14:paraId="3BAB8195" w14:textId="77777777" w:rsidR="0051348E" w:rsidRDefault="00000000">
            <w:pPr>
              <w:pStyle w:val="ListBullet"/>
            </w:pPr>
            <w:r>
              <w:rPr>
                <w:color w:val="2D2D2D"/>
                <w:sz w:val="21"/>
              </w:rPr>
              <w:t>What practical harm reduction advice matters most today?</w:t>
            </w:r>
          </w:p>
          <w:p w14:paraId="3D96F64A" w14:textId="77777777" w:rsidR="0051348E" w:rsidRDefault="00000000">
            <w:pPr>
              <w:pStyle w:val="ListBullet"/>
            </w:pPr>
            <w:r>
              <w:rPr>
                <w:color w:val="2D2D2D"/>
                <w:sz w:val="21"/>
              </w:rPr>
              <w:t>How can you improve the chance that she comes back?</w:t>
            </w:r>
          </w:p>
        </w:tc>
      </w:tr>
    </w:tbl>
    <w:p w14:paraId="57A317C5" w14:textId="77777777" w:rsidR="0051348E" w:rsidRPr="00AD02ED" w:rsidRDefault="0051348E">
      <w:pPr>
        <w:rPr>
          <w:sz w:val="2"/>
          <w:szCs w:val="2"/>
        </w:rPr>
      </w:pPr>
    </w:p>
    <w:tbl>
      <w:tblPr>
        <w:tblW w:w="0" w:type="auto"/>
        <w:jc w:val="center"/>
        <w:tblLook w:val="04A0" w:firstRow="1" w:lastRow="0" w:firstColumn="1" w:lastColumn="0" w:noHBand="0" w:noVBand="1"/>
      </w:tblPr>
      <w:tblGrid>
        <w:gridCol w:w="10200"/>
      </w:tblGrid>
      <w:tr w:rsidR="0051348E" w14:paraId="23A5D953" w14:textId="77777777">
        <w:trPr>
          <w:jc w:val="center"/>
        </w:trPr>
        <w:tc>
          <w:tcPr>
            <w:tcW w:w="10200" w:type="dxa"/>
            <w:shd w:val="clear" w:color="auto" w:fill="F3ECFC"/>
          </w:tcPr>
          <w:p w14:paraId="26D3BA7B" w14:textId="77777777" w:rsidR="0051348E" w:rsidRDefault="00000000">
            <w:r>
              <w:rPr>
                <w:b/>
                <w:color w:val="2D2D2D"/>
              </w:rPr>
              <w:t xml:space="preserve">AKT tip: </w:t>
            </w:r>
            <w:r>
              <w:rPr>
                <w:color w:val="2D2D2D"/>
                <w:sz w:val="21"/>
              </w:rPr>
              <w:t>In AKT questions, injection drug use plus weight loss and genital symptoms should trigger wider thinking: STI risk, blood-borne viruses, pregnancy, safeguarding, skin and soft tissue infection, infective endocarditis and overdose prevention.</w:t>
            </w:r>
          </w:p>
        </w:tc>
      </w:tr>
    </w:tbl>
    <w:p w14:paraId="2C8F1A6C" w14:textId="77777777" w:rsidR="0051348E" w:rsidRPr="00AD02ED" w:rsidRDefault="0051348E">
      <w:pPr>
        <w:rPr>
          <w:sz w:val="2"/>
          <w:szCs w:val="2"/>
        </w:rPr>
      </w:pPr>
    </w:p>
    <w:tbl>
      <w:tblPr>
        <w:tblW w:w="0" w:type="auto"/>
        <w:jc w:val="center"/>
        <w:tblLook w:val="04A0" w:firstRow="1" w:lastRow="0" w:firstColumn="1" w:lastColumn="0" w:noHBand="0" w:noVBand="1"/>
      </w:tblPr>
      <w:tblGrid>
        <w:gridCol w:w="10200"/>
      </w:tblGrid>
      <w:tr w:rsidR="0051348E" w14:paraId="4AD02CF9" w14:textId="77777777">
        <w:trPr>
          <w:jc w:val="center"/>
        </w:trPr>
        <w:tc>
          <w:tcPr>
            <w:tcW w:w="10200" w:type="dxa"/>
            <w:shd w:val="clear" w:color="auto" w:fill="E6F7F8"/>
          </w:tcPr>
          <w:p w14:paraId="08F56FD6" w14:textId="77777777" w:rsidR="0051348E" w:rsidRDefault="00000000">
            <w:r>
              <w:rPr>
                <w:b/>
                <w:color w:val="2D2D2D"/>
              </w:rPr>
              <w:t xml:space="preserve">SCA tip: </w:t>
            </w:r>
            <w:r>
              <w:rPr>
                <w:color w:val="2D2D2D"/>
                <w:sz w:val="21"/>
              </w:rPr>
              <w:t>Use permission and partnership. For example: 'I know you came about the discharge. Would it be okay if I also mention two things that could help keep you safe?'</w:t>
            </w:r>
          </w:p>
        </w:tc>
      </w:tr>
    </w:tbl>
    <w:p w14:paraId="2F5A2A32" w14:textId="77777777" w:rsidR="0051348E" w:rsidRPr="00AD02ED" w:rsidRDefault="0051348E">
      <w:pPr>
        <w:rPr>
          <w:sz w:val="2"/>
          <w:szCs w:val="2"/>
        </w:rPr>
      </w:pPr>
    </w:p>
    <w:tbl>
      <w:tblPr>
        <w:tblW w:w="0" w:type="auto"/>
        <w:jc w:val="center"/>
        <w:tblLook w:val="04A0" w:firstRow="1" w:lastRow="0" w:firstColumn="1" w:lastColumn="0" w:noHBand="0" w:noVBand="1"/>
      </w:tblPr>
      <w:tblGrid>
        <w:gridCol w:w="10200"/>
      </w:tblGrid>
      <w:tr w:rsidR="0051348E" w14:paraId="7681E5EE" w14:textId="77777777">
        <w:trPr>
          <w:jc w:val="center"/>
        </w:trPr>
        <w:tc>
          <w:tcPr>
            <w:tcW w:w="10200" w:type="dxa"/>
            <w:shd w:val="clear" w:color="auto" w:fill="FCEBEA"/>
          </w:tcPr>
          <w:p w14:paraId="31117C8F" w14:textId="77777777" w:rsidR="0051348E" w:rsidRPr="00AD02ED" w:rsidRDefault="00000000">
            <w:pPr>
              <w:spacing w:after="80"/>
              <w:rPr>
                <w:color w:val="EE0000"/>
              </w:rPr>
            </w:pPr>
            <w:r w:rsidRPr="00AD02ED">
              <w:rPr>
                <w:b/>
                <w:color w:val="EE0000"/>
              </w:rPr>
              <w:t>Red flags</w:t>
            </w:r>
          </w:p>
          <w:p w14:paraId="06E43CDD" w14:textId="77777777" w:rsidR="0051348E" w:rsidRDefault="00000000">
            <w:pPr>
              <w:pStyle w:val="ListBullet"/>
            </w:pPr>
            <w:r>
              <w:rPr>
                <w:color w:val="2D2D2D"/>
                <w:sz w:val="21"/>
              </w:rPr>
              <w:t>Fever, new murmur, pleuritic chest pain, breathlessness, groin swelling, severe cellulitis, abscess, pregnancy, suicidal thoughts, or suspected exploitation.</w:t>
            </w:r>
          </w:p>
          <w:p w14:paraId="7CFFA5A0" w14:textId="77777777" w:rsidR="0051348E" w:rsidRDefault="00000000">
            <w:pPr>
              <w:pStyle w:val="ListBullet"/>
            </w:pPr>
            <w:r>
              <w:rPr>
                <w:color w:val="2D2D2D"/>
                <w:sz w:val="21"/>
              </w:rPr>
              <w:t>Crack plus heroin use often means chaotic use, poor nutrition and higher overdose risk, especially if sedatives are also used.</w:t>
            </w:r>
          </w:p>
        </w:tc>
      </w:tr>
    </w:tbl>
    <w:p w14:paraId="705ED092" w14:textId="77777777" w:rsidR="0051348E" w:rsidRDefault="0051348E"/>
    <w:p w14:paraId="00746DA6" w14:textId="77777777" w:rsidR="0051348E" w:rsidRDefault="00000000">
      <w:pPr>
        <w:pStyle w:val="Heading1"/>
      </w:pPr>
      <w:r>
        <w:rPr>
          <w:rFonts w:ascii="Aptos" w:eastAsia="Aptos" w:hAnsi="Aptos" w:cs="Aptos"/>
          <w:color w:val="2D2D2D"/>
          <w:sz w:val="32"/>
        </w:rPr>
        <w:lastRenderedPageBreak/>
        <w:t>Scenario 3: Desperate or dodgy?</w:t>
      </w:r>
    </w:p>
    <w:p w14:paraId="0D9F2F7B" w14:textId="77777777" w:rsidR="0051348E" w:rsidRDefault="00000000">
      <w:r>
        <w:rPr>
          <w:b/>
          <w:color w:val="2D2D2D"/>
        </w:rPr>
        <w:t xml:space="preserve">Maxwell, age 29: </w:t>
      </w:r>
      <w:r>
        <w:rPr>
          <w:color w:val="2D2D2D"/>
        </w:rPr>
        <w:t>It is Friday afternoon. Maxwell has just registered as a temporary resident and is staying with friends after leaving another town because of threats of violence. He says he left all medication behind. He reports taking dihydrocodeine 60 mg six tablets twice daily for addiction and diazepam 40 mg daily for depression, and asks for a repeat prescription today.</w:t>
      </w:r>
    </w:p>
    <w:p w14:paraId="2EED41AD" w14:textId="77777777" w:rsidR="0051348E" w:rsidRDefault="00000000">
      <w:pPr>
        <w:pStyle w:val="Heading2"/>
      </w:pPr>
      <w:r>
        <w:rPr>
          <w:rFonts w:ascii="Aptos" w:eastAsia="Aptos" w:hAnsi="Aptos" w:cs="Aptos"/>
          <w:color w:val="2D2D2D"/>
        </w:rPr>
        <w:t>Discussion</w:t>
      </w:r>
    </w:p>
    <w:p w14:paraId="5EFD4D78" w14:textId="77777777" w:rsidR="0051348E" w:rsidRDefault="00000000">
      <w:pPr>
        <w:pStyle w:val="ListBullet"/>
        <w:spacing w:after="60"/>
      </w:pPr>
      <w:r>
        <w:rPr>
          <w:color w:val="2D2D2D"/>
        </w:rPr>
        <w:t>This is a high-risk request. Clarify identity, current address, usual GP, previous prescriber, regular pharmacy, exact doses, date of last dose, what drugs he has used recently, and whether there is any documentary proof.</w:t>
      </w:r>
    </w:p>
    <w:p w14:paraId="3691DEF5" w14:textId="77777777" w:rsidR="0051348E" w:rsidRDefault="00000000">
      <w:pPr>
        <w:pStyle w:val="ListBullet"/>
        <w:spacing w:after="60"/>
      </w:pPr>
      <w:r>
        <w:rPr>
          <w:color w:val="2D2D2D"/>
        </w:rPr>
        <w:t>Explain the UK primary care context clearly for IMG learners: emergency prescribing of controlled drugs for an unknown patient is risky and needs verification. The previous GP, pharmacy, shared-care records or specialist service should be contacted urgently before any prescribing decision.</w:t>
      </w:r>
    </w:p>
    <w:p w14:paraId="15231D72" w14:textId="77777777" w:rsidR="0051348E" w:rsidRDefault="00000000">
      <w:pPr>
        <w:pStyle w:val="ListBullet"/>
        <w:spacing w:after="60"/>
      </w:pPr>
      <w:r>
        <w:rPr>
          <w:color w:val="2D2D2D"/>
        </w:rPr>
        <w:t>The claimed regimen itself is worrying. Dihydrocodeine is not standard first-line maintenance treatment for opioid dependence, and diazepam 40 mg daily for 'depression' is unusual and potentially unsafe.</w:t>
      </w:r>
    </w:p>
    <w:p w14:paraId="7F2D59FB" w14:textId="77777777" w:rsidR="0051348E" w:rsidRDefault="00000000">
      <w:pPr>
        <w:pStyle w:val="ListBullet"/>
        <w:spacing w:after="60"/>
      </w:pPr>
      <w:r>
        <w:rPr>
          <w:color w:val="2D2D2D"/>
        </w:rPr>
        <w:t>Assess for intoxication, withdrawal, overdose risk, suicidality, homelessness, violence risk and safeguarding. Also ask about alcohol, illicit benzodiazepines, gabapentinoids and current heroin use.</w:t>
      </w:r>
    </w:p>
    <w:p w14:paraId="09E1DB89" w14:textId="77777777" w:rsidR="0051348E" w:rsidRDefault="00000000">
      <w:pPr>
        <w:pStyle w:val="ListBullet"/>
        <w:spacing w:after="60"/>
      </w:pPr>
      <w:r>
        <w:rPr>
          <w:color w:val="2D2D2D"/>
        </w:rPr>
        <w:t>Do not prescribe methadone or buprenorphine in an emergency to an unknown patient without proper assessment and systems in place.[3] If the story cannot be verified, focus on safety planning, urgent liaison with local drug treatment services or DAAT, and emergency care if acutely unwell.</w:t>
      </w:r>
    </w:p>
    <w:p w14:paraId="38AFD93B" w14:textId="77777777" w:rsidR="0051348E" w:rsidRDefault="00000000">
      <w:pPr>
        <w:pStyle w:val="ListBullet"/>
        <w:spacing w:after="60"/>
      </w:pPr>
      <w:r>
        <w:rPr>
          <w:color w:val="2D2D2D"/>
        </w:rPr>
        <w:t>If a limited prescription is ever considered after verification, prescribe the smallest safe amount, document the rationale clearly, and arrange prompt follow-up.</w:t>
      </w:r>
    </w:p>
    <w:tbl>
      <w:tblPr>
        <w:tblW w:w="0" w:type="auto"/>
        <w:jc w:val="center"/>
        <w:tblLook w:val="04A0" w:firstRow="1" w:lastRow="0" w:firstColumn="1" w:lastColumn="0" w:noHBand="0" w:noVBand="1"/>
      </w:tblPr>
      <w:tblGrid>
        <w:gridCol w:w="10200"/>
      </w:tblGrid>
      <w:tr w:rsidR="0051348E" w14:paraId="784222CA" w14:textId="77777777">
        <w:trPr>
          <w:jc w:val="center"/>
        </w:trPr>
        <w:tc>
          <w:tcPr>
            <w:tcW w:w="10200" w:type="dxa"/>
            <w:shd w:val="clear" w:color="auto" w:fill="FCF2E9"/>
          </w:tcPr>
          <w:p w14:paraId="4D2D8AB1" w14:textId="77777777" w:rsidR="0051348E" w:rsidRPr="00AD02ED" w:rsidRDefault="00000000">
            <w:pPr>
              <w:spacing w:after="80"/>
            </w:pPr>
            <w:r w:rsidRPr="00AD02ED">
              <w:rPr>
                <w:b/>
              </w:rPr>
              <w:t>Discussion points for the group</w:t>
            </w:r>
          </w:p>
          <w:p w14:paraId="672E9578" w14:textId="77777777" w:rsidR="0051348E" w:rsidRDefault="00000000">
            <w:pPr>
              <w:pStyle w:val="ListBullet"/>
            </w:pPr>
            <w:r>
              <w:rPr>
                <w:color w:val="2D2D2D"/>
                <w:sz w:val="21"/>
              </w:rPr>
              <w:t>What makes this request clinically and medicolegally risky?</w:t>
            </w:r>
          </w:p>
          <w:p w14:paraId="01290F63" w14:textId="77777777" w:rsidR="0051348E" w:rsidRDefault="00000000">
            <w:pPr>
              <w:pStyle w:val="ListBullet"/>
            </w:pPr>
            <w:r>
              <w:rPr>
                <w:color w:val="2D2D2D"/>
                <w:sz w:val="21"/>
              </w:rPr>
              <w:t>Which sources could verify the history the same day?</w:t>
            </w:r>
          </w:p>
          <w:p w14:paraId="1F4006EF" w14:textId="77777777" w:rsidR="0051348E" w:rsidRDefault="00000000">
            <w:pPr>
              <w:pStyle w:val="ListBullet"/>
            </w:pPr>
            <w:r>
              <w:rPr>
                <w:color w:val="2D2D2D"/>
                <w:sz w:val="21"/>
              </w:rPr>
              <w:t>How should you respond to pressure such as 'If you do not prescribe, I will go back on heroin'?</w:t>
            </w:r>
          </w:p>
          <w:p w14:paraId="7656BA9D" w14:textId="77777777" w:rsidR="0051348E" w:rsidRDefault="00000000">
            <w:pPr>
              <w:pStyle w:val="ListBullet"/>
            </w:pPr>
            <w:r>
              <w:rPr>
                <w:color w:val="2D2D2D"/>
                <w:sz w:val="21"/>
              </w:rPr>
              <w:t>When should urgent or emergency care replace prescribing?</w:t>
            </w:r>
          </w:p>
        </w:tc>
      </w:tr>
    </w:tbl>
    <w:p w14:paraId="1C3D8A75" w14:textId="77777777" w:rsidR="0051348E" w:rsidRPr="00AD02ED" w:rsidRDefault="0051348E">
      <w:pPr>
        <w:rPr>
          <w:sz w:val="2"/>
          <w:szCs w:val="2"/>
        </w:rPr>
      </w:pPr>
    </w:p>
    <w:tbl>
      <w:tblPr>
        <w:tblW w:w="0" w:type="auto"/>
        <w:jc w:val="center"/>
        <w:tblLook w:val="04A0" w:firstRow="1" w:lastRow="0" w:firstColumn="1" w:lastColumn="0" w:noHBand="0" w:noVBand="1"/>
      </w:tblPr>
      <w:tblGrid>
        <w:gridCol w:w="10200"/>
      </w:tblGrid>
      <w:tr w:rsidR="0051348E" w14:paraId="0664D25B" w14:textId="77777777">
        <w:trPr>
          <w:jc w:val="center"/>
        </w:trPr>
        <w:tc>
          <w:tcPr>
            <w:tcW w:w="10200" w:type="dxa"/>
            <w:shd w:val="clear" w:color="auto" w:fill="F3ECFC"/>
          </w:tcPr>
          <w:p w14:paraId="7FF573B5" w14:textId="77777777" w:rsidR="0051348E" w:rsidRDefault="00000000">
            <w:r>
              <w:rPr>
                <w:b/>
                <w:color w:val="2D2D2D"/>
              </w:rPr>
              <w:t xml:space="preserve">AKT tip: </w:t>
            </w:r>
            <w:r>
              <w:rPr>
                <w:color w:val="2D2D2D"/>
                <w:sz w:val="21"/>
              </w:rPr>
              <w:t>For exam questions on unknown patients asking for controlled drugs, the safe answer is verification first. Do not be pushed into prescribing by time pressure, sympathy or threats.</w:t>
            </w:r>
          </w:p>
        </w:tc>
      </w:tr>
    </w:tbl>
    <w:p w14:paraId="64E69A3D" w14:textId="77777777" w:rsidR="0051348E" w:rsidRPr="00AD02ED" w:rsidRDefault="0051348E">
      <w:pPr>
        <w:rPr>
          <w:sz w:val="2"/>
          <w:szCs w:val="2"/>
        </w:rPr>
      </w:pPr>
    </w:p>
    <w:tbl>
      <w:tblPr>
        <w:tblW w:w="0" w:type="auto"/>
        <w:jc w:val="center"/>
        <w:tblLook w:val="04A0" w:firstRow="1" w:lastRow="0" w:firstColumn="1" w:lastColumn="0" w:noHBand="0" w:noVBand="1"/>
      </w:tblPr>
      <w:tblGrid>
        <w:gridCol w:w="10200"/>
      </w:tblGrid>
      <w:tr w:rsidR="0051348E" w14:paraId="1789FEA1" w14:textId="77777777">
        <w:trPr>
          <w:jc w:val="center"/>
        </w:trPr>
        <w:tc>
          <w:tcPr>
            <w:tcW w:w="10200" w:type="dxa"/>
            <w:shd w:val="clear" w:color="auto" w:fill="E6F7F8"/>
          </w:tcPr>
          <w:p w14:paraId="7DB8044D" w14:textId="77777777" w:rsidR="0051348E" w:rsidRDefault="00000000">
            <w:r>
              <w:rPr>
                <w:b/>
                <w:color w:val="2D2D2D"/>
              </w:rPr>
              <w:t xml:space="preserve">SCA tip: </w:t>
            </w:r>
            <w:r>
              <w:rPr>
                <w:color w:val="2D2D2D"/>
                <w:sz w:val="21"/>
              </w:rPr>
              <w:t>A good SCA response is calm and boundaried: 'I can see you are worried, and I want to keep you safe. I cannot prescribe high-risk drugs without checking the facts, but I will help you with the safest next steps today.'</w:t>
            </w:r>
          </w:p>
        </w:tc>
      </w:tr>
    </w:tbl>
    <w:p w14:paraId="23FA1552" w14:textId="77777777" w:rsidR="0051348E" w:rsidRPr="00AD02ED" w:rsidRDefault="0051348E">
      <w:pPr>
        <w:rPr>
          <w:sz w:val="4"/>
          <w:szCs w:val="4"/>
        </w:rPr>
      </w:pPr>
    </w:p>
    <w:tbl>
      <w:tblPr>
        <w:tblW w:w="0" w:type="auto"/>
        <w:jc w:val="center"/>
        <w:tblLook w:val="04A0" w:firstRow="1" w:lastRow="0" w:firstColumn="1" w:lastColumn="0" w:noHBand="0" w:noVBand="1"/>
      </w:tblPr>
      <w:tblGrid>
        <w:gridCol w:w="10200"/>
      </w:tblGrid>
      <w:tr w:rsidR="0051348E" w14:paraId="6761B978" w14:textId="77777777">
        <w:trPr>
          <w:jc w:val="center"/>
        </w:trPr>
        <w:tc>
          <w:tcPr>
            <w:tcW w:w="10200" w:type="dxa"/>
            <w:shd w:val="clear" w:color="auto" w:fill="FCEBEA"/>
          </w:tcPr>
          <w:p w14:paraId="4C10B26C" w14:textId="77777777" w:rsidR="0051348E" w:rsidRPr="00AD02ED" w:rsidRDefault="00000000">
            <w:pPr>
              <w:spacing w:after="80"/>
              <w:rPr>
                <w:color w:val="EE0000"/>
              </w:rPr>
            </w:pPr>
            <w:r w:rsidRPr="00AD02ED">
              <w:rPr>
                <w:b/>
                <w:color w:val="EE0000"/>
              </w:rPr>
              <w:t>Red flags</w:t>
            </w:r>
          </w:p>
          <w:p w14:paraId="3799A596" w14:textId="77777777" w:rsidR="0051348E" w:rsidRDefault="00000000">
            <w:pPr>
              <w:pStyle w:val="ListBullet"/>
            </w:pPr>
            <w:r>
              <w:rPr>
                <w:color w:val="2D2D2D"/>
                <w:sz w:val="21"/>
              </w:rPr>
              <w:t>Drowsiness, slurred speech, pinpoint pupils, low respiratory rate, severe agitation, suicidality, severe withdrawal, or combined opioid and benzodiazepine use.</w:t>
            </w:r>
          </w:p>
          <w:p w14:paraId="1C7248DB" w14:textId="77777777" w:rsidR="0051348E" w:rsidRDefault="00000000">
            <w:pPr>
              <w:pStyle w:val="ListBullet"/>
            </w:pPr>
            <w:r>
              <w:rPr>
                <w:color w:val="2D2D2D"/>
                <w:sz w:val="21"/>
              </w:rPr>
              <w:t>The combination of opioids with benzodiazepines or alcohol markedly increases overdose risk.[2][3]</w:t>
            </w:r>
          </w:p>
        </w:tc>
      </w:tr>
    </w:tbl>
    <w:p w14:paraId="2B152E7A" w14:textId="77777777" w:rsidR="0051348E" w:rsidRDefault="0051348E"/>
    <w:p w14:paraId="66A4B7CA" w14:textId="77777777" w:rsidR="0051348E" w:rsidRDefault="00000000">
      <w:pPr>
        <w:pStyle w:val="Heading1"/>
      </w:pPr>
      <w:r>
        <w:rPr>
          <w:rFonts w:ascii="Aptos" w:eastAsia="Aptos" w:hAnsi="Aptos" w:cs="Aptos"/>
          <w:color w:val="2D2D2D"/>
          <w:sz w:val="32"/>
        </w:rPr>
        <w:lastRenderedPageBreak/>
        <w:t>Teaching notes for supervisors</w:t>
      </w:r>
    </w:p>
    <w:p w14:paraId="582BA66F" w14:textId="77777777" w:rsidR="0051348E" w:rsidRDefault="00000000">
      <w:pPr>
        <w:pStyle w:val="ListBullet"/>
        <w:spacing w:after="60"/>
      </w:pPr>
      <w:r>
        <w:rPr>
          <w:color w:val="2D2D2D"/>
        </w:rPr>
        <w:t>Keep the language plain and practical. Ask learners to explain how they would speak to the patient, not just what guideline they know.</w:t>
      </w:r>
    </w:p>
    <w:p w14:paraId="1D9CD94D" w14:textId="77777777" w:rsidR="0051348E" w:rsidRDefault="00000000">
      <w:pPr>
        <w:pStyle w:val="ListBullet"/>
        <w:spacing w:after="60"/>
      </w:pPr>
      <w:r>
        <w:rPr>
          <w:color w:val="2D2D2D"/>
        </w:rPr>
        <w:t>Check that learners understand the UK primary care role, the limits of emergency prescribing, and the importance of shared working with specialist services.</w:t>
      </w:r>
    </w:p>
    <w:p w14:paraId="254924CF" w14:textId="77777777" w:rsidR="0051348E" w:rsidRDefault="00000000">
      <w:pPr>
        <w:pStyle w:val="ListBullet"/>
        <w:spacing w:after="60"/>
      </w:pPr>
      <w:r>
        <w:rPr>
          <w:color w:val="2D2D2D"/>
        </w:rPr>
        <w:t>Highlight that urine or oral fluid testing supports assessment but does not replace clinical judgement.[7]</w:t>
      </w:r>
    </w:p>
    <w:p w14:paraId="0215D7C5" w14:textId="77777777" w:rsidR="0051348E" w:rsidRDefault="00000000">
      <w:pPr>
        <w:pStyle w:val="ListBullet"/>
        <w:spacing w:after="60"/>
      </w:pPr>
      <w:r>
        <w:rPr>
          <w:color w:val="2D2D2D"/>
        </w:rPr>
        <w:t>Bring discussions back to safety: overdose, sepsis, pregnancy, mental health crisis, safeguarding and polysubstance use.</w:t>
      </w:r>
    </w:p>
    <w:p w14:paraId="1B034762" w14:textId="77777777" w:rsidR="0051348E" w:rsidRDefault="00000000">
      <w:pPr>
        <w:pStyle w:val="Heading1"/>
      </w:pPr>
      <w:r>
        <w:rPr>
          <w:rFonts w:ascii="Aptos" w:eastAsia="Aptos" w:hAnsi="Aptos" w:cs="Aptos"/>
          <w:color w:val="2D2D2D"/>
          <w:sz w:val="32"/>
        </w:rPr>
        <w:t>References</w:t>
      </w:r>
    </w:p>
    <w:p w14:paraId="67D63186" w14:textId="77777777" w:rsidR="0051348E" w:rsidRDefault="00000000">
      <w:r>
        <w:rPr>
          <w:color w:val="2D2D2D"/>
          <w:sz w:val="21"/>
        </w:rPr>
        <w:t>[1] Source files. drug misuse - scenarios.md and drug misuse - scenarios and guidance.md, Bradford VTS teaching materials supplied in workspace.</w:t>
      </w:r>
    </w:p>
    <w:p w14:paraId="1F36D7FE" w14:textId="77777777" w:rsidR="0051348E" w:rsidRDefault="00000000">
      <w:r>
        <w:rPr>
          <w:color w:val="2D2D2D"/>
          <w:sz w:val="21"/>
        </w:rPr>
        <w:t>[2] OHID medicine choices in opioid substitution treatment (2024). https://www.gov.uk/government/publications/medicine-choices-in-opioid-substitution-treatment</w:t>
      </w:r>
    </w:p>
    <w:p w14:paraId="1608FDD9" w14:textId="77777777" w:rsidR="0051348E" w:rsidRDefault="00000000">
      <w:r>
        <w:rPr>
          <w:color w:val="2D2D2D"/>
          <w:sz w:val="21"/>
        </w:rPr>
        <w:t>[3] NICE CKS Opioid dependence: managing special circumstances (last revised February 2025). https://cks.nice.org.uk/topics/opioid-dependence/management/managing-special-circumstances/</w:t>
      </w:r>
    </w:p>
    <w:p w14:paraId="71FF27C0" w14:textId="77777777" w:rsidR="0051348E" w:rsidRDefault="00000000">
      <w:r>
        <w:rPr>
          <w:color w:val="2D2D2D"/>
          <w:sz w:val="21"/>
        </w:rPr>
        <w:t>[4] NICE CG52 Drug misuse in over 16s: opioid detoxification (last reviewed December 2024). https://www.nice.org.uk/guidance/cg52</w:t>
      </w:r>
    </w:p>
    <w:p w14:paraId="64A4DA3F" w14:textId="77777777" w:rsidR="0051348E" w:rsidRDefault="00000000">
      <w:r>
        <w:rPr>
          <w:color w:val="2D2D2D"/>
          <w:sz w:val="21"/>
        </w:rPr>
        <w:t>[5] NICE TA114 Methadone and buprenorphine for the management of opioid dependence. https://www.nice.org.uk/guidance/ta114/chapter/1-Recommendations</w:t>
      </w:r>
    </w:p>
    <w:p w14:paraId="23559980" w14:textId="77777777" w:rsidR="0051348E" w:rsidRDefault="00000000">
      <w:r>
        <w:rPr>
          <w:color w:val="2D2D2D"/>
          <w:sz w:val="21"/>
        </w:rPr>
        <w:t>[6] UK clinical guidelines on drug misuse and dependence, Orange Book 2017. https://assets.publishing.service.gov.uk/government/uploads/system/uploads/attachment_data/file/673978/clinical_guidelines_2017.pdf</w:t>
      </w:r>
    </w:p>
    <w:p w14:paraId="25EE8B95" w14:textId="77777777" w:rsidR="0051348E" w:rsidRDefault="00000000">
      <w:r>
        <w:rPr>
          <w:color w:val="2D2D2D"/>
          <w:sz w:val="21"/>
        </w:rPr>
        <w:t>[7] NICE CG51 Drug misuse in over 16s: psychosocial interventions. https://www.nice.org.uk/guidance/cg51/chapter/Recommendations</w:t>
      </w:r>
    </w:p>
    <w:tbl>
      <w:tblPr>
        <w:tblW w:w="0" w:type="auto"/>
        <w:jc w:val="center"/>
        <w:tblLook w:val="04A0" w:firstRow="1" w:lastRow="0" w:firstColumn="1" w:lastColumn="0" w:noHBand="0" w:noVBand="1"/>
      </w:tblPr>
      <w:tblGrid>
        <w:gridCol w:w="10200"/>
      </w:tblGrid>
      <w:tr w:rsidR="0051348E" w14:paraId="33D1063F" w14:textId="77777777">
        <w:trPr>
          <w:jc w:val="center"/>
        </w:trPr>
        <w:tc>
          <w:tcPr>
            <w:tcW w:w="10200" w:type="dxa"/>
            <w:shd w:val="clear" w:color="auto" w:fill="FCEBEA"/>
          </w:tcPr>
          <w:p w14:paraId="4B6DA2ED" w14:textId="77777777" w:rsidR="0051348E" w:rsidRPr="00AD02ED" w:rsidRDefault="00000000">
            <w:pPr>
              <w:spacing w:after="80"/>
              <w:rPr>
                <w:color w:val="EE0000"/>
              </w:rPr>
            </w:pPr>
            <w:r w:rsidRPr="00AD02ED">
              <w:rPr>
                <w:b/>
                <w:color w:val="EE0000"/>
              </w:rPr>
              <w:t>Important</w:t>
            </w:r>
          </w:p>
          <w:p w14:paraId="48104918" w14:textId="77777777" w:rsidR="0051348E" w:rsidRDefault="00000000">
            <w:pPr>
              <w:pStyle w:val="ListBullet"/>
            </w:pPr>
            <w:r>
              <w:rPr>
                <w:color w:val="2D2D2D"/>
                <w:sz w:val="21"/>
              </w:rPr>
              <w:t>Always double check this advice and drug doses with the latest NICE/BNF guidance. This document is for educational purposes only.</w:t>
            </w:r>
          </w:p>
        </w:tc>
      </w:tr>
    </w:tbl>
    <w:p w14:paraId="74E96145" w14:textId="77777777" w:rsidR="0051348E" w:rsidRDefault="0051348E"/>
    <w:sectPr w:rsidR="0051348E" w:rsidSect="00034616">
      <w:footerReference w:type="default" r:id="rId9"/>
      <w:pgSz w:w="12240" w:h="15840"/>
      <w:pgMar w:top="964" w:right="1020" w:bottom="102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DFC0C" w14:textId="77777777" w:rsidR="000E2C0E" w:rsidRDefault="000E2C0E">
      <w:pPr>
        <w:spacing w:after="0" w:line="240" w:lineRule="auto"/>
      </w:pPr>
      <w:r>
        <w:separator/>
      </w:r>
    </w:p>
  </w:endnote>
  <w:endnote w:type="continuationSeparator" w:id="0">
    <w:p w14:paraId="5CF63BAC" w14:textId="77777777" w:rsidR="000E2C0E" w:rsidRDefault="000E2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FC69" w14:textId="77777777" w:rsidR="0051348E" w:rsidRDefault="00000000">
    <w:pPr>
      <w:pStyle w:val="Footer"/>
      <w:jc w:val="center"/>
    </w:pPr>
    <w:r>
      <w:rPr>
        <w:color w:val="5A5A5A"/>
        <w:sz w:val="18"/>
      </w:rPr>
      <w:t>A free resource provided by www.bradfordvts.co.uk, Dr Ramesh Mehay,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A309" w14:textId="77777777" w:rsidR="000E2C0E" w:rsidRDefault="000E2C0E">
      <w:pPr>
        <w:spacing w:after="0" w:line="240" w:lineRule="auto"/>
      </w:pPr>
      <w:r>
        <w:separator/>
      </w:r>
    </w:p>
  </w:footnote>
  <w:footnote w:type="continuationSeparator" w:id="0">
    <w:p w14:paraId="7353289D" w14:textId="77777777" w:rsidR="000E2C0E" w:rsidRDefault="000E2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45677890">
    <w:abstractNumId w:val="8"/>
  </w:num>
  <w:num w:numId="2" w16cid:durableId="1772385100">
    <w:abstractNumId w:val="6"/>
  </w:num>
  <w:num w:numId="3" w16cid:durableId="73670113">
    <w:abstractNumId w:val="5"/>
  </w:num>
  <w:num w:numId="4" w16cid:durableId="1652097363">
    <w:abstractNumId w:val="4"/>
  </w:num>
  <w:num w:numId="5" w16cid:durableId="1897857449">
    <w:abstractNumId w:val="7"/>
  </w:num>
  <w:num w:numId="6" w16cid:durableId="1168785486">
    <w:abstractNumId w:val="3"/>
  </w:num>
  <w:num w:numId="7" w16cid:durableId="2120442040">
    <w:abstractNumId w:val="2"/>
  </w:num>
  <w:num w:numId="8" w16cid:durableId="2045253614">
    <w:abstractNumId w:val="1"/>
  </w:num>
  <w:num w:numId="9" w16cid:durableId="1560630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2C0E"/>
    <w:rsid w:val="0015074B"/>
    <w:rsid w:val="0029639D"/>
    <w:rsid w:val="00326F90"/>
    <w:rsid w:val="0051348E"/>
    <w:rsid w:val="00AA1D8D"/>
    <w:rsid w:val="00AD02ED"/>
    <w:rsid w:val="00B47730"/>
    <w:rsid w:val="00CB0664"/>
    <w:rsid w:val="00D237E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6C91C4"/>
  <w14:defaultImageDpi w14:val="300"/>
  <w15:docId w15:val="{585D1AD5-556B-44C7-BCB2-E91CC99DA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cs="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1850</Words>
  <Characters>11102</Characters>
  <Application>Microsoft Office Word</Application>
  <DocSecurity>0</DocSecurity>
  <Lines>201</Lines>
  <Paragraphs>132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2</cp:revision>
  <dcterms:created xsi:type="dcterms:W3CDTF">2013-12-23T23:15:00Z</dcterms:created>
  <dcterms:modified xsi:type="dcterms:W3CDTF">2026-06-26T11:32:00Z</dcterms:modified>
  <cp:category/>
</cp:coreProperties>
</file>