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824008" w14:paraId="7CD2BFB0" w14:textId="77777777">
        <w:trPr>
          <w:jc w:val="center"/>
        </w:trPr>
        <w:tc>
          <w:tcPr>
            <w:tcW w:w="9029" w:type="dxa"/>
            <w:shd w:val="clear" w:color="auto" w:fill="E0651F"/>
            <w:vAlign w:val="center"/>
          </w:tcPr>
          <w:p w14:paraId="33E57AEE" w14:textId="77777777" w:rsidR="00824008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b/>
                <w:color w:val="FFFFFF"/>
              </w:rPr>
              <w:t>BRADFORD VTS TEACHING AIDS</w:t>
            </w:r>
          </w:p>
          <w:p w14:paraId="05A9BB54" w14:textId="77777777" w:rsidR="00824008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b/>
                <w:color w:val="FFFFFF"/>
                <w:sz w:val="56"/>
              </w:rPr>
              <w:t>Alcohol Misuse — Tutorial Plan</w:t>
            </w:r>
          </w:p>
          <w:p w14:paraId="5B844833" w14:textId="77777777" w:rsidR="00824008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i/>
                <w:color w:val="FFFFFF"/>
                <w:sz w:val="24"/>
              </w:rPr>
              <w:t>A GP Training Tutorial Guide · Bradford VTS · May 2026</w:t>
            </w:r>
          </w:p>
        </w:tc>
      </w:tr>
    </w:tbl>
    <w:p w14:paraId="3C10CA1C" w14:textId="77777777" w:rsidR="00824008" w:rsidRDefault="00000000">
      <w:pPr>
        <w:jc w:val="center"/>
      </w:pPr>
      <w:r>
        <w:rPr>
          <w:noProof/>
        </w:rPr>
        <w:drawing>
          <wp:inline distT="0" distB="0" distL="0" distR="0" wp14:anchorId="67D2F424" wp14:editId="22ED01CA">
            <wp:extent cx="5029200" cy="3352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o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661B8" w14:textId="77777777" w:rsidR="00824008" w:rsidRDefault="00000000">
      <w:pPr>
        <w:jc w:val="center"/>
      </w:pPr>
      <w:r>
        <w:rPr>
          <w:i/>
          <w:color w:val="606060"/>
          <w:sz w:val="18"/>
        </w:rPr>
        <w:t>A structured tutorial to help GP trainees understand and manage alcohol misuse in primary care.</w:t>
      </w:r>
    </w:p>
    <w:p w14:paraId="3A7FCFF9" w14:textId="77777777" w:rsidR="00824008" w:rsidRDefault="00824008"/>
    <w:p w14:paraId="545A4E4F" w14:textId="77777777" w:rsidR="00824008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Tutorial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4"/>
        <w:gridCol w:w="4514"/>
      </w:tblGrid>
      <w:tr w:rsidR="00824008" w14:paraId="76D9C587" w14:textId="77777777">
        <w:tc>
          <w:tcPr>
            <w:tcW w:w="4514" w:type="dxa"/>
            <w:shd w:val="clear" w:color="auto" w:fill="1A3A5C"/>
          </w:tcPr>
          <w:p w14:paraId="277B1826" w14:textId="77777777" w:rsidR="00824008" w:rsidRDefault="00000000">
            <w:r>
              <w:rPr>
                <w:rFonts w:ascii="Calibri" w:hAnsi="Calibri"/>
                <w:b/>
                <w:color w:val="FFFFFF"/>
                <w:sz w:val="20"/>
              </w:rPr>
              <w:t>Element</w:t>
            </w:r>
          </w:p>
        </w:tc>
        <w:tc>
          <w:tcPr>
            <w:tcW w:w="4514" w:type="dxa"/>
            <w:shd w:val="clear" w:color="auto" w:fill="1A3A5C"/>
          </w:tcPr>
          <w:p w14:paraId="385A2F6A" w14:textId="77777777" w:rsidR="00824008" w:rsidRDefault="00000000">
            <w:r>
              <w:rPr>
                <w:rFonts w:ascii="Calibri" w:hAnsi="Calibri"/>
                <w:b/>
                <w:color w:val="FFFFFF"/>
                <w:sz w:val="20"/>
              </w:rPr>
              <w:t>Detail</w:t>
            </w:r>
          </w:p>
        </w:tc>
      </w:tr>
      <w:tr w:rsidR="00824008" w14:paraId="34BCA5A6" w14:textId="77777777">
        <w:tc>
          <w:tcPr>
            <w:tcW w:w="4514" w:type="dxa"/>
            <w:shd w:val="clear" w:color="auto" w:fill="F0F4F8"/>
          </w:tcPr>
          <w:p w14:paraId="1B7BCBF3" w14:textId="77777777" w:rsidR="00824008" w:rsidRDefault="00000000">
            <w:r>
              <w:rPr>
                <w:rFonts w:ascii="Calibri" w:hAnsi="Calibri"/>
                <w:sz w:val="20"/>
              </w:rPr>
              <w:t>Topic</w:t>
            </w:r>
          </w:p>
        </w:tc>
        <w:tc>
          <w:tcPr>
            <w:tcW w:w="4514" w:type="dxa"/>
            <w:shd w:val="clear" w:color="auto" w:fill="F0F4F8"/>
          </w:tcPr>
          <w:p w14:paraId="774BDF26" w14:textId="77777777" w:rsidR="00824008" w:rsidRDefault="00000000">
            <w:r>
              <w:rPr>
                <w:rFonts w:ascii="Calibri" w:hAnsi="Calibri"/>
                <w:sz w:val="20"/>
              </w:rPr>
              <w:t>Alcohol misuse — identification, assessment and management in primary care</w:t>
            </w:r>
          </w:p>
        </w:tc>
      </w:tr>
      <w:tr w:rsidR="00824008" w14:paraId="4C5CEEDA" w14:textId="77777777">
        <w:tc>
          <w:tcPr>
            <w:tcW w:w="4514" w:type="dxa"/>
          </w:tcPr>
          <w:p w14:paraId="442B9A0F" w14:textId="77777777" w:rsidR="00824008" w:rsidRDefault="00000000">
            <w:r>
              <w:rPr>
                <w:rFonts w:ascii="Calibri" w:hAnsi="Calibri"/>
                <w:sz w:val="20"/>
              </w:rPr>
              <w:t>Duration</w:t>
            </w:r>
          </w:p>
        </w:tc>
        <w:tc>
          <w:tcPr>
            <w:tcW w:w="4514" w:type="dxa"/>
          </w:tcPr>
          <w:p w14:paraId="57C21999" w14:textId="77777777" w:rsidR="00824008" w:rsidRDefault="00000000">
            <w:r>
              <w:rPr>
                <w:rFonts w:ascii="Calibri" w:hAnsi="Calibri"/>
                <w:sz w:val="20"/>
              </w:rPr>
              <w:t>60–90 minutes</w:t>
            </w:r>
          </w:p>
        </w:tc>
      </w:tr>
      <w:tr w:rsidR="00824008" w14:paraId="488AFB97" w14:textId="77777777">
        <w:tc>
          <w:tcPr>
            <w:tcW w:w="4514" w:type="dxa"/>
            <w:shd w:val="clear" w:color="auto" w:fill="F0F4F8"/>
          </w:tcPr>
          <w:p w14:paraId="24440D18" w14:textId="77777777" w:rsidR="00824008" w:rsidRDefault="00000000">
            <w:r>
              <w:rPr>
                <w:rFonts w:ascii="Calibri" w:hAnsi="Calibri"/>
                <w:sz w:val="20"/>
              </w:rPr>
              <w:t>Audience</w:t>
            </w:r>
          </w:p>
        </w:tc>
        <w:tc>
          <w:tcPr>
            <w:tcW w:w="4514" w:type="dxa"/>
            <w:shd w:val="clear" w:color="auto" w:fill="F0F4F8"/>
          </w:tcPr>
          <w:p w14:paraId="61B71AC6" w14:textId="77777777" w:rsidR="00824008" w:rsidRDefault="00000000">
            <w:r>
              <w:rPr>
                <w:rFonts w:ascii="Calibri" w:hAnsi="Calibri"/>
                <w:sz w:val="20"/>
              </w:rPr>
              <w:t>GP trainees ST1–ST3, foundation doctors, IMGs</w:t>
            </w:r>
          </w:p>
        </w:tc>
      </w:tr>
      <w:tr w:rsidR="00824008" w14:paraId="6E08F4C9" w14:textId="77777777">
        <w:tc>
          <w:tcPr>
            <w:tcW w:w="4514" w:type="dxa"/>
          </w:tcPr>
          <w:p w14:paraId="16E2ABA5" w14:textId="77777777" w:rsidR="00824008" w:rsidRDefault="00000000">
            <w:r>
              <w:rPr>
                <w:rFonts w:ascii="Calibri" w:hAnsi="Calibri"/>
                <w:sz w:val="20"/>
              </w:rPr>
              <w:t>Format</w:t>
            </w:r>
          </w:p>
        </w:tc>
        <w:tc>
          <w:tcPr>
            <w:tcW w:w="4514" w:type="dxa"/>
          </w:tcPr>
          <w:p w14:paraId="10DF9FFA" w14:textId="77777777" w:rsidR="00824008" w:rsidRDefault="00000000">
            <w:r>
              <w:rPr>
                <w:rFonts w:ascii="Calibri" w:hAnsi="Calibri"/>
                <w:sz w:val="20"/>
              </w:rPr>
              <w:t>Small group tutorial (4–8 trainees) with case-based discussion</w:t>
            </w:r>
          </w:p>
        </w:tc>
      </w:tr>
      <w:tr w:rsidR="00824008" w14:paraId="6536521A" w14:textId="77777777">
        <w:tc>
          <w:tcPr>
            <w:tcW w:w="4514" w:type="dxa"/>
            <w:shd w:val="clear" w:color="auto" w:fill="F0F4F8"/>
          </w:tcPr>
          <w:p w14:paraId="68A3C159" w14:textId="77777777" w:rsidR="00824008" w:rsidRDefault="00000000">
            <w:r>
              <w:rPr>
                <w:rFonts w:ascii="Calibri" w:hAnsi="Calibri"/>
                <w:sz w:val="20"/>
              </w:rPr>
              <w:t>Aim</w:t>
            </w:r>
          </w:p>
        </w:tc>
        <w:tc>
          <w:tcPr>
            <w:tcW w:w="4514" w:type="dxa"/>
            <w:shd w:val="clear" w:color="auto" w:fill="F0F4F8"/>
          </w:tcPr>
          <w:p w14:paraId="6D3D56C2" w14:textId="77777777" w:rsidR="00824008" w:rsidRDefault="00000000">
            <w:r>
              <w:rPr>
                <w:rFonts w:ascii="Calibri" w:hAnsi="Calibri"/>
                <w:sz w:val="20"/>
              </w:rPr>
              <w:t>Improve confidence in detection, assessment and management of problem drinking</w:t>
            </w:r>
          </w:p>
        </w:tc>
      </w:tr>
    </w:tbl>
    <w:p w14:paraId="6FF89293" w14:textId="77777777" w:rsidR="00824008" w:rsidRDefault="00824008"/>
    <w:p w14:paraId="2E1BF728" w14:textId="77777777" w:rsidR="00824008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Learning objectives</w:t>
      </w:r>
    </w:p>
    <w:p w14:paraId="01E586C9" w14:textId="77777777" w:rsidR="00824008" w:rsidRDefault="00000000">
      <w:pPr>
        <w:spacing w:before="40" w:after="80"/>
      </w:pPr>
      <w:r>
        <w:rPr>
          <w:rFonts w:ascii="Calibri" w:hAnsi="Calibri"/>
        </w:rPr>
        <w:t>By the end of this tutorial, trainees should be able to:</w:t>
      </w:r>
    </w:p>
    <w:p w14:paraId="5D708AE9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State the current CMO 2016 low-risk drinking guidelines (≤14 units/week both sexes)</w:t>
      </w:r>
    </w:p>
    <w:p w14:paraId="418DE7D6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Define hazardous, harmful, and dependent drinking using NICE/WHO terminology</w:t>
      </w:r>
    </w:p>
    <w:p w14:paraId="7C03C964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Administer and interpret the AUDIT questionnaire</w:t>
      </w:r>
    </w:p>
    <w:p w14:paraId="3851FA90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Deliver a structured brief intervention using the FRAMES model</w:t>
      </w:r>
    </w:p>
    <w:p w14:paraId="3C063C41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lastRenderedPageBreak/>
        <w:t>Identify patients requiring specialist referral vs community management</w:t>
      </w:r>
    </w:p>
    <w:p w14:paraId="56427090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Describe the community alcohol detoxification process and chlordiazepoxide regimen</w:t>
      </w:r>
    </w:p>
    <w:p w14:paraId="4DE5342E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List first-line relapse prevention medications (acamprosate, naltrexone)</w:t>
      </w:r>
    </w:p>
    <w:p w14:paraId="6D0FA9D1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Apply motivational interviewing principles in an alcohol consultation</w:t>
      </w:r>
    </w:p>
    <w:p w14:paraId="0CF2A05A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Recognise and manage Wernicke's encephalopathy as a medical emergency</w:t>
      </w:r>
    </w:p>
    <w:p w14:paraId="52FE660D" w14:textId="77777777" w:rsidR="00824008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Session structure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0"/>
        <w:gridCol w:w="3010"/>
        <w:gridCol w:w="3010"/>
      </w:tblGrid>
      <w:tr w:rsidR="00824008" w14:paraId="7F2B1E5D" w14:textId="77777777">
        <w:tc>
          <w:tcPr>
            <w:tcW w:w="3010" w:type="dxa"/>
            <w:shd w:val="clear" w:color="auto" w:fill="1A3A5C"/>
          </w:tcPr>
          <w:p w14:paraId="049DD3E6" w14:textId="77777777" w:rsidR="00824008" w:rsidRDefault="00000000">
            <w:r>
              <w:rPr>
                <w:rFonts w:ascii="Calibri" w:hAnsi="Calibri"/>
                <w:b/>
                <w:color w:val="FFFFFF"/>
                <w:sz w:val="20"/>
              </w:rPr>
              <w:t>Time</w:t>
            </w:r>
          </w:p>
        </w:tc>
        <w:tc>
          <w:tcPr>
            <w:tcW w:w="3010" w:type="dxa"/>
            <w:shd w:val="clear" w:color="auto" w:fill="1A3A5C"/>
          </w:tcPr>
          <w:p w14:paraId="35D6C37F" w14:textId="77777777" w:rsidR="00824008" w:rsidRDefault="00000000">
            <w:r>
              <w:rPr>
                <w:rFonts w:ascii="Calibri" w:hAnsi="Calibri"/>
                <w:b/>
                <w:color w:val="FFFFFF"/>
                <w:sz w:val="20"/>
              </w:rPr>
              <w:t>Activity</w:t>
            </w:r>
          </w:p>
        </w:tc>
        <w:tc>
          <w:tcPr>
            <w:tcW w:w="3010" w:type="dxa"/>
            <w:shd w:val="clear" w:color="auto" w:fill="1A3A5C"/>
          </w:tcPr>
          <w:p w14:paraId="0B16A7AC" w14:textId="77777777" w:rsidR="00824008" w:rsidRDefault="00000000">
            <w:r>
              <w:rPr>
                <w:rFonts w:ascii="Calibri" w:hAnsi="Calibri"/>
                <w:b/>
                <w:color w:val="FFFFFF"/>
                <w:sz w:val="20"/>
              </w:rPr>
              <w:t>Facilitator notes</w:t>
            </w:r>
          </w:p>
        </w:tc>
      </w:tr>
      <w:tr w:rsidR="00824008" w14:paraId="0D6F40D9" w14:textId="77777777">
        <w:tc>
          <w:tcPr>
            <w:tcW w:w="3010" w:type="dxa"/>
            <w:shd w:val="clear" w:color="auto" w:fill="F0F4F8"/>
          </w:tcPr>
          <w:p w14:paraId="3438CE6C" w14:textId="77777777" w:rsidR="00824008" w:rsidRDefault="00000000">
            <w:r>
              <w:rPr>
                <w:rFonts w:ascii="Calibri" w:hAnsi="Calibri"/>
                <w:sz w:val="20"/>
              </w:rPr>
              <w:t>0–10 min</w:t>
            </w:r>
          </w:p>
        </w:tc>
        <w:tc>
          <w:tcPr>
            <w:tcW w:w="3010" w:type="dxa"/>
            <w:shd w:val="clear" w:color="auto" w:fill="F0F4F8"/>
          </w:tcPr>
          <w:p w14:paraId="0253C9CC" w14:textId="77777777" w:rsidR="00824008" w:rsidRDefault="00000000">
            <w:r>
              <w:rPr>
                <w:rFonts w:ascii="Calibri" w:hAnsi="Calibri"/>
                <w:sz w:val="20"/>
              </w:rPr>
              <w:t>Opening exercise: What does alcohol mean to you?</w:t>
            </w:r>
          </w:p>
        </w:tc>
        <w:tc>
          <w:tcPr>
            <w:tcW w:w="3010" w:type="dxa"/>
            <w:shd w:val="clear" w:color="auto" w:fill="F0F4F8"/>
          </w:tcPr>
          <w:p w14:paraId="6371524D" w14:textId="77777777" w:rsidR="00824008" w:rsidRDefault="00000000">
            <w:r>
              <w:rPr>
                <w:rFonts w:ascii="Calibri" w:hAnsi="Calibri"/>
                <w:sz w:val="20"/>
              </w:rPr>
              <w:t>Ask trainees about their own experience with alcohol and patients. Elicits values and prejudices. Non-judgmental.</w:t>
            </w:r>
          </w:p>
        </w:tc>
      </w:tr>
      <w:tr w:rsidR="00824008" w14:paraId="7DA1511E" w14:textId="77777777">
        <w:tc>
          <w:tcPr>
            <w:tcW w:w="3010" w:type="dxa"/>
          </w:tcPr>
          <w:p w14:paraId="00178C65" w14:textId="77777777" w:rsidR="00824008" w:rsidRDefault="00000000">
            <w:r>
              <w:rPr>
                <w:rFonts w:ascii="Calibri" w:hAnsi="Calibri"/>
                <w:sz w:val="20"/>
              </w:rPr>
              <w:t>10–25 min</w:t>
            </w:r>
          </w:p>
        </w:tc>
        <w:tc>
          <w:tcPr>
            <w:tcW w:w="3010" w:type="dxa"/>
          </w:tcPr>
          <w:p w14:paraId="22719DB7" w14:textId="77777777" w:rsidR="00824008" w:rsidRDefault="00000000">
            <w:r>
              <w:rPr>
                <w:rFonts w:ascii="Calibri" w:hAnsi="Calibri"/>
                <w:sz w:val="20"/>
              </w:rPr>
              <w:t>Epidemiology and definitions</w:t>
            </w:r>
          </w:p>
        </w:tc>
        <w:tc>
          <w:tcPr>
            <w:tcW w:w="3010" w:type="dxa"/>
          </w:tcPr>
          <w:p w14:paraId="7BBC3099" w14:textId="77777777" w:rsidR="00824008" w:rsidRDefault="00000000">
            <w:r>
              <w:rPr>
                <w:rFonts w:ascii="Calibri" w:hAnsi="Calibri"/>
                <w:sz w:val="20"/>
              </w:rPr>
              <w:t>Cover CMO 2016 guidelines, AUDIT categories, spectrum of use. Quiz on units. Use alcohol pyramid diagram.</w:t>
            </w:r>
          </w:p>
        </w:tc>
      </w:tr>
      <w:tr w:rsidR="00824008" w14:paraId="281E9BBC" w14:textId="77777777">
        <w:tc>
          <w:tcPr>
            <w:tcW w:w="3010" w:type="dxa"/>
            <w:shd w:val="clear" w:color="auto" w:fill="F0F4F8"/>
          </w:tcPr>
          <w:p w14:paraId="30B1EFB3" w14:textId="77777777" w:rsidR="00824008" w:rsidRDefault="00000000">
            <w:r>
              <w:rPr>
                <w:rFonts w:ascii="Calibri" w:hAnsi="Calibri"/>
                <w:sz w:val="20"/>
              </w:rPr>
              <w:t>25–45 min</w:t>
            </w:r>
          </w:p>
        </w:tc>
        <w:tc>
          <w:tcPr>
            <w:tcW w:w="3010" w:type="dxa"/>
            <w:shd w:val="clear" w:color="auto" w:fill="F0F4F8"/>
          </w:tcPr>
          <w:p w14:paraId="35456CFC" w14:textId="77777777" w:rsidR="00824008" w:rsidRDefault="00000000">
            <w:r>
              <w:rPr>
                <w:rFonts w:ascii="Calibri" w:hAnsi="Calibri"/>
                <w:sz w:val="20"/>
              </w:rPr>
              <w:t>Case-based discussion: Case 1 and 2 (below)</w:t>
            </w:r>
          </w:p>
        </w:tc>
        <w:tc>
          <w:tcPr>
            <w:tcW w:w="3010" w:type="dxa"/>
            <w:shd w:val="clear" w:color="auto" w:fill="F0F4F8"/>
          </w:tcPr>
          <w:p w14:paraId="4372D9E9" w14:textId="77777777" w:rsidR="00824008" w:rsidRDefault="00000000">
            <w:r>
              <w:rPr>
                <w:rFonts w:ascii="Calibri" w:hAnsi="Calibri"/>
                <w:sz w:val="20"/>
              </w:rPr>
              <w:t>Small group discussion. Trainees work through cases applying AUDIT, FRAMES, motivational interviewing.</w:t>
            </w:r>
          </w:p>
        </w:tc>
      </w:tr>
      <w:tr w:rsidR="00824008" w14:paraId="0569BE02" w14:textId="77777777">
        <w:tc>
          <w:tcPr>
            <w:tcW w:w="3010" w:type="dxa"/>
          </w:tcPr>
          <w:p w14:paraId="394937D7" w14:textId="77777777" w:rsidR="00824008" w:rsidRDefault="00000000">
            <w:r>
              <w:rPr>
                <w:rFonts w:ascii="Calibri" w:hAnsi="Calibri"/>
                <w:sz w:val="20"/>
              </w:rPr>
              <w:t>45–60 min</w:t>
            </w:r>
          </w:p>
        </w:tc>
        <w:tc>
          <w:tcPr>
            <w:tcW w:w="3010" w:type="dxa"/>
          </w:tcPr>
          <w:p w14:paraId="48F003F4" w14:textId="77777777" w:rsidR="00824008" w:rsidRDefault="00000000">
            <w:r>
              <w:rPr>
                <w:rFonts w:ascii="Calibri" w:hAnsi="Calibri"/>
                <w:sz w:val="20"/>
              </w:rPr>
              <w:t>Medical aspects: Detox, medications, red flags</w:t>
            </w:r>
          </w:p>
        </w:tc>
        <w:tc>
          <w:tcPr>
            <w:tcW w:w="3010" w:type="dxa"/>
          </w:tcPr>
          <w:p w14:paraId="3AD4811B" w14:textId="77777777" w:rsidR="00824008" w:rsidRDefault="00000000">
            <w:r>
              <w:rPr>
                <w:rFonts w:ascii="Calibri" w:hAnsi="Calibri"/>
                <w:sz w:val="20"/>
              </w:rPr>
              <w:t>Interactive discussion. Cover AWS, chlordiazepoxide, thiamine, Wernicke's, relapse prevention.</w:t>
            </w:r>
          </w:p>
        </w:tc>
      </w:tr>
      <w:tr w:rsidR="00824008" w14:paraId="35C8D97F" w14:textId="77777777">
        <w:tc>
          <w:tcPr>
            <w:tcW w:w="3010" w:type="dxa"/>
            <w:shd w:val="clear" w:color="auto" w:fill="F0F4F8"/>
          </w:tcPr>
          <w:p w14:paraId="44AAF3FF" w14:textId="77777777" w:rsidR="00824008" w:rsidRDefault="00000000">
            <w:r>
              <w:rPr>
                <w:rFonts w:ascii="Calibri" w:hAnsi="Calibri"/>
                <w:sz w:val="20"/>
              </w:rPr>
              <w:t>60–75 min</w:t>
            </w:r>
          </w:p>
        </w:tc>
        <w:tc>
          <w:tcPr>
            <w:tcW w:w="3010" w:type="dxa"/>
            <w:shd w:val="clear" w:color="auto" w:fill="F0F4F8"/>
          </w:tcPr>
          <w:p w14:paraId="6D5F49FC" w14:textId="77777777" w:rsidR="00824008" w:rsidRDefault="00000000">
            <w:r>
              <w:rPr>
                <w:rFonts w:ascii="Calibri" w:hAnsi="Calibri"/>
                <w:sz w:val="20"/>
              </w:rPr>
              <w:t>Role play: Brief intervention (optional)</w:t>
            </w:r>
          </w:p>
        </w:tc>
        <w:tc>
          <w:tcPr>
            <w:tcW w:w="3010" w:type="dxa"/>
            <w:shd w:val="clear" w:color="auto" w:fill="F0F4F8"/>
          </w:tcPr>
          <w:p w14:paraId="7BA64C44" w14:textId="77777777" w:rsidR="00824008" w:rsidRDefault="00000000">
            <w:r>
              <w:rPr>
                <w:rFonts w:ascii="Calibri" w:hAnsi="Calibri"/>
                <w:sz w:val="20"/>
              </w:rPr>
              <w:t>In pairs: one trainee plays GP, one plays patient with hazardous drinking. Observer gives structured feedback.</w:t>
            </w:r>
          </w:p>
        </w:tc>
      </w:tr>
      <w:tr w:rsidR="00824008" w14:paraId="0194560B" w14:textId="77777777">
        <w:tc>
          <w:tcPr>
            <w:tcW w:w="3010" w:type="dxa"/>
          </w:tcPr>
          <w:p w14:paraId="754C9C4C" w14:textId="77777777" w:rsidR="00824008" w:rsidRDefault="00000000">
            <w:r>
              <w:rPr>
                <w:rFonts w:ascii="Calibri" w:hAnsi="Calibri"/>
                <w:sz w:val="20"/>
              </w:rPr>
              <w:t>75–90 min</w:t>
            </w:r>
          </w:p>
        </w:tc>
        <w:tc>
          <w:tcPr>
            <w:tcW w:w="3010" w:type="dxa"/>
          </w:tcPr>
          <w:p w14:paraId="17151489" w14:textId="77777777" w:rsidR="00824008" w:rsidRDefault="00000000">
            <w:r>
              <w:rPr>
                <w:rFonts w:ascii="Calibri" w:hAnsi="Calibri"/>
                <w:sz w:val="20"/>
              </w:rPr>
              <w:t>Debrief and take-home messages</w:t>
            </w:r>
          </w:p>
        </w:tc>
        <w:tc>
          <w:tcPr>
            <w:tcW w:w="3010" w:type="dxa"/>
          </w:tcPr>
          <w:p w14:paraId="1EC1883D" w14:textId="77777777" w:rsidR="00824008" w:rsidRDefault="00000000">
            <w:r>
              <w:rPr>
                <w:rFonts w:ascii="Calibri" w:hAnsi="Calibri"/>
                <w:sz w:val="20"/>
              </w:rPr>
              <w:t>5 key take-home messages. Signpost to Bradford VTS resources at www.bradfordvts.co.uk</w:t>
            </w:r>
          </w:p>
        </w:tc>
      </w:tr>
    </w:tbl>
    <w:p w14:paraId="32B59B38" w14:textId="77777777" w:rsidR="00824008" w:rsidRDefault="00824008"/>
    <w:p w14:paraId="4403CF14" w14:textId="77777777" w:rsidR="00854E10" w:rsidRDefault="00854E10">
      <w:pPr>
        <w:rPr>
          <w:rFonts w:ascii="Calibri" w:hAnsi="Calibri"/>
          <w:b/>
          <w:color w:val="1A3A5C"/>
          <w:sz w:val="32"/>
        </w:rPr>
      </w:pPr>
      <w:r>
        <w:rPr>
          <w:rFonts w:ascii="Calibri" w:hAnsi="Calibri"/>
          <w:b/>
          <w:color w:val="1A3A5C"/>
          <w:sz w:val="32"/>
        </w:rPr>
        <w:br w:type="page"/>
      </w:r>
    </w:p>
    <w:p w14:paraId="7C108829" w14:textId="0523A87F" w:rsidR="00824008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lastRenderedPageBreak/>
        <w:t>Case scenarios for discussion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824008" w14:paraId="466618AE" w14:textId="77777777">
        <w:trPr>
          <w:jc w:val="center"/>
        </w:trPr>
        <w:tc>
          <w:tcPr>
            <w:tcW w:w="9029" w:type="dxa"/>
            <w:shd w:val="clear" w:color="auto" w:fill="1A3A5C"/>
          </w:tcPr>
          <w:p w14:paraId="214489EA" w14:textId="77777777" w:rsidR="00824008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Case 1 — The hazardous drinker</w:t>
            </w:r>
          </w:p>
          <w:p w14:paraId="5D6B9F5C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James, 45, attends with mild hypertension. On enquiry, he drinks 'a bottle of wine most evenings' plus a few beers at the weekend.</w:t>
            </w:r>
          </w:p>
          <w:p w14:paraId="04CD85F6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AUDIT score: 14 (hazardous drinking). No signs of dependence.</w:t>
            </w:r>
          </w:p>
          <w:p w14:paraId="5B98D34E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Discussion: How do you open the conversation? Apply FRAMES. What do you offer?</w:t>
            </w:r>
          </w:p>
          <w:p w14:paraId="10EF463C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Teaching point: AUDIT 8–15 = brief intervention. 1 in 8 hazardous drinkers will respond to GP advice.</w:t>
            </w:r>
          </w:p>
        </w:tc>
      </w:tr>
    </w:tbl>
    <w:p w14:paraId="55CD9D7B" w14:textId="77777777" w:rsidR="00824008" w:rsidRDefault="00824008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824008" w14:paraId="1DDA50CF" w14:textId="77777777">
        <w:trPr>
          <w:jc w:val="center"/>
        </w:trPr>
        <w:tc>
          <w:tcPr>
            <w:tcW w:w="9029" w:type="dxa"/>
            <w:shd w:val="clear" w:color="auto" w:fill="C01C1C"/>
          </w:tcPr>
          <w:p w14:paraId="4C1F6275" w14:textId="77777777" w:rsidR="00824008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Case 2 — The dependent drinker</w:t>
            </w:r>
          </w:p>
          <w:p w14:paraId="6B10F61F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Pauline, 52, attends asking for 'something for the shakes'. She drinks 30 units/day, drinks in the morning to stop withdrawal, SADQ score 36.</w:t>
            </w:r>
          </w:p>
          <w:p w14:paraId="04BEF861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She lives alone. Previous withdrawal seizure 2 years ago.</w:t>
            </w:r>
          </w:p>
          <w:p w14:paraId="2D4B511E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Discussion: Can she have community detox? What is your management plan? Who do you refer to?</w:t>
            </w:r>
          </w:p>
          <w:p w14:paraId="3D73C85C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Teaching point: SADQ &gt;30, history of seizures, lives alone = INPATIENT detox required. Do not prescribe community chlordiazepoxide.</w:t>
            </w:r>
          </w:p>
        </w:tc>
      </w:tr>
    </w:tbl>
    <w:p w14:paraId="5B5AD171" w14:textId="77777777" w:rsidR="00824008" w:rsidRDefault="00824008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824008" w14:paraId="391A0336" w14:textId="77777777">
        <w:trPr>
          <w:jc w:val="center"/>
        </w:trPr>
        <w:tc>
          <w:tcPr>
            <w:tcW w:w="9029" w:type="dxa"/>
            <w:shd w:val="clear" w:color="auto" w:fill="007B83"/>
          </w:tcPr>
          <w:p w14:paraId="4621B763" w14:textId="77777777" w:rsidR="00824008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Case 3 — The non-engager</w:t>
            </w:r>
          </w:p>
          <w:p w14:paraId="16853AEB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Tom, 38, attends with a sports injury. You note this is his 8th attendance in a year, with various unrelated complaints. Smell of alcohol on breath at 10am.</w:t>
            </w:r>
          </w:p>
          <w:p w14:paraId="1031F6B5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He denies any alcohol problem when asked.</w:t>
            </w:r>
          </w:p>
          <w:p w14:paraId="67D22D1B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Discussion: How do you raise the issue sensitively? What do you do if he refuses to engage?</w:t>
            </w:r>
          </w:p>
          <w:p w14:paraId="05195D39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Teaching point: Plant a seed. Non-judgmental. Document. Offer information. Safety-net. Harm reduction goals.</w:t>
            </w:r>
          </w:p>
        </w:tc>
      </w:tr>
    </w:tbl>
    <w:p w14:paraId="35FA0E9A" w14:textId="77777777" w:rsidR="00824008" w:rsidRDefault="00824008"/>
    <w:p w14:paraId="550EF792" w14:textId="77777777" w:rsidR="00824008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Key teaching points and clinical corrections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824008" w14:paraId="0D253434" w14:textId="77777777">
        <w:trPr>
          <w:jc w:val="center"/>
        </w:trPr>
        <w:tc>
          <w:tcPr>
            <w:tcW w:w="9029" w:type="dxa"/>
            <w:shd w:val="clear" w:color="auto" w:fill="C01C1C"/>
          </w:tcPr>
          <w:p w14:paraId="3A3C7CC6" w14:textId="77777777" w:rsidR="00824008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⚠ Critical corrections (commonly tested)</w:t>
            </w:r>
          </w:p>
          <w:p w14:paraId="3D8B7E83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OLD guidance: 21 units/week men, 14 women — OUTDATED</w:t>
            </w:r>
          </w:p>
          <w:p w14:paraId="2B81457A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NEW (CMO 2016): ≤14 units/week for BOTH men and women</w:t>
            </w:r>
          </w:p>
          <w:p w14:paraId="195323A7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AUDIT ≥20 = refer for specialist assessment — NOT brief intervention alone</w:t>
            </w:r>
          </w:p>
          <w:p w14:paraId="258B7857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NEVER tell a dependent drinker to 'just stop' — abrupt cessation can be fatal</w:t>
            </w:r>
          </w:p>
          <w:p w14:paraId="72945DB2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Antidepressants: do NOT prescribe for alcohol misuse alone — treat alcohol first</w:t>
            </w:r>
          </w:p>
          <w:p w14:paraId="40DB696E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Chlormethiazole: NOT recommended for community/outpatient detox</w:t>
            </w:r>
          </w:p>
          <w:p w14:paraId="3C686CDD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Wernicke's triad in only 10% — treat any ONE feature as an emergency</w:t>
            </w:r>
          </w:p>
        </w:tc>
      </w:tr>
    </w:tbl>
    <w:p w14:paraId="6750612A" w14:textId="77777777" w:rsidR="00824008" w:rsidRDefault="00824008"/>
    <w:p w14:paraId="6F6C556A" w14:textId="77777777" w:rsidR="00854E10" w:rsidRDefault="00854E10">
      <w:pPr>
        <w:rPr>
          <w:rFonts w:ascii="Calibri" w:hAnsi="Calibri"/>
          <w:b/>
          <w:color w:val="1A3A5C"/>
          <w:sz w:val="32"/>
        </w:rPr>
      </w:pPr>
      <w:r>
        <w:rPr>
          <w:rFonts w:ascii="Calibri" w:hAnsi="Calibri"/>
          <w:b/>
          <w:color w:val="1A3A5C"/>
          <w:sz w:val="32"/>
        </w:rPr>
        <w:br w:type="page"/>
      </w:r>
    </w:p>
    <w:p w14:paraId="11AC83E5" w14:textId="612BFBEB" w:rsidR="00824008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lastRenderedPageBreak/>
        <w:t>Recommended resources</w:t>
      </w:r>
    </w:p>
    <w:p w14:paraId="224C906E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Bradford VTS alcohol teaching materials — www.bradfordvts.co.uk</w:t>
      </w:r>
    </w:p>
    <w:p w14:paraId="6E4D9430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NICE CG115: Alcohol-use disorders — diagnosis, assessment and management (2011/2014)</w:t>
      </w:r>
    </w:p>
    <w:p w14:paraId="313AF98A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NICE CG100: Alcohol-use disorders — physical complications (2010/2017)</w:t>
      </w:r>
    </w:p>
    <w:p w14:paraId="3E83DF9A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RCGP Alcohol Certificate — for further learning</w:t>
      </w:r>
    </w:p>
    <w:p w14:paraId="6425E0D3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AUDIT questionnaire — available free from WHO</w:t>
      </w:r>
    </w:p>
    <w:p w14:paraId="1C2EDC3E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AA — www.alcoholicsanonymous.org.uk</w:t>
      </w:r>
    </w:p>
    <w:p w14:paraId="4CC3E4FB" w14:textId="77777777" w:rsidR="00824008" w:rsidRDefault="00000000">
      <w:pPr>
        <w:pStyle w:val="ListBullet"/>
        <w:spacing w:after="40"/>
      </w:pPr>
      <w:r>
        <w:rPr>
          <w:rFonts w:ascii="Calibri" w:hAnsi="Calibri"/>
        </w:rPr>
        <w:t>SMART Recovery — www.smartrecovery.org.uk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824008" w14:paraId="65D7D003" w14:textId="77777777">
        <w:trPr>
          <w:jc w:val="center"/>
        </w:trPr>
        <w:tc>
          <w:tcPr>
            <w:tcW w:w="9029" w:type="dxa"/>
            <w:shd w:val="clear" w:color="auto" w:fill="C01C1C"/>
          </w:tcPr>
          <w:p w14:paraId="12343C57" w14:textId="77777777" w:rsidR="00824008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⚠ Disclaimer</w:t>
            </w:r>
          </w:p>
          <w:p w14:paraId="78FB9032" w14:textId="77777777" w:rsidR="00824008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⚠ Always double check this advice and drug doses with the latest NICE/BNF guidance. This document is for educational purposes only.</w:t>
            </w:r>
          </w:p>
        </w:tc>
      </w:tr>
    </w:tbl>
    <w:p w14:paraId="2353FB0D" w14:textId="77777777" w:rsidR="00824008" w:rsidRDefault="00824008"/>
    <w:sectPr w:rsidR="00824008" w:rsidSect="00034616">
      <w:footerReference w:type="default" r:id="rId9"/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1CA5F" w14:textId="77777777" w:rsidR="00C6465F" w:rsidRDefault="00C6465F">
      <w:pPr>
        <w:spacing w:after="0" w:line="240" w:lineRule="auto"/>
      </w:pPr>
      <w:r>
        <w:separator/>
      </w:r>
    </w:p>
  </w:endnote>
  <w:endnote w:type="continuationSeparator" w:id="0">
    <w:p w14:paraId="43EC82E0" w14:textId="77777777" w:rsidR="00C6465F" w:rsidRDefault="00C6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ACAB" w14:textId="77777777" w:rsidR="00824008" w:rsidRDefault="00000000">
    <w:pPr>
      <w:pStyle w:val="Footer"/>
      <w:jc w:val="center"/>
    </w:pPr>
    <w:r>
      <w:rPr>
        <w:rFonts w:ascii="Calibri" w:hAnsi="Calibri"/>
        <w:color w:val="808080"/>
        <w:sz w:val="16"/>
      </w:rPr>
      <w:t>A free resource provided by www.bradfordvts.co.uk, Dr Ramesh Mehay,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F44D6" w14:textId="77777777" w:rsidR="00C6465F" w:rsidRDefault="00C6465F">
      <w:pPr>
        <w:spacing w:after="0" w:line="240" w:lineRule="auto"/>
      </w:pPr>
      <w:r>
        <w:separator/>
      </w:r>
    </w:p>
  </w:footnote>
  <w:footnote w:type="continuationSeparator" w:id="0">
    <w:p w14:paraId="774BD537" w14:textId="77777777" w:rsidR="00C6465F" w:rsidRDefault="00C64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9791841">
    <w:abstractNumId w:val="8"/>
  </w:num>
  <w:num w:numId="2" w16cid:durableId="842160951">
    <w:abstractNumId w:val="6"/>
  </w:num>
  <w:num w:numId="3" w16cid:durableId="560794577">
    <w:abstractNumId w:val="5"/>
  </w:num>
  <w:num w:numId="4" w16cid:durableId="849180978">
    <w:abstractNumId w:val="4"/>
  </w:num>
  <w:num w:numId="5" w16cid:durableId="1847474017">
    <w:abstractNumId w:val="7"/>
  </w:num>
  <w:num w:numId="6" w16cid:durableId="2125416102">
    <w:abstractNumId w:val="3"/>
  </w:num>
  <w:num w:numId="7" w16cid:durableId="2130777670">
    <w:abstractNumId w:val="2"/>
  </w:num>
  <w:num w:numId="8" w16cid:durableId="630672737">
    <w:abstractNumId w:val="1"/>
  </w:num>
  <w:num w:numId="9" w16cid:durableId="84159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5D51"/>
    <w:rsid w:val="00824008"/>
    <w:rsid w:val="00854E10"/>
    <w:rsid w:val="00AA1D8D"/>
    <w:rsid w:val="00B47730"/>
    <w:rsid w:val="00C6465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27C571"/>
  <w14:defaultImageDpi w14:val="300"/>
  <w15:docId w15:val="{95928A3D-ED8C-45C8-AC9F-F3CD90F5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3940</Characters>
  <Application>Microsoft Office Word</Application>
  <DocSecurity>0</DocSecurity>
  <Lines>123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2</cp:revision>
  <dcterms:created xsi:type="dcterms:W3CDTF">2013-12-23T23:15:00Z</dcterms:created>
  <dcterms:modified xsi:type="dcterms:W3CDTF">2026-06-26T12:43:00Z</dcterms:modified>
  <cp:category/>
</cp:coreProperties>
</file>