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E0651F"/>
          </w:tcPr>
          <w:p>
            <w:pPr>
              <w:spacing w:before="280" w:after="120"/>
              <w:jc w:val="center"/>
            </w:pPr>
            <w:r>
              <w:rPr>
                <w:rFonts w:ascii="Calibri" w:hAnsi="Calibri"/>
                <w:b/>
                <w:caps/>
                <w:color w:val="FFFFFF"/>
                <w:sz w:val="22"/>
              </w:rPr>
              <w:t>BRADFORD VTS TEACHING AIDS</w:t>
              <w:br/>
            </w:r>
            <w:r>
              <w:rPr>
                <w:rFonts w:ascii="Calibri" w:hAnsi="Calibri"/>
                <w:b/>
                <w:color w:val="FFFFFF"/>
                <w:sz w:val="56"/>
              </w:rPr>
              <w:t>Dyspepsia: A Hot Topic in General Practice</w:t>
              <w:br/>
            </w:r>
            <w:r>
              <w:rPr>
                <w:rFonts w:ascii="Calibri" w:hAnsi="Calibri"/>
                <w:i/>
                <w:color w:val="FFDCB4"/>
                <w:sz w:val="24"/>
              </w:rPr>
              <w:t>Clinical Handout  ·  Bradford VTS  ·  May 2026</w:t>
            </w:r>
          </w:p>
        </w:tc>
      </w:tr>
    </w:tbl>
    <w:p/>
    <w:p>
      <w:pPr>
        <w:pStyle w:val="Heading1"/>
        <w:jc w:val="left"/>
      </w:pPr>
      <w:r>
        <w:rPr>
          <w:rFonts w:ascii="Calibri" w:hAnsi="Calibri"/>
          <w:b/>
          <w:color w:val="1F3864"/>
        </w:rPr>
        <w:t>What is Dyspepsia?</w:t>
      </w:r>
    </w:p>
    <w:p>
      <w:pPr>
        <w:spacing w:after="80"/>
      </w:pPr>
      <w:r>
        <w:rPr>
          <w:rFonts w:ascii="Calibri" w:hAnsi="Calibri"/>
          <w:sz w:val="22"/>
        </w:rPr>
        <w:t>Dyspepsia describes a group of symptoms arising from the upper gastrointestinal (GI) tract. It is not a diagnosis but a symptom complex that includes:</w:t>
        <w:br/>
        <w:t>• Epigastric pain or discomfort (often after meals)</w:t>
        <w:br/>
        <w:t>• Heartburn / acid regurgitation</w:t>
        <w:br/>
        <w:t>• Nausea, vomiting</w:t>
        <w:br/>
        <w:t>• Bloating, early satiety, abdominal fullness</w:t>
        <w:br/>
        <w:t>• Belching</w:t>
        <w:br/>
        <w:br/>
        <w:t>Dyspepsia represents many underlying diseases including peptic ulcer disease, GORD, gastric cancer, and functional (non-ulcer) dyspepsia.</w:t>
      </w:r>
    </w:p>
    <w:p>
      <w:pPr>
        <w:pStyle w:val="Heading2"/>
        <w:jc w:val="left"/>
      </w:pPr>
      <w:r>
        <w:rPr>
          <w:rFonts w:ascii="Calibri" w:hAnsi="Calibri"/>
          <w:b/>
          <w:color w:val="1F3864"/>
        </w:rPr>
        <w:t>Prevalence and Burden in General Practice</w:t>
      </w:r>
    </w:p>
    <w:p>
      <w:r>
        <w:rPr>
          <w:rFonts w:ascii="Calibri" w:hAnsi="Calibri"/>
          <w:sz w:val="22"/>
        </w:rPr>
        <w:t>• 23–41% of Western populations experience dyspepsia at some point</w:t>
        <w:br/>
        <w:t>• ~4% of all GP consultations are for dyspepsia (10% of these are referred to secondary care)</w:t>
        <w:br/>
        <w:t>• ~2% of the adult population have endoscopy or barium imaging each year for GI symptoms</w:t>
        <w:br/>
        <w:t>• Most patients have functional (non-ulcer) dyspepsia — investigation rarely changes management in the under-55s without alarm features</w:t>
      </w:r>
    </w:p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C00000"/>
          </w:tcPr>
          <w:p>
            <w:pPr>
              <w:spacing w:before="120" w:after="80"/>
              <w:ind w:left="170"/>
            </w:pPr>
            <w:r>
              <w:rPr>
                <w:rFonts w:ascii="Calibri" w:hAnsi="Calibri"/>
                <w:b/>
                <w:color w:val="FFFFFF"/>
                <w:sz w:val="24"/>
              </w:rPr>
              <w:t>🚨 Red Flag — Alarm Features Requiring Urgent Investigation</w:t>
              <w:br/>
            </w:r>
            <w:r>
              <w:rPr>
                <w:rFonts w:ascii="Calibri" w:hAnsi="Calibri"/>
                <w:color w:val="FFFFFF"/>
                <w:sz w:val="22"/>
              </w:rPr>
              <w:t>• Dysphagia (difficulty swallowing) → 2WW referral</w:t>
              <w:br/>
            </w:r>
            <w:r>
              <w:rPr>
                <w:rFonts w:ascii="Calibri" w:hAnsi="Calibri"/>
                <w:color w:val="FFFFFF"/>
                <w:sz w:val="22"/>
              </w:rPr>
              <w:t>• Unintentional weight loss (&gt;3 kg)</w:t>
              <w:br/>
            </w:r>
            <w:r>
              <w:rPr>
                <w:rFonts w:ascii="Calibri" w:hAnsi="Calibri"/>
                <w:color w:val="FFFFFF"/>
                <w:sz w:val="22"/>
              </w:rPr>
              <w:t>• GI bleeding (haematemesis or melaena)</w:t>
              <w:br/>
            </w:r>
            <w:r>
              <w:rPr>
                <w:rFonts w:ascii="Calibri" w:hAnsi="Calibri"/>
                <w:color w:val="FFFFFF"/>
                <w:sz w:val="22"/>
              </w:rPr>
              <w:t>• Unexplained iron-deficiency anaemia</w:t>
              <w:br/>
            </w:r>
            <w:r>
              <w:rPr>
                <w:rFonts w:ascii="Calibri" w:hAnsi="Calibri"/>
                <w:color w:val="FFFFFF"/>
                <w:sz w:val="22"/>
              </w:rPr>
              <w:t>• Epigastric mass on examination</w:t>
              <w:br/>
            </w:r>
            <w:r>
              <w:rPr>
                <w:rFonts w:ascii="Calibri" w:hAnsi="Calibri"/>
                <w:color w:val="FFFFFF"/>
                <w:sz w:val="22"/>
              </w:rPr>
              <w:t>• Previous gastric ulcer or gastric surgery</w:t>
              <w:br/>
            </w:r>
            <w:r>
              <w:rPr>
                <w:rFonts w:ascii="Calibri" w:hAnsi="Calibri"/>
                <w:color w:val="FFFFFF"/>
                <w:sz w:val="22"/>
              </w:rPr>
              <w:t>• Persistent, continuous vomiting</w:t>
              <w:br/>
            </w:r>
            <w:r>
              <w:rPr>
                <w:rFonts w:ascii="Calibri" w:hAnsi="Calibri"/>
                <w:color w:val="FFFFFF"/>
                <w:sz w:val="22"/>
              </w:rPr>
              <w:t>• Age ≥55 + weight loss + upper abdominal pain/reflux/dyspepsia → urgent 2WW (NICE NG12, 2026)</w:t>
              <w:br/>
            </w:r>
          </w:p>
        </w:tc>
      </w:tr>
    </w:tbl>
    <w:p/>
    <w:p>
      <w:pPr>
        <w:pStyle w:val="Heading1"/>
        <w:jc w:val="left"/>
      </w:pPr>
      <w:r>
        <w:rPr>
          <w:rFonts w:ascii="Calibri" w:hAnsi="Calibri"/>
          <w:b/>
          <w:color w:val="1F3864"/>
        </w:rPr>
        <w:t>Management Strategies — Which Approach?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Strategy</w:t>
            </w:r>
          </w:p>
        </w:tc>
        <w:tc>
          <w:tcPr>
            <w:tcW w:type="dxa" w:w="4703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Evidence / NICE Recommendation</w:t>
            </w:r>
          </w:p>
        </w:tc>
      </w:tr>
      <w:tr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Empirical PPI trial (4 weeks)</w:t>
            </w:r>
          </w:p>
        </w:tc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Appropriate first-line for uncomplicated dyspepsia &lt;55 without alarm features (NICE CG184)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H. pylori test-and-treat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Most cost-effective strategy (3 RCTs vs. endoscopy); recommended for under-55s; non-invasive test preferred (urea breath test or stool antigen)</w:t>
            </w:r>
          </w:p>
        </w:tc>
      </w:tr>
      <w:tr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Endoscopy for alarm symptoms</w:t>
            </w:r>
          </w:p>
        </w:tc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Increases diagnostic yield without missing serious pathology; mandatory for red flag features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Endoscopy for all patients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NOT cost-effective; not recommended as a default strategy (BSG/NICE)</w:t>
            </w:r>
          </w:p>
        </w:tc>
      </w:tr>
    </w:tbl>
    <w:p/>
    <w:p>
      <w:pPr>
        <w:pStyle w:val="Heading1"/>
        <w:jc w:val="left"/>
      </w:pPr>
      <w:r>
        <w:rPr>
          <w:rFonts w:ascii="Calibri" w:hAnsi="Calibri"/>
          <w:b/>
          <w:color w:val="1F3864"/>
        </w:rPr>
        <w:t>H. pylori — Test and Treat</w:t>
      </w:r>
    </w:p>
    <w:p>
      <w:pPr>
        <w:pStyle w:val="Heading2"/>
        <w:jc w:val="left"/>
      </w:pPr>
      <w:r>
        <w:rPr>
          <w:rFonts w:ascii="Calibri" w:hAnsi="Calibri"/>
          <w:b/>
          <w:color w:val="1F3864"/>
        </w:rPr>
        <w:t>Testing</w:t>
      </w:r>
    </w:p>
    <w:p>
      <w:r>
        <w:rPr>
          <w:rFonts w:ascii="Calibri" w:hAnsi="Calibri"/>
          <w:sz w:val="22"/>
        </w:rPr>
        <w:t>• Urea breath test (UBT) — gold standard for non-invasive testing; preferred</w:t>
        <w:br/>
        <w:t>• Stool antigen test — acceptable alternative</w:t>
        <w:br/>
        <w:t>• Serology — less accurate; does not confirm eradication; avoid for retesting</w:t>
        <w:br/>
        <w:t>• Endoscopic biopsy — when endoscopy is already being performed</w:t>
        <w:br/>
        <w:br/>
        <w:t>⚠ Stop PPIs at least 2 weeks before UBT or stool antigen test. Stop antibiotics and bismuth 4 weeks before.</w:t>
        <w:br/>
        <w:t>H. pylori absence is a strong predictor of the absence of peptic ulcer and gastric cancer.</w:t>
      </w:r>
    </w:p>
    <w:p>
      <w:pPr>
        <w:pStyle w:val="Heading2"/>
        <w:jc w:val="left"/>
      </w:pPr>
      <w:r>
        <w:rPr>
          <w:rFonts w:ascii="Calibri" w:hAnsi="Calibri"/>
          <w:b/>
          <w:color w:val="1F3864"/>
        </w:rPr>
        <w:t>Current H. pylori Eradication (NHS Guidelines, November 2024)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Scenario</w:t>
            </w:r>
          </w:p>
        </w:tc>
        <w:tc>
          <w:tcPr>
            <w:tcW w:type="dxa" w:w="3135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Regimen</w:t>
            </w:r>
          </w:p>
        </w:tc>
        <w:tc>
          <w:tcPr>
            <w:tcW w:type="dxa" w:w="3135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Duration</w:t>
            </w:r>
          </w:p>
        </w:tc>
      </w:tr>
      <w:tr>
        <w:tc>
          <w:tcPr>
            <w:tcW w:type="dxa" w:w="3135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No penicillin allergy — 1st line</w:t>
            </w:r>
          </w:p>
        </w:tc>
        <w:tc>
          <w:tcPr>
            <w:tcW w:type="dxa" w:w="3135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Lansoprazole 30mg BD + Amoxicillin 1g BD + Clarithromycin 500mg BD</w:t>
              <w:br/>
              <w:t>⚠ Withhold statins during clarithromycin</w:t>
            </w:r>
          </w:p>
        </w:tc>
        <w:tc>
          <w:tcPr>
            <w:tcW w:type="dxa" w:w="3135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7 days</w:t>
            </w:r>
          </w:p>
        </w:tc>
      </w:tr>
      <w:tr>
        <w:tc>
          <w:tcPr>
            <w:tcW w:type="dxa" w:w="3135"/>
          </w:tcPr>
          <w:p>
            <w:r>
              <w:rPr>
                <w:rFonts w:ascii="Calibri" w:hAnsi="Calibri"/>
                <w:sz w:val="21"/>
              </w:rPr>
              <w:t>No penicillin allergy — 2nd line (prior clarithromycin)</w:t>
            </w:r>
          </w:p>
        </w:tc>
        <w:tc>
          <w:tcPr>
            <w:tcW w:type="dxa" w:w="3135"/>
          </w:tcPr>
          <w:p>
            <w:r>
              <w:rPr>
                <w:rFonts w:ascii="Calibri" w:hAnsi="Calibri"/>
                <w:sz w:val="21"/>
              </w:rPr>
              <w:t>Lansoprazole 30mg BD + Amoxicillin 1g BD + Metronidazole 400mg BD</w:t>
            </w:r>
          </w:p>
        </w:tc>
        <w:tc>
          <w:tcPr>
            <w:tcW w:type="dxa" w:w="3135"/>
          </w:tcPr>
          <w:p>
            <w:r>
              <w:rPr>
                <w:rFonts w:ascii="Calibri" w:hAnsi="Calibri"/>
                <w:sz w:val="21"/>
              </w:rPr>
              <w:t>7 days</w:t>
            </w:r>
          </w:p>
        </w:tc>
      </w:tr>
      <w:tr>
        <w:tc>
          <w:tcPr>
            <w:tcW w:type="dxa" w:w="3135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Penicillin allergy — 1st line</w:t>
            </w:r>
          </w:p>
        </w:tc>
        <w:tc>
          <w:tcPr>
            <w:tcW w:type="dxa" w:w="3135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Lansoprazole 30mg BD + Clarithromycin 500mg BD + Metronidazole 400mg BD</w:t>
            </w:r>
          </w:p>
        </w:tc>
        <w:tc>
          <w:tcPr>
            <w:tcW w:type="dxa" w:w="3135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7 days</w:t>
            </w:r>
          </w:p>
        </w:tc>
      </w:tr>
      <w:tr>
        <w:tc>
          <w:tcPr>
            <w:tcW w:type="dxa" w:w="3135"/>
          </w:tcPr>
          <w:p>
            <w:r>
              <w:rPr>
                <w:rFonts w:ascii="Calibri" w:hAnsi="Calibri"/>
                <w:sz w:val="21"/>
              </w:rPr>
              <w:t>3rd line / failures</w:t>
            </w:r>
          </w:p>
        </w:tc>
        <w:tc>
          <w:tcPr>
            <w:tcW w:type="dxa" w:w="3135"/>
          </w:tcPr>
          <w:p>
            <w:r>
              <w:rPr>
                <w:rFonts w:ascii="Calibri" w:hAnsi="Calibri"/>
                <w:sz w:val="21"/>
              </w:rPr>
              <w:t>Refer to gastroenterology for endoscopy + culture + sensitivity testing</w:t>
            </w:r>
          </w:p>
        </w:tc>
        <w:tc>
          <w:tcPr>
            <w:tcW w:type="dxa" w:w="3135"/>
          </w:tcPr>
          <w:p>
            <w:r>
              <w:rPr>
                <w:rFonts w:ascii="Calibri" w:hAnsi="Calibri"/>
                <w:sz w:val="21"/>
              </w:rPr>
              <w:t>Specialist-led</w:t>
            </w:r>
          </w:p>
        </w:tc>
      </w:tr>
    </w:tbl>
    <w:p/>
    <w:p>
      <w:r>
        <w:rPr>
          <w:rFonts w:ascii="Calibri" w:hAnsi="Calibri"/>
          <w:i/>
          <w:sz w:val="22"/>
        </w:rPr>
        <w:t>Do not use the same regimen twice if it has failed. There is no benefit.</w:t>
      </w:r>
    </w:p>
    <w:p>
      <w:pPr>
        <w:pStyle w:val="Heading1"/>
        <w:jc w:val="left"/>
      </w:pPr>
      <w:r>
        <w:rPr>
          <w:rFonts w:ascii="Calibri" w:hAnsi="Calibri"/>
          <w:b/>
          <w:color w:val="1F3864"/>
        </w:rPr>
        <w:t>NICE CG184 — Appropriate Use of PPIs in Dyspepsia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Clinical Scenario</w:t>
            </w:r>
          </w:p>
        </w:tc>
        <w:tc>
          <w:tcPr>
            <w:tcW w:type="dxa" w:w="4703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Recommended PPI Use (NICE CG184, 2024)</w:t>
            </w:r>
          </w:p>
        </w:tc>
      </w:tr>
      <w:tr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Peptic ulcer (H. pylori-positive)</w:t>
            </w:r>
          </w:p>
        </w:tc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Eradicate H. pylori. PPI only needed for 4 weeks post-eradication for large/complicated ulcers. Avoid long-term PPI once eradicated.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NSAID-induced ulcer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Stop NSAID if possible. Full-dose PPI until healed; then step down. If NSAID must continue, co-prescribe PPI.</w:t>
            </w:r>
          </w:p>
        </w:tc>
      </w:tr>
      <w:tr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Severe / complicated GORD</w:t>
            </w:r>
          </w:p>
        </w:tc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Full healing-dose PPI until symptoms controlled; then step down to lowest effective dose. Full-dose maintained for complicated GORD.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Non-ulcer (functional) dyspepsia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Should NOT be routinely treated with PPI. H2RA is preferred first-line. May try lowest dose PPI as trial.</w:t>
            </w:r>
          </w:p>
        </w:tc>
      </w:tr>
      <w:tr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Mild dyspepsia</w:t>
            </w:r>
          </w:p>
        </w:tc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Step-up approach: antacids/alginates first. No long-term acid suppression without confirmed diagnosis.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Long-term PPI (any indication)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Use lowest effective dose. Annual review mandatory. Consider step-down or on-demand therapy.</w:t>
            </w:r>
          </w:p>
        </w:tc>
      </w:tr>
    </w:tbl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1F6B3A"/>
          </w:tcPr>
          <w:p>
            <w:pPr>
              <w:spacing w:before="120" w:after="80"/>
              <w:ind w:left="170"/>
            </w:pPr>
            <w:r>
              <w:rPr>
                <w:rFonts w:ascii="Calibri" w:hAnsi="Calibri"/>
                <w:b/>
                <w:color w:val="FFFFFF"/>
                <w:sz w:val="24"/>
              </w:rPr>
              <w:t>✅ Key Points Summary</w:t>
              <w:br/>
            </w:r>
            <w:r>
              <w:rPr>
                <w:rFonts w:ascii="Calibri" w:hAnsi="Calibri"/>
                <w:color w:val="FFFFFF"/>
                <w:sz w:val="22"/>
              </w:rPr>
              <w:t>• Dyspepsia under age 55 with no alarm features: test for H. pylori (UBT or stool antigen) → eradicate if positive</w:t>
              <w:br/>
            </w:r>
            <w:r>
              <w:rPr>
                <w:rFonts w:ascii="Calibri" w:hAnsi="Calibri"/>
                <w:color w:val="FFFFFF"/>
                <w:sz w:val="22"/>
              </w:rPr>
              <w:t>• Never use the same H. pylori regimen twice if it failed — refer to gastroenterology</w:t>
              <w:br/>
            </w:r>
            <w:r>
              <w:rPr>
                <w:rFonts w:ascii="Calibri" w:hAnsi="Calibri"/>
                <w:color w:val="FFFFFF"/>
                <w:sz w:val="22"/>
              </w:rPr>
              <w:t>• Stop PPIs ≥2 weeks before H. pylori breath test to avoid false negatives</w:t>
              <w:br/>
            </w:r>
            <w:r>
              <w:rPr>
                <w:rFonts w:ascii="Calibri" w:hAnsi="Calibri"/>
                <w:color w:val="FFFFFF"/>
                <w:sz w:val="22"/>
              </w:rPr>
              <w:t>• Withhold statins during clarithromycin-containing eradication regimens</w:t>
              <w:br/>
            </w:r>
            <w:r>
              <w:rPr>
                <w:rFonts w:ascii="Calibri" w:hAnsi="Calibri"/>
                <w:color w:val="FFFFFF"/>
                <w:sz w:val="22"/>
              </w:rPr>
              <w:t>• Non-ulcer dyspepsia: H2RA before PPI (NICE); avoid long-term PPI without indication</w:t>
              <w:br/>
            </w:r>
            <w:r>
              <w:rPr>
                <w:rFonts w:ascii="Calibri" w:hAnsi="Calibri"/>
                <w:color w:val="FFFFFF"/>
                <w:sz w:val="22"/>
              </w:rPr>
              <w:t>• Age ≥55 + weight loss + upper GI symptoms = urgent 2WW referral (NICE NG12, April 2026)</w:t>
              <w:br/>
            </w:r>
            <w:r>
              <w:rPr>
                <w:rFonts w:ascii="Calibri" w:hAnsi="Calibri"/>
                <w:color w:val="FFFFFF"/>
                <w:sz w:val="22"/>
              </w:rPr>
              <w:t>• Dysphagia = always urgent 2WW — do not manage with PPIs empirically</w:t>
              <w:br/>
            </w:r>
          </w:p>
        </w:tc>
      </w:tr>
    </w:tbl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1F3864"/>
          </w:tcPr>
          <w:p>
            <w:pPr>
              <w:spacing w:before="120" w:after="80"/>
              <w:ind w:left="170"/>
            </w:pPr>
            <w:r>
              <w:rPr>
                <w:rFonts w:ascii="Calibri" w:hAnsi="Calibri"/>
                <w:b/>
                <w:color w:val="FFFFFF"/>
                <w:sz w:val="24"/>
              </w:rPr>
              <w:t>📝 In the Exam (AKT / SCA)</w:t>
              <w:br/>
            </w:r>
            <w:r>
              <w:rPr>
                <w:rFonts w:ascii="Calibri" w:hAnsi="Calibri"/>
                <w:color w:val="FFFFFF"/>
                <w:sz w:val="22"/>
              </w:rPr>
              <w:t>• AKT: Age threshold for endoscopy in uncomplicated dyspepsia = 55 (NOT 45)</w:t>
              <w:br/>
            </w:r>
            <w:r>
              <w:rPr>
                <w:rFonts w:ascii="Calibri" w:hAnsi="Calibri"/>
                <w:color w:val="FFFFFF"/>
                <w:sz w:val="22"/>
              </w:rPr>
              <w:t>• AKT: FIT ≥10 μg Hb/g faeces = refer on 2WW colorectal pathway</w:t>
              <w:br/>
            </w:r>
            <w:r>
              <w:rPr>
                <w:rFonts w:ascii="Calibri" w:hAnsi="Calibri"/>
                <w:color w:val="FFFFFF"/>
                <w:sz w:val="22"/>
              </w:rPr>
              <w:t>• AKT: First-line H. pylori eradication = PPI + amoxicillin + clarithromycin × 7 days</w:t>
              <w:br/>
            </w:r>
            <w:r>
              <w:rPr>
                <w:rFonts w:ascii="Calibri" w:hAnsi="Calibri"/>
                <w:color w:val="FFFFFF"/>
                <w:sz w:val="22"/>
              </w:rPr>
              <w:t>• SCA: Always explore ICE (Ideas, Concerns, Expectations) when patient presents with dyspepsia</w:t>
              <w:br/>
            </w:r>
            <w:r>
              <w:rPr>
                <w:rFonts w:ascii="Calibri" w:hAnsi="Calibri"/>
                <w:color w:val="FFFFFF"/>
                <w:sz w:val="22"/>
              </w:rPr>
              <w:t>• SCA: Offer H. pylori testing before jumping to endoscopy in under-55s without alarms</w:t>
              <w:br/>
            </w:r>
            <w:r>
              <w:rPr>
                <w:rFonts w:ascii="Calibri" w:hAnsi="Calibri"/>
                <w:color w:val="FFFFFF"/>
                <w:sz w:val="22"/>
              </w:rPr>
              <w:t>• SCA: Lifestyle advice is part of management — document it</w:t>
              <w:br/>
            </w:r>
          </w:p>
        </w:tc>
      </w:tr>
    </w:tbl>
    <w:p/>
    <w:p/>
    <w:p>
      <w:pPr>
        <w:spacing w:before="200"/>
      </w:pPr>
      <w:r>
        <w:rPr>
          <w:rFonts w:ascii="Calibri" w:hAnsi="Calibri"/>
          <w:i/>
          <w:color w:val="646464"/>
          <w:sz w:val="18"/>
        </w:rPr>
        <w:t>A free resource provided by www.bradfordvts.co.uk, Dr Ramesh Mehay, original date unknown, revised May 2026</w:t>
        <w:br/>
        <w:br/>
        <w:t>⚠ Always double check this advice and drug doses with the latest NICE/BNF guidance. This document is for educational purposes only.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