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E0651F"/>
          </w:tcPr>
          <w:p>
            <w:pPr>
              <w:spacing w:before="280" w:after="120"/>
              <w:jc w:val="center"/>
            </w:pPr>
            <w:r>
              <w:rPr>
                <w:rFonts w:ascii="Calibri" w:hAnsi="Calibri"/>
                <w:b/>
                <w:caps/>
                <w:color w:val="FFFFFF"/>
                <w:sz w:val="22"/>
              </w:rPr>
              <w:t>BRADFORD VTS TEACHING AIDS</w:t>
              <w:br/>
            </w:r>
            <w:r>
              <w:rPr>
                <w:rFonts w:ascii="Calibri" w:hAnsi="Calibri"/>
                <w:b/>
                <w:color w:val="FFFFFF"/>
                <w:sz w:val="52"/>
              </w:rPr>
              <w:t>Dyspepsia Tutorial Framework</w:t>
              <w:br/>
            </w:r>
            <w:r>
              <w:rPr>
                <w:rFonts w:ascii="Calibri" w:hAnsi="Calibri"/>
                <w:i/>
                <w:color w:val="FFDCB4"/>
                <w:sz w:val="24"/>
              </w:rPr>
              <w:t>Tutorial Planning Document  ·  Bradford VTS  ·  May 2026</w:t>
            </w:r>
          </w:p>
        </w:tc>
      </w:tr>
    </w:tbl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Purpose of This Framework</w:t>
      </w:r>
    </w:p>
    <w:p>
      <w:r>
        <w:rPr>
          <w:rFonts w:ascii="Calibri" w:hAnsi="Calibri"/>
          <w:sz w:val="22"/>
        </w:rPr>
        <w:t>This framework supports GP trainers and educators in designing and running a tutorial on dyspepsia management in general practice. It has been updated to reflect current NICE CG184 (2024) guidance and NICE NG12 (updated April 2026).</w:t>
      </w:r>
    </w:p>
    <w:p>
      <w:pPr>
        <w:pStyle w:val="Heading1"/>
        <w:jc w:val="left"/>
      </w:pPr>
      <w:r>
        <w:rPr>
          <w:rFonts w:ascii="Calibri" w:hAnsi="Calibri"/>
          <w:b/>
          <w:color w:val="1F3864"/>
        </w:rPr>
        <w:t>Learning Aims</w:t>
      </w:r>
    </w:p>
    <w:p>
      <w:r>
        <w:rPr>
          <w:rFonts w:ascii="Calibri" w:hAnsi="Calibri"/>
          <w:sz w:val="22"/>
        </w:rPr>
        <w:t>1. Make dysmotility / functional dyspepsia a positive diagnosis — not one of exclusion</w:t>
        <w:br/>
        <w:t>2. Develop sound knowledge of current therapeutic options (test-and-treat, PPIs, H2RAs)</w:t>
        <w:br/>
        <w:t>3. Know how to select which patients need further investigation (alarm features; age ≥55 threshold)</w:t>
        <w:br/>
        <w:t>4. Understand current NICE NG12 (2026) referral criteria for suspected upper GI cancer</w:t>
      </w:r>
    </w:p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Preparation (for the trainee before the tutorial)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F3864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Pre-tutorial reading</w:t>
              <w:br/>
            </w:r>
            <w:r>
              <w:rPr>
                <w:rFonts w:ascii="Calibri" w:hAnsi="Calibri"/>
                <w:color w:val="FFFFFF"/>
                <w:sz w:val="22"/>
              </w:rPr>
              <w:t>• Read NICE CG184 (Dyspepsia and GORD in Adults) — available at nice.org.uk/guidance/cg184</w:t>
              <w:br/>
            </w:r>
            <w:r>
              <w:rPr>
                <w:rFonts w:ascii="Calibri" w:hAnsi="Calibri"/>
                <w:color w:val="FFFFFF"/>
                <w:sz w:val="22"/>
              </w:rPr>
              <w:t>• Read NICE NG12 (Suspected Cancer: Recognition and Referral, updated April 2026)</w:t>
              <w:br/>
            </w:r>
            <w:r>
              <w:rPr>
                <w:rFonts w:ascii="Calibri" w:hAnsi="Calibri"/>
                <w:color w:val="FFFFFF"/>
                <w:sz w:val="22"/>
              </w:rPr>
              <w:t>• Review the current H. pylori eradication regimens (NHS November 2024 guidelines)</w:t>
              <w:br/>
            </w:r>
            <w:r>
              <w:rPr>
                <w:rFonts w:ascii="Calibri" w:hAnsi="Calibri"/>
                <w:color w:val="FFFFFF"/>
                <w:sz w:val="22"/>
              </w:rPr>
              <w:t>• Identify 2–3 patients recently seen with dyspepsia — bring anonymised cases to discuss</w:t>
              <w:br/>
            </w:r>
            <w:r>
              <w:rPr>
                <w:rFonts w:ascii="Calibri" w:hAnsi="Calibri"/>
                <w:color w:val="FFFFFF"/>
                <w:sz w:val="22"/>
              </w:rPr>
              <w:t>• Review local 2WW referral pathway for upper GI suspected cancer</w:t>
              <w:br/>
            </w:r>
          </w:p>
        </w:tc>
      </w:tr>
    </w:tbl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Tutorial Content Outline</w:t>
      </w:r>
    </w:p>
    <w:p>
      <w:pPr>
        <w:pStyle w:val="Heading2"/>
        <w:jc w:val="left"/>
      </w:pPr>
      <w:r>
        <w:rPr>
          <w:rFonts w:ascii="Calibri" w:hAnsi="Calibri"/>
          <w:b/>
          <w:color w:val="1F3864"/>
        </w:rPr>
        <w:t>1. Finding the Patient's Agenda (ICE)</w:t>
      </w:r>
    </w:p>
    <w:p>
      <w:r>
        <w:rPr>
          <w:rFonts w:ascii="Calibri" w:hAnsi="Calibri"/>
          <w:sz w:val="22"/>
        </w:rPr>
        <w:t>Dyspepsia is highly common and often driven by patient anxiety about serious disease (especially cancer). Use the ICE framework:</w:t>
        <w:br/>
        <w:t>• Ideas: What does the patient think is causing their symptoms?</w:t>
        <w:br/>
        <w:t>• Concerns: What are they worried about? (Cancer fear is common)</w:t>
        <w:br/>
        <w:t>• Expectations: What do they hope the doctor will do?</w:t>
        <w:br/>
        <w:br/>
        <w:t>SCA tip: Demonstrate open questioning and agenda-setting in the consultation. Acknowledge the patient's concerns before launching into management.</w:t>
      </w:r>
    </w:p>
    <w:p>
      <w:pPr>
        <w:pStyle w:val="Heading2"/>
        <w:jc w:val="left"/>
      </w:pPr>
      <w:r>
        <w:rPr>
          <w:rFonts w:ascii="Calibri" w:hAnsi="Calibri"/>
          <w:b/>
          <w:color w:val="1F3864"/>
        </w:rPr>
        <w:t>2. Emergencies — Recognising and Managing Red Flags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C00000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🚨 Red Flags Requiring Urgent Action</w:t>
              <w:br/>
            </w:r>
            <w:r>
              <w:rPr>
                <w:rFonts w:ascii="Calibri" w:hAnsi="Calibri"/>
                <w:color w:val="FFFFFF"/>
                <w:sz w:val="22"/>
              </w:rPr>
              <w:t>• Dysphagia → urgent 2WW (NICE NG12, 2026)</w:t>
              <w:br/>
            </w:r>
            <w:r>
              <w:rPr>
                <w:rFonts w:ascii="Calibri" w:hAnsi="Calibri"/>
                <w:color w:val="FFFFFF"/>
                <w:sz w:val="22"/>
              </w:rPr>
              <w:t>• Haematemesis → same-day hospital referral (emergency)</w:t>
              <w:br/>
            </w:r>
            <w:r>
              <w:rPr>
                <w:rFonts w:ascii="Calibri" w:hAnsi="Calibri"/>
                <w:color w:val="FFFFFF"/>
                <w:sz w:val="22"/>
              </w:rPr>
              <w:t>• Melaena → same-day admission</w:t>
              <w:br/>
            </w:r>
            <w:r>
              <w:rPr>
                <w:rFonts w:ascii="Calibri" w:hAnsi="Calibri"/>
                <w:color w:val="FFFFFF"/>
                <w:sz w:val="22"/>
              </w:rPr>
              <w:t>• Age ≥55 + weight loss + upper abdominal pain/reflux/dyspepsia → 2WW</w:t>
              <w:br/>
            </w:r>
            <w:r>
              <w:rPr>
                <w:rFonts w:ascii="Calibri" w:hAnsi="Calibri"/>
                <w:color w:val="FFFFFF"/>
                <w:sz w:val="22"/>
              </w:rPr>
              <w:t>• Age ≥40 + painless jaundice → 2WW (exclude pancreatic cancer)</w:t>
              <w:br/>
            </w:r>
            <w:r>
              <w:rPr>
                <w:rFonts w:ascii="Calibri" w:hAnsi="Calibri"/>
                <w:color w:val="FFFFFF"/>
                <w:sz w:val="22"/>
              </w:rPr>
              <w:t>• Iron-deficiency anaemia (unexplained) → investigate; FIT + upper GI endoscopy if appropriate</w:t>
              <w:br/>
            </w:r>
            <w:r>
              <w:rPr>
                <w:rFonts w:ascii="Calibri" w:hAnsi="Calibri"/>
                <w:color w:val="FFFFFF"/>
                <w:sz w:val="22"/>
              </w:rPr>
              <w:t>• Epigastric mass → suspected cancer pathway referral</w:t>
              <w:br/>
            </w:r>
          </w:p>
        </w:tc>
      </w:tr>
    </w:tbl>
    <w:p/>
    <w:p>
      <w:pPr>
        <w:pStyle w:val="Heading2"/>
        <w:jc w:val="left"/>
      </w:pPr>
      <w:r>
        <w:rPr>
          <w:rFonts w:ascii="Calibri" w:hAnsi="Calibri"/>
          <w:b/>
          <w:color w:val="1F3864"/>
        </w:rPr>
        <w:t>3. Treatment — Current Best Practice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Clinical Situation</w:t>
            </w:r>
          </w:p>
        </w:tc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First-Line Approach (NICE CG184, 2024)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Uncomplicated dyspepsia &lt;55, no alarms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H. pylori test-and-treat (UBT preferred) OR empirical full-dose PPI × 4 weeks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H. pylori positive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Eradicate: lansoprazole 30mg BD + amoxicillin 1g BD + clarithromycin 500mg BD × 7 days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GORD — mild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Antacids/alginates first; H2RA if needed; NOT PPI as first step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GORD — moderate/severe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Full-dose PPI 4–8 weeks; step down to lowest effective dose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Non-ulcer dyspepsia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H2RA before PPI (NICE); lifestyle advice; test-and-treat if not done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NSAID-induced ulcer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Stop NSAID; PPI until healed; re-evaluate NSAID need</w:t>
            </w:r>
          </w:p>
        </w:tc>
      </w:tr>
    </w:tbl>
    <w:p/>
    <w:p>
      <w:pPr>
        <w:pStyle w:val="Heading2"/>
        <w:jc w:val="left"/>
      </w:pPr>
      <w:r>
        <w:rPr>
          <w:rFonts w:ascii="Calibri" w:hAnsi="Calibri"/>
          <w:b/>
          <w:color w:val="1F3864"/>
        </w:rPr>
        <w:t>4. Prescribing Cascade &amp; PPI Stewardship</w:t>
      </w:r>
    </w:p>
    <w:p>
      <w:r>
        <w:rPr>
          <w:rFonts w:ascii="Calibri" w:hAnsi="Calibri"/>
          <w:sz w:val="22"/>
        </w:rPr>
        <w:t>Prescribing cascade: patient gets dyspepsia symptom → GP prescribes PPI → PPI causes hypomagnesaemia → GP prescribes magnesium supplement. Avoid by:</w:t>
        <w:br/>
        <w:t>• Always prescribing at lowest effective dose</w:t>
        <w:br/>
        <w:t>• Annual medication review for any patient on long-term PPI</w:t>
        <w:br/>
        <w:t>• Consider step-down or on-demand therapy</w:t>
        <w:br/>
        <w:t>• Document the indication in medical records</w:t>
        <w:br/>
        <w:t>• Long-term PPI risks: hypomagnesaemia, C. diff, community-acquired pneumonia, B12 deficiency, bone fracture risk</w:t>
      </w:r>
    </w:p>
    <w:p/>
    <w:p>
      <w:pPr>
        <w:pStyle w:val="Heading2"/>
        <w:jc w:val="left"/>
      </w:pPr>
      <w:r>
        <w:rPr>
          <w:rFonts w:ascii="Calibri" w:hAnsi="Calibri"/>
          <w:b/>
          <w:color w:val="1F3864"/>
        </w:rPr>
        <w:t>5. Lifestyle Advice — The STRAWS Approach</w:t>
      </w:r>
    </w:p>
    <w:p>
      <w:r>
        <w:rPr>
          <w:rFonts w:ascii="Calibri" w:hAnsi="Calibri"/>
          <w:sz w:val="22"/>
        </w:rPr>
        <w:t>S — Stop smoking</w:t>
        <w:br/>
        <w:t>T — Take less alcohol</w:t>
        <w:br/>
        <w:t>R — Reduce weight (obesity worsens GORD and peptic ulcer risk)</w:t>
        <w:br/>
        <w:t>A — Avoid trigger foods (coffee, citrus, spicy food, fatty meals)</w:t>
        <w:br/>
        <w:t>W — Wait — avoid eating 3 hours before bedtime; raise head of bed</w:t>
        <w:br/>
        <w:t>S — Stress management (gut-brain axis — stress worsens GI symptoms)</w:t>
        <w:br/>
        <w:br/>
        <w:t>Provide written lifestyle information. Offer patient resources (e.g. Guts UK leaflets).</w:t>
      </w:r>
    </w:p>
    <w:p/>
    <w:p>
      <w:pPr>
        <w:pStyle w:val="Heading2"/>
        <w:jc w:val="left"/>
      </w:pPr>
      <w:r>
        <w:rPr>
          <w:rFonts w:ascii="Calibri" w:hAnsi="Calibri"/>
          <w:b/>
          <w:color w:val="1F3864"/>
        </w:rPr>
        <w:t>6. Whose Illness Is It Anyway? (Motivating Patients)</w:t>
      </w:r>
    </w:p>
    <w:p>
      <w:r>
        <w:rPr>
          <w:rFonts w:ascii="Calibri" w:hAnsi="Calibri"/>
          <w:sz w:val="22"/>
        </w:rPr>
        <w:t>Many patients with dyspepsia feel their condition is trivial or hope for a "quick fix." Key educational messages:</w:t>
        <w:br/>
        <w:t>• H. pylori eradication achieves lasting cure in peptic ulcer — better than long-term PPI</w:t>
        <w:br/>
        <w:t>• Lifestyle changes genuinely reduce symptoms — especially weight loss for GORD</w:t>
        <w:br/>
        <w:t>• Long-term PPIs are not without risk — review and step down where possible</w:t>
        <w:br/>
        <w:t>• Empower patient ownership: food diary, symptom diary, trigger identification</w:t>
      </w:r>
    </w:p>
    <w:p/>
    <w:p>
      <w:pPr>
        <w:pStyle w:val="Heading2"/>
        <w:jc w:val="left"/>
      </w:pPr>
      <w:r>
        <w:rPr>
          <w:rFonts w:ascii="Calibri" w:hAnsi="Calibri"/>
          <w:b/>
          <w:color w:val="1F3864"/>
        </w:rPr>
        <w:t>7. Referral — Who, When, and How?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Type of Referral</w:t>
            </w:r>
          </w:p>
        </w:tc>
        <w:tc>
          <w:tcPr>
            <w:tcW w:type="dxa" w:w="4703"/>
            <w:shd w:val="clear" w:color="auto" w:fill="1F3864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Criteria (NICE NG12, 2026 / NICE CG184)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Urgent 2WW (suspected cancer pathway)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Dysphagia; OR age ≥55 + weight loss + upper abdominal pain/reflux/dyspepsia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Non-urgent upper GI endoscopy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Haematemesis; OR age ≥55 + treatment-resistant dyspepsia/low Hb/raised platelets + GI symptoms</w:t>
            </w:r>
          </w:p>
        </w:tc>
      </w:tr>
      <w:tr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Open-access endoscopy</w:t>
            </w:r>
          </w:p>
        </w:tc>
        <w:tc>
          <w:tcPr>
            <w:tcW w:type="dxa" w:w="4703"/>
            <w:shd w:val="clear" w:color="auto" w:fill="EBF0FA"/>
          </w:tcPr>
          <w:p>
            <w:r>
              <w:rPr>
                <w:rFonts w:ascii="Calibri" w:hAnsi="Calibri"/>
                <w:sz w:val="21"/>
              </w:rPr>
              <w:t>Age ≥55 with non-urgent indications — available in many trusts via direct GP referral</w:t>
            </w:r>
          </w:p>
        </w:tc>
      </w:tr>
      <w:tr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Routine gastroenterology</w:t>
            </w:r>
          </w:p>
        </w:tc>
        <w:tc>
          <w:tcPr>
            <w:tcW w:type="dxa" w:w="4703"/>
          </w:tcPr>
          <w:p>
            <w:r>
              <w:rPr>
                <w:rFonts w:ascii="Calibri" w:hAnsi="Calibri"/>
                <w:sz w:val="21"/>
              </w:rPr>
              <w:t>Failure of primary care management; complex PPI management; Barrett's follow-up</w:t>
            </w:r>
          </w:p>
        </w:tc>
      </w:tr>
    </w:tbl>
    <w:p/>
    <w:p>
      <w:r>
        <w:rPr>
          <w:rFonts w:ascii="Calibri" w:hAnsi="Calibri"/>
          <w:sz w:val="22"/>
        </w:rPr>
        <w:t>Note: The old threshold of "over 45 → endoscopy" is outdated. NICE CG184 sets the threshold at age 55.</w:t>
      </w:r>
    </w:p>
    <w:p/>
    <w:p>
      <w:pPr>
        <w:pStyle w:val="Heading2"/>
        <w:jc w:val="left"/>
      </w:pPr>
      <w:r>
        <w:rPr>
          <w:rFonts w:ascii="Calibri" w:hAnsi="Calibri"/>
          <w:b/>
          <w:color w:val="1F3864"/>
        </w:rPr>
        <w:t>8. Problems and Pitfalls — Discussion Points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E87420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⚠ Common Pitfalls to Discuss in Tutorial</w:t>
              <w:br/>
            </w:r>
            <w:r>
              <w:rPr>
                <w:rFonts w:ascii="Calibri" w:hAnsi="Calibri"/>
                <w:color w:val="FFFFFF"/>
                <w:sz w:val="22"/>
              </w:rPr>
              <w:t>• Referring 45-year-olds automatically for endoscopy — current threshold is 55</w:t>
              <w:br/>
            </w:r>
            <w:r>
              <w:rPr>
                <w:rFonts w:ascii="Calibri" w:hAnsi="Calibri"/>
                <w:color w:val="FFFFFF"/>
                <w:sz w:val="22"/>
              </w:rPr>
              <w:t>• Not stopping PPIs before H. pylori breath test → false-negative result</w:t>
              <w:br/>
            </w:r>
            <w:r>
              <w:rPr>
                <w:rFonts w:ascii="Calibri" w:hAnsi="Calibri"/>
                <w:color w:val="FFFFFF"/>
                <w:sz w:val="22"/>
              </w:rPr>
              <w:t>• Using FOB (faecal occult blood) instead of FIT for suspected CRC — qualitative FOB is obsolete</w:t>
              <w:br/>
            </w:r>
            <w:r>
              <w:rPr>
                <w:rFonts w:ascii="Calibri" w:hAnsi="Calibri"/>
                <w:color w:val="FFFFFF"/>
                <w:sz w:val="22"/>
              </w:rPr>
              <w:t>• Prescribing long-term PPI without annual review or documented indication</w:t>
              <w:br/>
            </w:r>
            <w:r>
              <w:rPr>
                <w:rFonts w:ascii="Calibri" w:hAnsi="Calibri"/>
                <w:color w:val="FFFFFF"/>
                <w:sz w:val="22"/>
              </w:rPr>
              <w:t>• Missing peptic ulcer in elderly patients on NSAIDs — check for NSAID use in any dyspepsia patient</w:t>
              <w:br/>
            </w:r>
            <w:r>
              <w:rPr>
                <w:rFonts w:ascii="Calibri" w:hAnsi="Calibri"/>
                <w:color w:val="FFFFFF"/>
                <w:sz w:val="22"/>
              </w:rPr>
              <w:t>• Diagnosing IBS without first ruling out coeliac disease</w:t>
              <w:br/>
            </w:r>
            <w:r>
              <w:rPr>
                <w:rFonts w:ascii="Calibri" w:hAnsi="Calibri"/>
                <w:color w:val="FFFFFF"/>
                <w:sz w:val="22"/>
              </w:rPr>
              <w:t>• Attributing dyspepsia in the elderly to "normal ageing" — always check alarm features</w:t>
              <w:br/>
            </w:r>
          </w:p>
        </w:tc>
      </w:tr>
    </w:tbl>
    <w:p/>
    <w:p>
      <w:pPr>
        <w:pStyle w:val="Heading1"/>
        <w:jc w:val="left"/>
      </w:pPr>
      <w:r>
        <w:rPr>
          <w:rFonts w:ascii="Calibri" w:hAnsi="Calibri"/>
          <w:b/>
          <w:color w:val="1F3864"/>
        </w:rPr>
        <w:t>Feedback and Further Learning</w:t>
      </w:r>
    </w:p>
    <w:p>
      <w:r>
        <w:rPr>
          <w:rFonts w:ascii="Calibri" w:hAnsi="Calibri"/>
          <w:sz w:val="22"/>
        </w:rPr>
        <w:t>• Review the clinical cases discussed: what would you do differently now?</w:t>
        <w:br/>
        <w:t>• Assemble a personal toolkit: local referral pathway, NICE CG184 summary, H. pylori eradication card</w:t>
        <w:br/>
        <w:t>• Collect patient information resources: Guts UK leaflets (guts.org.uk), NHS information</w:t>
        <w:br/>
        <w:t>• Audit idea: Review your last 20 dyspepsia prescriptions — are all PPIs still indicated?</w:t>
        <w:br/>
        <w:t>• SCA practice: Role-play a dyspepsia consultation with ICE exploration and safety-netting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F3864"/>
          </w:tcPr>
          <w:p>
            <w:pPr>
              <w:spacing w:before="120" w:after="80"/>
              <w:ind w:left="170"/>
            </w:pPr>
            <w:r>
              <w:rPr>
                <w:rFonts w:ascii="Calibri" w:hAnsi="Calibri"/>
                <w:b/>
                <w:color w:val="FFFFFF"/>
                <w:sz w:val="24"/>
              </w:rPr>
              <w:t>📝 In the Exam (AKT / SCA)</w:t>
              <w:br/>
            </w:r>
            <w:r>
              <w:rPr>
                <w:rFonts w:ascii="Calibri" w:hAnsi="Calibri"/>
                <w:color w:val="FFFFFF"/>
                <w:sz w:val="22"/>
              </w:rPr>
              <w:t>• Know the NICE CG184 management algorithm — test-and-treat, PPI, endoscopy thresholds</w:t>
              <w:br/>
            </w:r>
            <w:r>
              <w:rPr>
                <w:rFonts w:ascii="Calibri" w:hAnsi="Calibri"/>
                <w:color w:val="FFFFFF"/>
                <w:sz w:val="22"/>
              </w:rPr>
              <w:t>• Age ≥55 = endoscopy threshold (NOT 45) — this is a common AKT distractor</w:t>
              <w:br/>
            </w:r>
            <w:r>
              <w:rPr>
                <w:rFonts w:ascii="Calibri" w:hAnsi="Calibri"/>
                <w:color w:val="FFFFFF"/>
                <w:sz w:val="22"/>
              </w:rPr>
              <w:t>• SCA: Demonstrate ICE exploration in dyspepsia consultation; address cancer fear directly</w:t>
              <w:br/>
            </w:r>
            <w:r>
              <w:rPr>
                <w:rFonts w:ascii="Calibri" w:hAnsi="Calibri"/>
                <w:color w:val="FFFFFF"/>
                <w:sz w:val="22"/>
              </w:rPr>
              <w:t>• AKT: H. pylori 1st-line = PPI + amoxicillin + clarithromycin × 7 days</w:t>
              <w:br/>
            </w:r>
            <w:r>
              <w:rPr>
                <w:rFonts w:ascii="Calibri" w:hAnsi="Calibri"/>
                <w:color w:val="FFFFFF"/>
                <w:sz w:val="22"/>
              </w:rPr>
              <w:t>• AKT: Avoid omeprazole/esomeprazole if patient is on clopidogrel — use pantoprazole or lansoprazole</w:t>
              <w:br/>
            </w:r>
          </w:p>
        </w:tc>
      </w:tr>
    </w:tbl>
    <w:p/>
    <w:p/>
    <w:p>
      <w:pPr>
        <w:spacing w:before="200"/>
      </w:pPr>
      <w:r>
        <w:rPr>
          <w:rFonts w:ascii="Calibri" w:hAnsi="Calibri"/>
          <w:i/>
          <w:color w:val="646464"/>
          <w:sz w:val="18"/>
        </w:rPr>
        <w:t>A free resource provided by www.bradfordvts.co.uk, Dr Ramesh Mehay, original date unknown, revised May 2026</w:t>
        <w:br/>
        <w:br/>
        <w:t>⚠ Always double check this advice and drug doses with the latest NICE/BNF guidance. This document is for educational purposes only.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