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Pr>
      <w:tblGrid>
        <w:gridCol w:w="9406"/>
      </w:tblGrid>
      <w:tr>
        <w:tc>
          <w:tcPr>
            <w:tcW w:type="dxa" w:w="9406"/>
            <w:shd w:val="clear" w:color="auto" w:fill="E0651F"/>
          </w:tcPr>
          <w:p>
            <w:pPr>
              <w:spacing w:before="280" w:after="120"/>
              <w:jc w:val="center"/>
            </w:pPr>
            <w:r>
              <w:rPr>
                <w:rFonts w:ascii="Calibri" w:hAnsi="Calibri"/>
                <w:b/>
                <w:caps/>
                <w:color w:val="FFFFFF"/>
                <w:sz w:val="22"/>
              </w:rPr>
              <w:t>BRADFORD VTS TEACHING AIDS</w:t>
              <w:br/>
            </w:r>
            <w:r>
              <w:rPr>
                <w:rFonts w:ascii="Calibri" w:hAnsi="Calibri"/>
                <w:b/>
                <w:color w:val="FFFFFF"/>
                <w:sz w:val="48"/>
              </w:rPr>
              <w:t>FIT Testing: Reducing Unnecessary Colonoscopies</w:t>
              <w:br/>
            </w:r>
            <w:r>
              <w:rPr>
                <w:rFonts w:ascii="Calibri" w:hAnsi="Calibri"/>
                <w:i/>
                <w:color w:val="FFDCB4"/>
                <w:sz w:val="24"/>
              </w:rPr>
              <w:t>Clinical Quick Reference  ·  Bradford VTS  ·  May 2026</w:t>
            </w:r>
          </w:p>
        </w:tc>
      </w:tr>
    </w:tbl>
    <w:p/>
    <w:p>
      <w:pPr>
        <w:pStyle w:val="Heading1"/>
        <w:jc w:val="left"/>
      </w:pPr>
      <w:r>
        <w:rPr>
          <w:rFonts w:ascii="Calibri" w:hAnsi="Calibri"/>
          <w:b/>
          <w:color w:val="1F3864"/>
        </w:rPr>
        <w:t>What is FIT and Why Does It Matter?</w:t>
      </w:r>
    </w:p>
    <w:p>
      <w:r>
        <w:rPr>
          <w:rFonts w:ascii="Calibri" w:hAnsi="Calibri"/>
          <w:sz w:val="22"/>
        </w:rPr>
        <w:t>The Faecal Immunochemical Test (FIT) is a quantitative test that measures the concentration of human haemoglobin (Hb) in a stool sample. It is reported in micrograms of Hb per gram of faeces (μg Hb/g).</w:t>
        <w:br/>
        <w:br/>
        <w:t>Unlike the older faecal occult blood (FOB) test, FIT:</w:t>
        <w:br/>
        <w:t>• Is specific to human haemoglobin (no dietary restrictions needed)</w:t>
        <w:br/>
        <w:t>• Provides a quantitative result — not just positive/negative</w:t>
        <w:br/>
        <w:t>• Has been validated as a triage tool to reduce unnecessary colonoscopies</w:t>
        <w:br/>
        <w:t>• Is now the recommended standard for suspected colorectal cancer (CRC) risk stratification in primary care</w:t>
        <w:br/>
        <w:br/>
        <w:t>Updated guidance from BSG and ACPGBI (June 2022) and NICE NG12 (updated 2023) establishes FIT as the key gatekeeper to the 2WW lower GI pathway, freeing up colonoscopy capacity for the highest-risk patients.</w:t>
      </w:r>
    </w:p>
    <w:p/>
    <w:tbl>
      <w:tblPr>
        <w:tblW w:type="auto" w:w="0"/>
        <w:jc w:val="left"/>
        <w:tblLook w:firstColumn="1" w:firstRow="1" w:lastColumn="0" w:lastRow="0" w:noHBand="0" w:noVBand="1" w:val="04A0"/>
      </w:tblPr>
      <w:tblGrid>
        <w:gridCol w:w="9406"/>
      </w:tblGrid>
      <w:tr>
        <w:tc>
          <w:tcPr>
            <w:tcW w:type="dxa" w:w="9406"/>
            <w:shd w:val="clear" w:color="auto" w:fill="1F3864"/>
          </w:tcPr>
          <w:p>
            <w:pPr>
              <w:spacing w:before="120" w:after="80"/>
              <w:ind w:left="170"/>
            </w:pPr>
            <w:r>
              <w:rPr>
                <w:rFonts w:ascii="Calibri" w:hAnsi="Calibri"/>
                <w:b/>
                <w:color w:val="FFFFFF"/>
                <w:sz w:val="24"/>
              </w:rPr>
              <w:t>🔑 The Key Number to Know</w:t>
              <w:br/>
            </w:r>
            <w:r>
              <w:rPr>
                <w:rFonts w:ascii="Calibri" w:hAnsi="Calibri"/>
                <w:color w:val="FFFFFF"/>
                <w:sz w:val="22"/>
              </w:rPr>
              <w:t>FIT result ≥ 10 μg Hb/g faeces → Urgent 2WW referral for suspected colorectal cancer</w:t>
              <w:br/>
              <w:br/>
              <w:t>FIT &lt; 10 μg Hb/g (or sample not returned) → Safety-net; manage in primary care; refer only if strong clinical concern or clinical findings suggest cancer.</w:t>
              <w:br/>
              <w:br/>
              <w:t>Risk of CRC with FIT &lt;10 + normal examination + normal FBC: &lt; 0.1%</w:t>
            </w:r>
          </w:p>
        </w:tc>
      </w:tr>
    </w:tbl>
    <w:p/>
    <w:p>
      <w:pPr>
        <w:pStyle w:val="Heading1"/>
        <w:jc w:val="left"/>
      </w:pPr>
      <w:r>
        <w:rPr>
          <w:rFonts w:ascii="Calibri" w:hAnsi="Calibri"/>
          <w:b/>
          <w:color w:val="1F3864"/>
        </w:rPr>
        <w:t>NICE NG12 (2023) — When to Offer FIT</w:t>
      </w:r>
    </w:p>
    <w:p>
      <w:r>
        <w:rPr>
          <w:rFonts w:ascii="Calibri" w:hAnsi="Calibri"/>
          <w:sz w:val="22"/>
        </w:rPr>
        <w:t>Offer quantitative FIT to adults (before 2WW referral) presenting with:</w:t>
      </w:r>
    </w:p>
    <w:tbl>
      <w:tblPr>
        <w:tblStyle w:val="TableGrid"/>
        <w:tblW w:type="auto" w:w="0"/>
        <w:tblLook w:firstColumn="1" w:firstRow="1" w:lastColumn="0" w:lastRow="0" w:noHBand="0" w:noVBand="1" w:val="04A0"/>
      </w:tblPr>
      <w:tblGrid>
        <w:gridCol w:w="4703"/>
        <w:gridCol w:w="4703"/>
      </w:tblGrid>
      <w:tr>
        <w:tc>
          <w:tcPr>
            <w:tcW w:type="dxa" w:w="4703"/>
            <w:shd w:val="clear" w:color="auto" w:fill="1F3864"/>
          </w:tcPr>
          <w:p>
            <w:r>
              <w:rPr>
                <w:rFonts w:ascii="Calibri" w:hAnsi="Calibri"/>
                <w:b/>
                <w:color w:val="FFFFFF"/>
                <w:sz w:val="22"/>
              </w:rPr>
              <w:t>Population</w:t>
            </w:r>
          </w:p>
        </w:tc>
        <w:tc>
          <w:tcPr>
            <w:tcW w:type="dxa" w:w="4703"/>
            <w:shd w:val="clear" w:color="auto" w:fill="1F3864"/>
          </w:tcPr>
          <w:p>
            <w:r>
              <w:rPr>
                <w:rFonts w:ascii="Calibri" w:hAnsi="Calibri"/>
                <w:b/>
                <w:color w:val="FFFFFF"/>
                <w:sz w:val="22"/>
              </w:rPr>
              <w:t>Indication for FIT</w:t>
            </w:r>
          </w:p>
        </w:tc>
      </w:tr>
      <w:tr>
        <w:tc>
          <w:tcPr>
            <w:tcW w:type="dxa" w:w="4703"/>
            <w:shd w:val="clear" w:color="auto" w:fill="EBF0FA"/>
          </w:tcPr>
          <w:p>
            <w:r>
              <w:rPr>
                <w:rFonts w:ascii="Calibri" w:hAnsi="Calibri"/>
                <w:sz w:val="21"/>
              </w:rPr>
              <w:t>Any age (adult)</w:t>
            </w:r>
          </w:p>
        </w:tc>
        <w:tc>
          <w:tcPr>
            <w:tcW w:type="dxa" w:w="4703"/>
            <w:shd w:val="clear" w:color="auto" w:fill="EBF0FA"/>
          </w:tcPr>
          <w:p>
            <w:r>
              <w:rPr>
                <w:rFonts w:ascii="Calibri" w:hAnsi="Calibri"/>
                <w:sz w:val="21"/>
              </w:rPr>
              <w:t>Abdominal mass</w:t>
            </w:r>
          </w:p>
        </w:tc>
      </w:tr>
      <w:tr>
        <w:tc>
          <w:tcPr>
            <w:tcW w:type="dxa" w:w="4703"/>
          </w:tcPr>
          <w:p>
            <w:r>
              <w:rPr>
                <w:rFonts w:ascii="Calibri" w:hAnsi="Calibri"/>
                <w:sz w:val="21"/>
              </w:rPr>
              <w:t>Any age (adult)</w:t>
            </w:r>
          </w:p>
        </w:tc>
        <w:tc>
          <w:tcPr>
            <w:tcW w:type="dxa" w:w="4703"/>
          </w:tcPr>
          <w:p>
            <w:r>
              <w:rPr>
                <w:rFonts w:ascii="Calibri" w:hAnsi="Calibri"/>
                <w:sz w:val="21"/>
              </w:rPr>
              <w:t>Change in bowel habit (unexplained, ≥3 weeks)</w:t>
            </w:r>
          </w:p>
        </w:tc>
      </w:tr>
      <w:tr>
        <w:tc>
          <w:tcPr>
            <w:tcW w:type="dxa" w:w="4703"/>
            <w:shd w:val="clear" w:color="auto" w:fill="EBF0FA"/>
          </w:tcPr>
          <w:p>
            <w:r>
              <w:rPr>
                <w:rFonts w:ascii="Calibri" w:hAnsi="Calibri"/>
                <w:sz w:val="21"/>
              </w:rPr>
              <w:t>Any age (adult)</w:t>
            </w:r>
          </w:p>
        </w:tc>
        <w:tc>
          <w:tcPr>
            <w:tcW w:type="dxa" w:w="4703"/>
            <w:shd w:val="clear" w:color="auto" w:fill="EBF0FA"/>
          </w:tcPr>
          <w:p>
            <w:r>
              <w:rPr>
                <w:rFonts w:ascii="Calibri" w:hAnsi="Calibri"/>
                <w:sz w:val="21"/>
              </w:rPr>
              <w:t>Iron-deficiency anaemia (unexplained)</w:t>
            </w:r>
          </w:p>
        </w:tc>
      </w:tr>
      <w:tr>
        <w:tc>
          <w:tcPr>
            <w:tcW w:type="dxa" w:w="4703"/>
          </w:tcPr>
          <w:p>
            <w:r>
              <w:rPr>
                <w:rFonts w:ascii="Calibri" w:hAnsi="Calibri"/>
                <w:sz w:val="21"/>
              </w:rPr>
              <w:t>≥40 years</w:t>
            </w:r>
          </w:p>
        </w:tc>
        <w:tc>
          <w:tcPr>
            <w:tcW w:type="dxa" w:w="4703"/>
          </w:tcPr>
          <w:p>
            <w:r>
              <w:rPr>
                <w:rFonts w:ascii="Calibri" w:hAnsi="Calibri"/>
                <w:sz w:val="21"/>
              </w:rPr>
              <w:t>Unexplained weight loss + abdominal pain</w:t>
            </w:r>
          </w:p>
        </w:tc>
      </w:tr>
      <w:tr>
        <w:tc>
          <w:tcPr>
            <w:tcW w:type="dxa" w:w="4703"/>
            <w:shd w:val="clear" w:color="auto" w:fill="EBF0FA"/>
          </w:tcPr>
          <w:p>
            <w:r>
              <w:rPr>
                <w:rFonts w:ascii="Calibri" w:hAnsi="Calibri"/>
                <w:sz w:val="21"/>
              </w:rPr>
              <w:t>&lt;50 years</w:t>
            </w:r>
          </w:p>
        </w:tc>
        <w:tc>
          <w:tcPr>
            <w:tcW w:type="dxa" w:w="4703"/>
            <w:shd w:val="clear" w:color="auto" w:fill="EBF0FA"/>
          </w:tcPr>
          <w:p>
            <w:r>
              <w:rPr>
                <w:rFonts w:ascii="Calibri" w:hAnsi="Calibri"/>
                <w:sz w:val="21"/>
              </w:rPr>
              <w:t>Rectal bleeding + abdominal pain OR weight loss</w:t>
            </w:r>
          </w:p>
        </w:tc>
      </w:tr>
      <w:tr>
        <w:tc>
          <w:tcPr>
            <w:tcW w:type="dxa" w:w="4703"/>
          </w:tcPr>
          <w:p>
            <w:r>
              <w:rPr>
                <w:rFonts w:ascii="Calibri" w:hAnsi="Calibri"/>
                <w:sz w:val="21"/>
              </w:rPr>
              <w:t>≥50 years</w:t>
            </w:r>
          </w:p>
        </w:tc>
        <w:tc>
          <w:tcPr>
            <w:tcW w:type="dxa" w:w="4703"/>
          </w:tcPr>
          <w:p>
            <w:r>
              <w:rPr>
                <w:rFonts w:ascii="Calibri" w:hAnsi="Calibri"/>
                <w:sz w:val="21"/>
              </w:rPr>
              <w:t>Rectal bleeding (any); OR unexplained abdominal pain; OR unexplained weight loss</w:t>
            </w:r>
          </w:p>
        </w:tc>
      </w:tr>
      <w:tr>
        <w:tc>
          <w:tcPr>
            <w:tcW w:type="dxa" w:w="4703"/>
            <w:shd w:val="clear" w:color="auto" w:fill="EBF0FA"/>
          </w:tcPr>
          <w:p>
            <w:r>
              <w:rPr>
                <w:rFonts w:ascii="Calibri" w:hAnsi="Calibri"/>
                <w:sz w:val="21"/>
              </w:rPr>
              <w:t>≥60 years</w:t>
            </w:r>
          </w:p>
        </w:tc>
        <w:tc>
          <w:tcPr>
            <w:tcW w:type="dxa" w:w="4703"/>
            <w:shd w:val="clear" w:color="auto" w:fill="EBF0FA"/>
          </w:tcPr>
          <w:p>
            <w:r>
              <w:rPr>
                <w:rFonts w:ascii="Calibri" w:hAnsi="Calibri"/>
                <w:sz w:val="21"/>
              </w:rPr>
              <w:t>Anaemia even in the absence of iron deficiency</w:t>
            </w:r>
          </w:p>
        </w:tc>
      </w:tr>
    </w:tbl>
    <w:p/>
    <w:tbl>
      <w:tblPr>
        <w:tblW w:type="auto" w:w="0"/>
        <w:jc w:val="left"/>
        <w:tblLook w:firstColumn="1" w:firstRow="1" w:lastColumn="0" w:lastRow="0" w:noHBand="0" w:noVBand="1" w:val="04A0"/>
      </w:tblPr>
      <w:tblGrid>
        <w:gridCol w:w="9406"/>
      </w:tblGrid>
      <w:tr>
        <w:tc>
          <w:tcPr>
            <w:tcW w:type="dxa" w:w="9406"/>
            <w:shd w:val="clear" w:color="auto" w:fill="C00000"/>
          </w:tcPr>
          <w:p>
            <w:pPr>
              <w:spacing w:before="120" w:after="80"/>
              <w:ind w:left="170"/>
            </w:pPr>
            <w:r>
              <w:rPr>
                <w:rFonts w:ascii="Calibri" w:hAnsi="Calibri"/>
                <w:b/>
                <w:color w:val="FFFFFF"/>
                <w:sz w:val="24"/>
              </w:rPr>
              <w:t>⚠ Exceptions — Do NOT delay referral for FIT in these cases</w:t>
              <w:br/>
            </w:r>
            <w:r>
              <w:rPr>
                <w:rFonts w:ascii="Calibri" w:hAnsi="Calibri"/>
                <w:color w:val="FFFFFF"/>
                <w:sz w:val="22"/>
              </w:rPr>
              <w:t>• Rectal mass → refer directly on suspected cancer pathway (no FIT needed)</w:t>
              <w:br/>
            </w:r>
            <w:r>
              <w:rPr>
                <w:rFonts w:ascii="Calibri" w:hAnsi="Calibri"/>
                <w:color w:val="FFFFFF"/>
                <w:sz w:val="22"/>
              </w:rPr>
              <w:t>• Unexplained anal mass → refer directly</w:t>
              <w:br/>
            </w:r>
            <w:r>
              <w:rPr>
                <w:rFonts w:ascii="Calibri" w:hAnsi="Calibri"/>
                <w:color w:val="FFFFFF"/>
                <w:sz w:val="22"/>
              </w:rPr>
              <w:t>• Unexplained anal ulceration → refer directly</w:t>
              <w:br/>
            </w:r>
            <w:r>
              <w:rPr>
                <w:rFonts w:ascii="Calibri" w:hAnsi="Calibri"/>
                <w:color w:val="FFFFFF"/>
                <w:sz w:val="22"/>
              </w:rPr>
              <w:t>• Strong clinical concern of cancer (even with FIT &lt;10) → do NOT let FIT result override clinical judgement</w:t>
              <w:br/>
            </w:r>
            <w:r>
              <w:rPr>
                <w:rFonts w:ascii="Calibri" w:hAnsi="Calibri"/>
                <w:color w:val="FFFFFF"/>
                <w:sz w:val="22"/>
              </w:rPr>
              <w:t>• Previous negative NHS screening FIT does NOT exclude CRC in symptomatic patients — offer FIT again</w:t>
              <w:br/>
            </w:r>
          </w:p>
        </w:tc>
      </w:tr>
    </w:tbl>
    <w:p/>
    <w:p>
      <w:pPr>
        <w:pStyle w:val="Heading1"/>
        <w:jc w:val="left"/>
      </w:pPr>
      <w:r>
        <w:rPr>
          <w:rFonts w:ascii="Calibri" w:hAnsi="Calibri"/>
          <w:b/>
          <w:color w:val="1F3864"/>
        </w:rPr>
        <w:t>Practical FIT Guide for GPs</w:t>
      </w:r>
    </w:p>
    <w:tbl>
      <w:tblPr>
        <w:tblStyle w:val="TableGrid"/>
        <w:tblW w:type="auto" w:w="0"/>
        <w:tblLook w:firstColumn="1" w:firstRow="1" w:lastColumn="0" w:lastRow="0" w:noHBand="0" w:noVBand="1" w:val="04A0"/>
      </w:tblPr>
      <w:tblGrid>
        <w:gridCol w:w="4703"/>
        <w:gridCol w:w="4703"/>
      </w:tblGrid>
      <w:tr>
        <w:tc>
          <w:tcPr>
            <w:tcW w:type="dxa" w:w="4703"/>
            <w:shd w:val="clear" w:color="auto" w:fill="1F3864"/>
          </w:tcPr>
          <w:p>
            <w:r>
              <w:rPr>
                <w:rFonts w:ascii="Calibri" w:hAnsi="Calibri"/>
                <w:b/>
                <w:color w:val="FFFFFF"/>
                <w:sz w:val="22"/>
              </w:rPr>
              <w:t>Step</w:t>
            </w:r>
          </w:p>
        </w:tc>
        <w:tc>
          <w:tcPr>
            <w:tcW w:type="dxa" w:w="4703"/>
            <w:shd w:val="clear" w:color="auto" w:fill="1F3864"/>
          </w:tcPr>
          <w:p>
            <w:r>
              <w:rPr>
                <w:rFonts w:ascii="Calibri" w:hAnsi="Calibri"/>
                <w:b/>
                <w:color w:val="FFFFFF"/>
                <w:sz w:val="22"/>
              </w:rPr>
              <w:t>Action</w:t>
            </w:r>
          </w:p>
        </w:tc>
      </w:tr>
      <w:tr>
        <w:tc>
          <w:tcPr>
            <w:tcW w:type="dxa" w:w="4703"/>
            <w:shd w:val="clear" w:color="auto" w:fill="EBF0FA"/>
          </w:tcPr>
          <w:p>
            <w:r>
              <w:rPr>
                <w:rFonts w:ascii="Calibri" w:hAnsi="Calibri"/>
                <w:sz w:val="21"/>
              </w:rPr>
              <w:t>1. Decision to test</w:t>
            </w:r>
          </w:p>
        </w:tc>
        <w:tc>
          <w:tcPr>
            <w:tcW w:type="dxa" w:w="4703"/>
            <w:shd w:val="clear" w:color="auto" w:fill="EBF0FA"/>
          </w:tcPr>
          <w:p>
            <w:r>
              <w:rPr>
                <w:rFonts w:ascii="Calibri" w:hAnsi="Calibri"/>
                <w:sz w:val="21"/>
              </w:rPr>
              <w:t>Identify symptoms meeting NICE NG12 criteria (see table above)</w:t>
            </w:r>
          </w:p>
        </w:tc>
      </w:tr>
      <w:tr>
        <w:tc>
          <w:tcPr>
            <w:tcW w:type="dxa" w:w="4703"/>
          </w:tcPr>
          <w:p>
            <w:r>
              <w:rPr>
                <w:rFonts w:ascii="Calibri" w:hAnsi="Calibri"/>
                <w:sz w:val="21"/>
              </w:rPr>
              <w:t>2. Issue FIT kit</w:t>
            </w:r>
          </w:p>
        </w:tc>
        <w:tc>
          <w:tcPr>
            <w:tcW w:type="dxa" w:w="4703"/>
          </w:tcPr>
          <w:p>
            <w:r>
              <w:rPr>
                <w:rFonts w:ascii="Calibri" w:hAnsi="Calibri"/>
                <w:sz w:val="21"/>
              </w:rPr>
              <w:t>Prescribe quantitative FIT — ensure it is the quantitative test (not qualitative FOB)</w:t>
            </w:r>
          </w:p>
        </w:tc>
      </w:tr>
      <w:tr>
        <w:tc>
          <w:tcPr>
            <w:tcW w:type="dxa" w:w="4703"/>
            <w:shd w:val="clear" w:color="auto" w:fill="EBF0FA"/>
          </w:tcPr>
          <w:p>
            <w:r>
              <w:rPr>
                <w:rFonts w:ascii="Calibri" w:hAnsi="Calibri"/>
                <w:sz w:val="21"/>
              </w:rPr>
              <w:t>3. Patient instructions</w:t>
            </w:r>
          </w:p>
        </w:tc>
        <w:tc>
          <w:tcPr>
            <w:tcW w:type="dxa" w:w="4703"/>
            <w:shd w:val="clear" w:color="auto" w:fill="EBF0FA"/>
          </w:tcPr>
          <w:p>
            <w:r>
              <w:rPr>
                <w:rFonts w:ascii="Calibri" w:hAnsi="Calibri"/>
                <w:sz w:val="21"/>
              </w:rPr>
              <w:t>Single stool sample; return within 21 days of collection; no dietary restrictions required</w:t>
            </w:r>
          </w:p>
        </w:tc>
      </w:tr>
      <w:tr>
        <w:tc>
          <w:tcPr>
            <w:tcW w:type="dxa" w:w="4703"/>
          </w:tcPr>
          <w:p>
            <w:r>
              <w:rPr>
                <w:rFonts w:ascii="Calibri" w:hAnsi="Calibri"/>
                <w:sz w:val="21"/>
              </w:rPr>
              <w:t>4. Result ≥10 μg Hb/g</w:t>
            </w:r>
          </w:p>
        </w:tc>
        <w:tc>
          <w:tcPr>
            <w:tcW w:type="dxa" w:w="4703"/>
          </w:tcPr>
          <w:p>
            <w:r>
              <w:rPr>
                <w:rFonts w:ascii="Calibri" w:hAnsi="Calibri"/>
                <w:sz w:val="21"/>
              </w:rPr>
              <w:t>Refer urgently on 2WW lower GI cancer pathway (suspected colorectal cancer)</w:t>
            </w:r>
          </w:p>
        </w:tc>
      </w:tr>
      <w:tr>
        <w:tc>
          <w:tcPr>
            <w:tcW w:type="dxa" w:w="4703"/>
            <w:shd w:val="clear" w:color="auto" w:fill="EBF0FA"/>
          </w:tcPr>
          <w:p>
            <w:r>
              <w:rPr>
                <w:rFonts w:ascii="Calibri" w:hAnsi="Calibri"/>
                <w:sz w:val="21"/>
              </w:rPr>
              <w:t>5. Result &lt;10 μg Hb/g</w:t>
            </w:r>
          </w:p>
        </w:tc>
        <w:tc>
          <w:tcPr>
            <w:tcW w:type="dxa" w:w="4703"/>
            <w:shd w:val="clear" w:color="auto" w:fill="EBF0FA"/>
          </w:tcPr>
          <w:p>
            <w:r>
              <w:rPr>
                <w:rFonts w:ascii="Calibri" w:hAnsi="Calibri"/>
                <w:sz w:val="21"/>
              </w:rPr>
              <w:t>Safety-net: advise to return if symptoms persist; re-check in 4–6 weeks if no improvement</w:t>
            </w:r>
          </w:p>
        </w:tc>
      </w:tr>
      <w:tr>
        <w:tc>
          <w:tcPr>
            <w:tcW w:type="dxa" w:w="4703"/>
          </w:tcPr>
          <w:p>
            <w:r>
              <w:rPr>
                <w:rFonts w:ascii="Calibri" w:hAnsi="Calibri"/>
                <w:sz w:val="21"/>
              </w:rPr>
              <w:t>6. Sample not returned</w:t>
            </w:r>
          </w:p>
        </w:tc>
        <w:tc>
          <w:tcPr>
            <w:tcW w:type="dxa" w:w="4703"/>
          </w:tcPr>
          <w:p>
            <w:r>
              <w:rPr>
                <w:rFonts w:ascii="Calibri" w:hAnsi="Calibri"/>
                <w:sz w:val="21"/>
              </w:rPr>
              <w:t>Safety-net processes must be in place; offer support to return sample; refer if strong clinical concern</w:t>
            </w:r>
          </w:p>
        </w:tc>
      </w:tr>
      <w:tr>
        <w:tc>
          <w:tcPr>
            <w:tcW w:type="dxa" w:w="4703"/>
            <w:shd w:val="clear" w:color="auto" w:fill="EBF0FA"/>
          </w:tcPr>
          <w:p>
            <w:r>
              <w:rPr>
                <w:rFonts w:ascii="Calibri" w:hAnsi="Calibri"/>
                <w:sz w:val="21"/>
              </w:rPr>
              <w:t>7. Clinical override</w:t>
            </w:r>
          </w:p>
        </w:tc>
        <w:tc>
          <w:tcPr>
            <w:tcW w:type="dxa" w:w="4703"/>
            <w:shd w:val="clear" w:color="auto" w:fill="EBF0FA"/>
          </w:tcPr>
          <w:p>
            <w:r>
              <w:rPr>
                <w:rFonts w:ascii="Calibri" w:hAnsi="Calibri"/>
                <w:sz w:val="21"/>
              </w:rPr>
              <w:t>Strong clinical concern (rectal mass, weight loss + anaemia) → refer regardless of FIT result</w:t>
            </w:r>
          </w:p>
        </w:tc>
      </w:tr>
    </w:tbl>
    <w:p/>
    <w:p>
      <w:pPr>
        <w:pStyle w:val="Heading1"/>
        <w:jc w:val="left"/>
      </w:pPr>
      <w:r>
        <w:rPr>
          <w:rFonts w:ascii="Calibri" w:hAnsi="Calibri"/>
          <w:b/>
          <w:color w:val="1F3864"/>
        </w:rPr>
        <w:t>BSG/ACPGBI 2022 Guidance — Key Principles</w:t>
      </w:r>
    </w:p>
    <w:p>
      <w:r>
        <w:rPr>
          <w:rFonts w:ascii="Calibri" w:hAnsi="Calibri"/>
          <w:sz w:val="22"/>
        </w:rPr>
        <w:t>The June 2022 joint BSG/ACPGBI guidance (and subsequent NICE NG12 2023 update) was designed to:</w:t>
        <w:br/>
        <w:t>1. Spare patients unnecessary colonoscopies (low-risk patients with FIT &lt;10)</w:t>
        <w:br/>
        <w:t>2. Release colonoscopy capacity in the 2WW lower GI pathway</w:t>
        <w:br/>
        <w:t>3. Ensure the most urgent symptomatic patients are seen more quickly</w:t>
        <w:br/>
        <w:br/>
        <w:t>Key recommendation: All adults with symptoms of suspected CRC should be offered FIT, including those with rectal bleeding — EXCEPT those with a rectal/anal mass or anal ulceration (who should be referred directly without FIT).</w:t>
        <w:br/>
        <w:br/>
        <w:t>Patients with persistent/recurrent anorectal bleeding but FIT &lt;10 μg/g: refer for flexible sigmoidoscopy but this does NOT need to be on the 2WW/FDS pathway.</w:t>
      </w:r>
    </w:p>
    <w:p/>
    <w:p>
      <w:pPr>
        <w:pStyle w:val="Heading1"/>
        <w:jc w:val="left"/>
      </w:pPr>
      <w:r>
        <w:rPr>
          <w:rFonts w:ascii="Calibri" w:hAnsi="Calibri"/>
          <w:b/>
          <w:color w:val="1F3864"/>
        </w:rPr>
        <w:t>2WW Referral Criteria — Summary (NICE NG12, 2023)</w:t>
      </w:r>
    </w:p>
    <w:p>
      <w:r>
        <w:rPr>
          <w:rFonts w:ascii="Calibri" w:hAnsi="Calibri"/>
          <w:sz w:val="22"/>
        </w:rPr>
        <w:t>For completeness — in addition to FIT-guided referral:</w:t>
      </w:r>
    </w:p>
    <w:tbl>
      <w:tblPr>
        <w:tblStyle w:val="TableGrid"/>
        <w:tblW w:type="auto" w:w="0"/>
        <w:tblLook w:firstColumn="1" w:firstRow="1" w:lastColumn="0" w:lastRow="0" w:noHBand="0" w:noVBand="1" w:val="04A0"/>
      </w:tblPr>
      <w:tblGrid>
        <w:gridCol w:w="4703"/>
        <w:gridCol w:w="4703"/>
      </w:tblGrid>
      <w:tr>
        <w:tc>
          <w:tcPr>
            <w:tcW w:type="dxa" w:w="4703"/>
            <w:shd w:val="clear" w:color="auto" w:fill="1F3864"/>
          </w:tcPr>
          <w:p>
            <w:r>
              <w:rPr>
                <w:rFonts w:ascii="Calibri" w:hAnsi="Calibri"/>
                <w:b/>
                <w:color w:val="FFFFFF"/>
                <w:sz w:val="22"/>
              </w:rPr>
              <w:t>Age Group</w:t>
            </w:r>
          </w:p>
        </w:tc>
        <w:tc>
          <w:tcPr>
            <w:tcW w:type="dxa" w:w="4703"/>
            <w:shd w:val="clear" w:color="auto" w:fill="1F3864"/>
          </w:tcPr>
          <w:p>
            <w:r>
              <w:rPr>
                <w:rFonts w:ascii="Calibri" w:hAnsi="Calibri"/>
                <w:b/>
                <w:color w:val="FFFFFF"/>
                <w:sz w:val="22"/>
              </w:rPr>
              <w:t>Refer on 2WW if:</w:t>
            </w:r>
          </w:p>
        </w:tc>
      </w:tr>
      <w:tr>
        <w:tc>
          <w:tcPr>
            <w:tcW w:type="dxa" w:w="4703"/>
            <w:shd w:val="clear" w:color="auto" w:fill="EBF0FA"/>
          </w:tcPr>
          <w:p>
            <w:r>
              <w:rPr>
                <w:rFonts w:ascii="Calibri" w:hAnsi="Calibri"/>
                <w:sz w:val="21"/>
              </w:rPr>
              <w:t>Any age</w:t>
            </w:r>
          </w:p>
        </w:tc>
        <w:tc>
          <w:tcPr>
            <w:tcW w:type="dxa" w:w="4703"/>
            <w:shd w:val="clear" w:color="auto" w:fill="EBF0FA"/>
          </w:tcPr>
          <w:p>
            <w:r>
              <w:rPr>
                <w:rFonts w:ascii="Calibri" w:hAnsi="Calibri"/>
                <w:sz w:val="21"/>
              </w:rPr>
              <w:t>Rectal mass (no FIT needed before referral)</w:t>
            </w:r>
          </w:p>
        </w:tc>
      </w:tr>
      <w:tr>
        <w:tc>
          <w:tcPr>
            <w:tcW w:type="dxa" w:w="4703"/>
          </w:tcPr>
          <w:p>
            <w:r>
              <w:rPr>
                <w:rFonts w:ascii="Calibri" w:hAnsi="Calibri"/>
                <w:sz w:val="21"/>
              </w:rPr>
              <w:t>Any age</w:t>
            </w:r>
          </w:p>
        </w:tc>
        <w:tc>
          <w:tcPr>
            <w:tcW w:type="dxa" w:w="4703"/>
          </w:tcPr>
          <w:p>
            <w:r>
              <w:rPr>
                <w:rFonts w:ascii="Calibri" w:hAnsi="Calibri"/>
                <w:sz w:val="21"/>
              </w:rPr>
              <w:t>Unexplained anal mass or anal ulceration</w:t>
            </w:r>
          </w:p>
        </w:tc>
      </w:tr>
      <w:tr>
        <w:tc>
          <w:tcPr>
            <w:tcW w:type="dxa" w:w="4703"/>
            <w:shd w:val="clear" w:color="auto" w:fill="EBF0FA"/>
          </w:tcPr>
          <w:p>
            <w:r>
              <w:rPr>
                <w:rFonts w:ascii="Calibri" w:hAnsi="Calibri"/>
                <w:sz w:val="21"/>
              </w:rPr>
              <w:t>Any age (adult)</w:t>
            </w:r>
          </w:p>
        </w:tc>
        <w:tc>
          <w:tcPr>
            <w:tcW w:type="dxa" w:w="4703"/>
            <w:shd w:val="clear" w:color="auto" w:fill="EBF0FA"/>
          </w:tcPr>
          <w:p>
            <w:r>
              <w:rPr>
                <w:rFonts w:ascii="Calibri" w:hAnsi="Calibri"/>
                <w:sz w:val="21"/>
              </w:rPr>
              <w:t>FIT result ≥10 μg Hb/g (following NICE NG12 2023 criteria above)</w:t>
            </w:r>
          </w:p>
        </w:tc>
      </w:tr>
      <w:tr>
        <w:tc>
          <w:tcPr>
            <w:tcW w:type="dxa" w:w="4703"/>
          </w:tcPr>
          <w:p>
            <w:r>
              <w:rPr>
                <w:rFonts w:ascii="Calibri" w:hAnsi="Calibri"/>
                <w:sz w:val="21"/>
              </w:rPr>
              <w:t>≥40 years</w:t>
            </w:r>
          </w:p>
        </w:tc>
        <w:tc>
          <w:tcPr>
            <w:tcW w:type="dxa" w:w="4703"/>
          </w:tcPr>
          <w:p>
            <w:r>
              <w:rPr>
                <w:rFonts w:ascii="Calibri" w:hAnsi="Calibri"/>
                <w:sz w:val="21"/>
              </w:rPr>
              <w:t>Unexplained weight loss + abdominal pain (with FIT ≥10, or strong clinical concern)</w:t>
            </w:r>
          </w:p>
        </w:tc>
      </w:tr>
      <w:tr>
        <w:tc>
          <w:tcPr>
            <w:tcW w:type="dxa" w:w="4703"/>
            <w:shd w:val="clear" w:color="auto" w:fill="EBF0FA"/>
          </w:tcPr>
          <w:p>
            <w:r>
              <w:rPr>
                <w:rFonts w:ascii="Calibri" w:hAnsi="Calibri"/>
                <w:sz w:val="21"/>
              </w:rPr>
              <w:t>≥50 years</w:t>
            </w:r>
          </w:p>
        </w:tc>
        <w:tc>
          <w:tcPr>
            <w:tcW w:type="dxa" w:w="4703"/>
            <w:shd w:val="clear" w:color="auto" w:fill="EBF0FA"/>
          </w:tcPr>
          <w:p>
            <w:r>
              <w:rPr>
                <w:rFonts w:ascii="Calibri" w:hAnsi="Calibri"/>
                <w:sz w:val="21"/>
              </w:rPr>
              <w:t>Rectal bleeding + FIT ≥10</w:t>
            </w:r>
          </w:p>
        </w:tc>
      </w:tr>
      <w:tr>
        <w:tc>
          <w:tcPr>
            <w:tcW w:type="dxa" w:w="4703"/>
          </w:tcPr>
          <w:p>
            <w:r>
              <w:rPr>
                <w:rFonts w:ascii="Calibri" w:hAnsi="Calibri"/>
                <w:sz w:val="21"/>
              </w:rPr>
              <w:t>≥60 years</w:t>
            </w:r>
          </w:p>
        </w:tc>
        <w:tc>
          <w:tcPr>
            <w:tcW w:type="dxa" w:w="4703"/>
          </w:tcPr>
          <w:p>
            <w:r>
              <w:rPr>
                <w:rFonts w:ascii="Calibri" w:hAnsi="Calibri"/>
                <w:sz w:val="21"/>
              </w:rPr>
              <w:t>Unexplained change in bowel habit + FIT ≥10; OR anaemia + FIT ≥10</w:t>
            </w:r>
          </w:p>
        </w:tc>
      </w:tr>
    </w:tbl>
    <w:p/>
    <w:tbl>
      <w:tblPr>
        <w:tblW w:type="auto" w:w="0"/>
        <w:jc w:val="left"/>
        <w:tblLook w:firstColumn="1" w:firstRow="1" w:lastColumn="0" w:lastRow="0" w:noHBand="0" w:noVBand="1" w:val="04A0"/>
      </w:tblPr>
      <w:tblGrid>
        <w:gridCol w:w="9406"/>
      </w:tblGrid>
      <w:tr>
        <w:tc>
          <w:tcPr>
            <w:tcW w:type="dxa" w:w="9406"/>
            <w:shd w:val="clear" w:color="auto" w:fill="1F3864"/>
          </w:tcPr>
          <w:p>
            <w:pPr>
              <w:spacing w:before="120" w:after="80"/>
              <w:ind w:left="170"/>
            </w:pPr>
            <w:r>
              <w:rPr>
                <w:rFonts w:ascii="Calibri" w:hAnsi="Calibri"/>
                <w:b/>
                <w:color w:val="FFFFFF"/>
                <w:sz w:val="24"/>
              </w:rPr>
              <w:t>📝 In the Exam (AKT / SCA)</w:t>
              <w:br/>
            </w:r>
            <w:r>
              <w:rPr>
                <w:rFonts w:ascii="Calibri" w:hAnsi="Calibri"/>
                <w:color w:val="FFFFFF"/>
                <w:sz w:val="22"/>
              </w:rPr>
              <w:t>• AKT: FIT threshold for 2WW colorectal referral = ≥10 μg Hb/g — know this number exactly</w:t>
              <w:br/>
            </w:r>
            <w:r>
              <w:rPr>
                <w:rFonts w:ascii="Calibri" w:hAnsi="Calibri"/>
                <w:color w:val="FFFFFF"/>
                <w:sz w:val="22"/>
              </w:rPr>
              <w:t>• AKT: Qualitative FOB is obsolete — quantitative FIT is the current standard</w:t>
              <w:br/>
            </w:r>
            <w:r>
              <w:rPr>
                <w:rFonts w:ascii="Calibri" w:hAnsi="Calibri"/>
                <w:color w:val="FFFFFF"/>
                <w:sz w:val="22"/>
              </w:rPr>
              <w:t>• AKT: FIT &lt;10 + normal exam + normal FBC = &lt;0.1% CRC risk — safe to manage in primary care with safety-netting</w:t>
              <w:br/>
            </w:r>
            <w:r>
              <w:rPr>
                <w:rFonts w:ascii="Calibri" w:hAnsi="Calibri"/>
                <w:color w:val="FFFFFF"/>
                <w:sz w:val="22"/>
              </w:rPr>
              <w:t>• SCA: Explain FIT to patient: "A simple home stool test — it measures a tiny amount of blood that we can't see with the naked eye"</w:t>
              <w:br/>
            </w:r>
            <w:r>
              <w:rPr>
                <w:rFonts w:ascii="Calibri" w:hAnsi="Calibri"/>
                <w:color w:val="FFFFFF"/>
                <w:sz w:val="22"/>
              </w:rPr>
              <w:t>• SCA: Reassure appropriately — FIT negative is reassuring, but symptoms that persist need re-assessment</w:t>
              <w:br/>
            </w:r>
            <w:r>
              <w:rPr>
                <w:rFonts w:ascii="Calibri" w:hAnsi="Calibri"/>
                <w:color w:val="FFFFFF"/>
                <w:sz w:val="22"/>
              </w:rPr>
              <w:t>• SCA: Always safety-net — advise to return if symptoms worsen, new symptoms develop, or they are concerned</w:t>
              <w:br/>
            </w:r>
          </w:p>
        </w:tc>
      </w:tr>
    </w:tbl>
    <w:p/>
    <w:tbl>
      <w:tblPr>
        <w:tblW w:type="auto" w:w="0"/>
        <w:jc w:val="left"/>
        <w:tblLook w:firstColumn="1" w:firstRow="1" w:lastColumn="0" w:lastRow="0" w:noHBand="0" w:noVBand="1" w:val="04A0"/>
      </w:tblPr>
      <w:tblGrid>
        <w:gridCol w:w="9406"/>
      </w:tblGrid>
      <w:tr>
        <w:tc>
          <w:tcPr>
            <w:tcW w:type="dxa" w:w="9406"/>
            <w:shd w:val="clear" w:color="auto" w:fill="1F6B3A"/>
          </w:tcPr>
          <w:p>
            <w:pPr>
              <w:spacing w:before="120" w:after="80"/>
              <w:ind w:left="170"/>
            </w:pPr>
            <w:r>
              <w:rPr>
                <w:rFonts w:ascii="Calibri" w:hAnsi="Calibri"/>
                <w:b/>
                <w:color w:val="FFFFFF"/>
                <w:sz w:val="24"/>
              </w:rPr>
              <w:t>✅ Key Clinical Takeaways</w:t>
              <w:br/>
            </w:r>
            <w:r>
              <w:rPr>
                <w:rFonts w:ascii="Calibri" w:hAnsi="Calibri"/>
                <w:color w:val="FFFFFF"/>
                <w:sz w:val="22"/>
              </w:rPr>
              <w:t>• FIT ≥10 μg Hb/g = refer urgently (2WW) for suspected colorectal cancer</w:t>
              <w:br/>
            </w:r>
            <w:r>
              <w:rPr>
                <w:rFonts w:ascii="Calibri" w:hAnsi="Calibri"/>
                <w:color w:val="FFFFFF"/>
                <w:sz w:val="22"/>
              </w:rPr>
              <w:t>• FIT is offered BEFORE 2WW referral in most symptomatic CRC scenarios (NICE NG12, 2023)</w:t>
              <w:br/>
            </w:r>
            <w:r>
              <w:rPr>
                <w:rFonts w:ascii="Calibri" w:hAnsi="Calibri"/>
                <w:color w:val="FFFFFF"/>
                <w:sz w:val="22"/>
              </w:rPr>
              <w:t>• Do NOT use qualitative FOB — use quantitative FIT</w:t>
              <w:br/>
            </w:r>
            <w:r>
              <w:rPr>
                <w:rFonts w:ascii="Calibri" w:hAnsi="Calibri"/>
                <w:color w:val="FFFFFF"/>
                <w:sz w:val="22"/>
              </w:rPr>
              <w:t>• Do NOT delay referral for FIT if there is a rectal/anal mass or ulceration</w:t>
              <w:br/>
            </w:r>
            <w:r>
              <w:rPr>
                <w:rFonts w:ascii="Calibri" w:hAnsi="Calibri"/>
                <w:color w:val="FFFFFF"/>
                <w:sz w:val="22"/>
              </w:rPr>
              <w:t>• FIT &lt;10 is reassuring but not absolute — clinical judgement always applies</w:t>
              <w:br/>
            </w:r>
            <w:r>
              <w:rPr>
                <w:rFonts w:ascii="Calibri" w:hAnsi="Calibri"/>
                <w:color w:val="FFFFFF"/>
                <w:sz w:val="22"/>
              </w:rPr>
              <w:t>• Document FIT result in the referral letter if a 2WW referral follows</w:t>
              <w:br/>
            </w:r>
            <w:r>
              <w:rPr>
                <w:rFonts w:ascii="Calibri" w:hAnsi="Calibri"/>
                <w:color w:val="FFFFFF"/>
                <w:sz w:val="22"/>
              </w:rPr>
              <w:t>• A previous negative NHS screening FIT does not prevent symptomatic FIT use</w:t>
              <w:br/>
            </w:r>
          </w:p>
        </w:tc>
      </w:tr>
    </w:tbl>
    <w:p/>
    <w:p/>
    <w:p>
      <w:pPr>
        <w:spacing w:before="200"/>
      </w:pPr>
      <w:r>
        <w:rPr>
          <w:rFonts w:ascii="Calibri" w:hAnsi="Calibri"/>
          <w:i/>
          <w:color w:val="646464"/>
          <w:sz w:val="18"/>
        </w:rPr>
        <w:t>A free resource provided by www.bradfordvts.co.uk, Dr Ramesh Mehay, original source 2023, revised May 2026 (updated to NICE NG12 2023 and BSG/ACPGBI 2022 standards)</w:t>
        <w:br/>
        <w:br/>
        <w:t>⚠ Always double check this advice and drug doses with the latest NICE/BNF guidance. This document is for educational purposes only.</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