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9317"/>
      </w:tblGrid>
      <w:tr w:rsidR="003357DD" w14:paraId="630D6C3C" w14:textId="77777777">
        <w:tc>
          <w:tcPr>
            <w:tcW w:w="9317" w:type="dxa"/>
            <w:shd w:val="clear" w:color="auto" w:fill="E0651F"/>
          </w:tcPr>
          <w:p w14:paraId="105E1694" w14:textId="77777777" w:rsidR="003357DD" w:rsidRDefault="003357DD"/>
          <w:p w14:paraId="0494D50E" w14:textId="77777777" w:rsidR="003357DD" w:rsidRDefault="00000000">
            <w:pPr>
              <w:jc w:val="center"/>
            </w:pPr>
            <w:r>
              <w:rPr>
                <w:rFonts w:ascii="Calibri" w:hAnsi="Calibri"/>
                <w:b/>
                <w:caps/>
                <w:color w:val="FFFFFF"/>
                <w:sz w:val="20"/>
              </w:rPr>
              <w:t>BRADFORD VTS TEACHING AIDS</w:t>
            </w:r>
          </w:p>
          <w:p w14:paraId="5CBE30C8" w14:textId="77777777" w:rsidR="003357DD" w:rsidRDefault="00000000">
            <w:pPr>
              <w:jc w:val="center"/>
            </w:pPr>
            <w:r>
              <w:rPr>
                <w:rFonts w:ascii="Calibri" w:hAnsi="Calibri"/>
                <w:b/>
                <w:color w:val="FFFFFF"/>
                <w:sz w:val="64"/>
              </w:rPr>
              <w:t>Case Scenarios in Genetics</w:t>
            </w:r>
          </w:p>
          <w:p w14:paraId="0762596D" w14:textId="77777777" w:rsidR="003357DD" w:rsidRDefault="00000000">
            <w:pPr>
              <w:jc w:val="center"/>
            </w:pPr>
            <w:r>
              <w:rPr>
                <w:rFonts w:ascii="Calibri" w:hAnsi="Calibri"/>
                <w:i/>
                <w:color w:val="FFFFFF"/>
                <w:sz w:val="24"/>
              </w:rPr>
              <w:t>GP Training Case Studies &amp; Facilitator Notes  ·  Bradford VTS  ·  May 2026</w:t>
            </w:r>
          </w:p>
        </w:tc>
      </w:tr>
    </w:tbl>
    <w:p w14:paraId="14FE1822" w14:textId="77777777" w:rsidR="003357DD" w:rsidRDefault="003357DD"/>
    <w:tbl>
      <w:tblPr>
        <w:tblW w:w="0" w:type="auto"/>
        <w:tblLook w:val="04A0" w:firstRow="1" w:lastRow="0" w:firstColumn="1" w:lastColumn="0" w:noHBand="0" w:noVBand="1"/>
      </w:tblPr>
      <w:tblGrid>
        <w:gridCol w:w="9360"/>
      </w:tblGrid>
      <w:tr w:rsidR="003357DD" w14:paraId="05A47589" w14:textId="77777777">
        <w:tc>
          <w:tcPr>
            <w:tcW w:w="9360" w:type="dxa"/>
            <w:shd w:val="clear" w:color="auto" w:fill="EBF5FB"/>
          </w:tcPr>
          <w:p w14:paraId="72F09E20" w14:textId="77777777" w:rsidR="003357DD" w:rsidRDefault="003357DD"/>
          <w:p w14:paraId="13EF204C" w14:textId="77777777" w:rsidR="003357DD" w:rsidRDefault="00000000">
            <w:pPr>
              <w:spacing w:before="80" w:after="40"/>
            </w:pPr>
            <w:r>
              <w:rPr>
                <w:rFonts w:ascii="Calibri" w:hAnsi="Calibri"/>
                <w:b/>
                <w:color w:val="007A87"/>
                <w:sz w:val="24"/>
              </w:rPr>
              <w:t>📌 How to Use This Resource</w:t>
            </w:r>
          </w:p>
          <w:p w14:paraId="57B6C206" w14:textId="77777777" w:rsidR="003357DD" w:rsidRDefault="00000000">
            <w:pPr>
              <w:spacing w:before="20" w:after="40"/>
            </w:pPr>
            <w:r>
              <w:rPr>
                <w:rFonts w:ascii="Calibri" w:hAnsi="Calibri"/>
                <w:sz w:val="21"/>
              </w:rPr>
              <w:t>This document provides six clinical case scenarios exploring key genetics topics in primary care.</w:t>
            </w:r>
          </w:p>
          <w:p w14:paraId="193E45C9" w14:textId="77777777" w:rsidR="003357DD" w:rsidRDefault="00000000">
            <w:pPr>
              <w:spacing w:before="20" w:after="40"/>
            </w:pPr>
            <w:r>
              <w:rPr>
                <w:rFonts w:ascii="Calibri" w:hAnsi="Calibri"/>
                <w:sz w:val="21"/>
              </w:rPr>
              <w:t>Each scenario is designed for small-group discussion. Suggested answers and teaching points are provided for facilitators.</w:t>
            </w:r>
          </w:p>
          <w:p w14:paraId="0507EF30" w14:textId="77777777" w:rsidR="003357DD" w:rsidRDefault="00000000">
            <w:pPr>
              <w:spacing w:before="20" w:after="40"/>
            </w:pPr>
            <w:r>
              <w:rPr>
                <w:rFonts w:ascii="Calibri" w:hAnsi="Calibri"/>
                <w:sz w:val="21"/>
              </w:rPr>
              <w:t>Scenarios are updated to reflect current NICE CG164 (July 2024), NICE NG241 (March 2024), and NHS haemoglobinopathy screening guidance (2024).</w:t>
            </w:r>
          </w:p>
          <w:p w14:paraId="1C6FBCA3" w14:textId="77777777" w:rsidR="003357DD" w:rsidRDefault="00000000">
            <w:pPr>
              <w:spacing w:before="20" w:after="40"/>
            </w:pPr>
            <w:r>
              <w:rPr>
                <w:rFonts w:ascii="Calibri" w:hAnsi="Calibri"/>
                <w:sz w:val="21"/>
              </w:rPr>
              <w:t>Reading level: Plain English, appropriate for GP trainees and IMGs. Avoid jargon; use explanations where clinical terms are used.</w:t>
            </w:r>
          </w:p>
        </w:tc>
      </w:tr>
    </w:tbl>
    <w:p w14:paraId="113DC4B7" w14:textId="77777777" w:rsidR="003357DD" w:rsidRDefault="003357DD"/>
    <w:p w14:paraId="09B05FF3" w14:textId="77777777" w:rsidR="003357DD" w:rsidRDefault="00000000">
      <w:pPr>
        <w:spacing w:before="200" w:after="80"/>
      </w:pPr>
      <w:r>
        <w:rPr>
          <w:rFonts w:ascii="Calibri" w:hAnsi="Calibri"/>
          <w:b/>
          <w:color w:val="E0651F"/>
          <w:sz w:val="34"/>
        </w:rPr>
        <w:t>CASE SCENARIO 1: Mrs Lee — Worried About Cancer in the Family</w:t>
      </w:r>
    </w:p>
    <w:p w14:paraId="4E5D9AFC" w14:textId="77777777" w:rsidR="003357DD" w:rsidRDefault="00000000">
      <w:pPr>
        <w:spacing w:before="40" w:after="60"/>
      </w:pPr>
      <w:r>
        <w:rPr>
          <w:rFonts w:ascii="Calibri" w:hAnsi="Calibri"/>
        </w:rPr>
        <w:t>Mrs Lee (52, British-Chinese) is worried because three of her family members have died from cancer. She is otherwise well, with no current symptoms.</w:t>
      </w:r>
    </w:p>
    <w:p w14:paraId="780F87BD" w14:textId="77777777" w:rsidR="003357DD" w:rsidRDefault="00000000">
      <w:pPr>
        <w:spacing w:before="200" w:after="80"/>
      </w:pPr>
      <w:r>
        <w:rPr>
          <w:rFonts w:ascii="Calibri" w:hAnsi="Calibri"/>
          <w:b/>
          <w:color w:val="007A87"/>
          <w:sz w:val="32"/>
        </w:rPr>
        <w:t>Discussion Questions</w:t>
      </w:r>
    </w:p>
    <w:p w14:paraId="06D767D5" w14:textId="77777777" w:rsidR="003357DD" w:rsidRDefault="00000000">
      <w:pPr>
        <w:pStyle w:val="ListBullet"/>
        <w:spacing w:before="40" w:after="60"/>
      </w:pPr>
      <w:r>
        <w:rPr>
          <w:rFonts w:ascii="Calibri" w:hAnsi="Calibri"/>
        </w:rPr>
        <w:t>What immediate questions do you ask?</w:t>
      </w:r>
    </w:p>
    <w:p w14:paraId="10B707C3" w14:textId="77777777" w:rsidR="003357DD" w:rsidRDefault="00000000">
      <w:pPr>
        <w:pStyle w:val="ListBullet"/>
        <w:spacing w:before="40" w:after="60"/>
      </w:pPr>
      <w:r>
        <w:rPr>
          <w:rFonts w:ascii="Calibri" w:hAnsi="Calibri"/>
        </w:rPr>
        <w:t>What issues does this raise from a family history and genetics perspective?</w:t>
      </w:r>
    </w:p>
    <w:p w14:paraId="58B16BDA" w14:textId="77777777" w:rsidR="003357DD" w:rsidRDefault="00000000">
      <w:pPr>
        <w:pStyle w:val="ListBullet"/>
        <w:spacing w:before="40" w:after="60"/>
      </w:pPr>
      <w:r>
        <w:rPr>
          <w:rFonts w:ascii="Calibri" w:hAnsi="Calibri"/>
        </w:rPr>
        <w:t>What would you do if she had no worrying symptoms?</w:t>
      </w:r>
    </w:p>
    <w:p w14:paraId="298363E3" w14:textId="77777777" w:rsidR="003357DD" w:rsidRDefault="00000000">
      <w:pPr>
        <w:spacing w:before="200" w:after="80"/>
      </w:pPr>
      <w:r>
        <w:rPr>
          <w:rFonts w:ascii="Calibri" w:hAnsi="Calibri"/>
          <w:b/>
          <w:color w:val="1A2E4A"/>
          <w:sz w:val="32"/>
        </w:rPr>
        <w:t>Scenario 1a — High-Risk Pattern</w:t>
      </w:r>
    </w:p>
    <w:p w14:paraId="309BBF34" w14:textId="77777777" w:rsidR="003357DD" w:rsidRDefault="00000000">
      <w:pPr>
        <w:spacing w:before="40" w:after="60"/>
      </w:pPr>
      <w:r>
        <w:rPr>
          <w:rFonts w:ascii="Calibri" w:hAnsi="Calibri"/>
        </w:rPr>
        <w:t>Her mother died of breast cancer aged 45. Her maternal aunt was diagnosed with ovarian cancer aged 72. Her maternal grandmother was also diagnosed with breast cancer (age unknown).</w:t>
      </w:r>
    </w:p>
    <w:tbl>
      <w:tblPr>
        <w:tblW w:w="0" w:type="auto"/>
        <w:tblLook w:val="04A0" w:firstRow="1" w:lastRow="0" w:firstColumn="1" w:lastColumn="0" w:noHBand="0" w:noVBand="1"/>
      </w:tblPr>
      <w:tblGrid>
        <w:gridCol w:w="9360"/>
      </w:tblGrid>
      <w:tr w:rsidR="003357DD" w14:paraId="715D5602" w14:textId="77777777">
        <w:tc>
          <w:tcPr>
            <w:tcW w:w="9360" w:type="dxa"/>
            <w:shd w:val="clear" w:color="auto" w:fill="E8F5E9"/>
          </w:tcPr>
          <w:p w14:paraId="6202E928" w14:textId="77777777" w:rsidR="003357DD" w:rsidRDefault="003357DD"/>
          <w:p w14:paraId="24B7975F" w14:textId="77777777" w:rsidR="003357DD" w:rsidRDefault="00000000">
            <w:pPr>
              <w:spacing w:before="80" w:after="40"/>
            </w:pPr>
            <w:r>
              <w:rPr>
                <w:rFonts w:ascii="Calibri" w:hAnsi="Calibri"/>
                <w:b/>
                <w:color w:val="278B45"/>
                <w:sz w:val="24"/>
              </w:rPr>
              <w:t>✅ Teaching Point — Referral Criteria Met (NICE CG164, July 2024)</w:t>
            </w:r>
          </w:p>
          <w:p w14:paraId="3236EA4F" w14:textId="77777777" w:rsidR="003357DD" w:rsidRDefault="00000000">
            <w:pPr>
              <w:spacing w:before="20" w:after="40"/>
            </w:pPr>
            <w:r>
              <w:rPr>
                <w:rFonts w:ascii="Calibri" w:hAnsi="Calibri"/>
                <w:sz w:val="21"/>
              </w:rPr>
              <w:t>✓ One 1st-degree relative (mother) with breast cancer aged 45 (&lt;40 years DOES meet criteria; age 45 does not on its own BUT combined with aunt's ovarian cancer AND grandmother's breast cancer, this is HIGH RISK.</w:t>
            </w:r>
          </w:p>
          <w:p w14:paraId="7FC7A785" w14:textId="77777777" w:rsidR="003357DD" w:rsidRDefault="00000000">
            <w:pPr>
              <w:spacing w:before="20" w:after="40"/>
            </w:pPr>
            <w:r>
              <w:rPr>
                <w:rFonts w:ascii="Calibri" w:hAnsi="Calibri"/>
                <w:sz w:val="21"/>
              </w:rPr>
              <w:t>✓ Combined breast + ovarian cancer on maternal side → refer directly to genetics service.</w:t>
            </w:r>
          </w:p>
          <w:p w14:paraId="29729CD1" w14:textId="77777777" w:rsidR="003357DD" w:rsidRDefault="00000000">
            <w:pPr>
              <w:spacing w:before="20" w:after="40"/>
            </w:pPr>
            <w:r>
              <w:rPr>
                <w:rFonts w:ascii="Calibri" w:hAnsi="Calibri"/>
                <w:sz w:val="21"/>
              </w:rPr>
              <w:t>✓ She is HIGH RISK. Refer to Regional Genetics Service.</w:t>
            </w:r>
          </w:p>
          <w:p w14:paraId="2CF6CF60" w14:textId="77777777" w:rsidR="003357DD" w:rsidRDefault="00000000">
            <w:pPr>
              <w:spacing w:before="20" w:after="40"/>
            </w:pPr>
            <w:r>
              <w:rPr>
                <w:rFonts w:ascii="Calibri" w:hAnsi="Calibri"/>
                <w:sz w:val="21"/>
              </w:rPr>
              <w:t>Action: Explain referral process; reassure it does not necessarily mean genetic testing.</w:t>
            </w:r>
          </w:p>
          <w:p w14:paraId="137E5A5D" w14:textId="77777777" w:rsidR="003357DD" w:rsidRDefault="00000000">
            <w:pPr>
              <w:spacing w:before="20" w:after="40"/>
            </w:pPr>
            <w:r>
              <w:rPr>
                <w:rFonts w:ascii="Calibri" w:hAnsi="Calibri"/>
                <w:sz w:val="21"/>
              </w:rPr>
              <w:t>Safety-netting: 'Come back if you notice any breast or ovarian symptoms.'</w:t>
            </w:r>
          </w:p>
        </w:tc>
      </w:tr>
    </w:tbl>
    <w:p w14:paraId="24B97BB8" w14:textId="77777777" w:rsidR="003357DD" w:rsidRDefault="003357DD"/>
    <w:p w14:paraId="7ACC1862" w14:textId="77777777" w:rsidR="003357DD" w:rsidRDefault="00000000">
      <w:pPr>
        <w:spacing w:before="200" w:after="80"/>
      </w:pPr>
      <w:r>
        <w:rPr>
          <w:rFonts w:ascii="Calibri" w:hAnsi="Calibri"/>
          <w:b/>
          <w:color w:val="1A2E4A"/>
          <w:sz w:val="32"/>
        </w:rPr>
        <w:lastRenderedPageBreak/>
        <w:t>Scenario 1b — Population Risk Pattern</w:t>
      </w:r>
    </w:p>
    <w:p w14:paraId="02D05FF1" w14:textId="77777777" w:rsidR="003357DD" w:rsidRDefault="00000000">
      <w:pPr>
        <w:spacing w:before="40" w:after="60"/>
      </w:pPr>
      <w:r>
        <w:rPr>
          <w:rFonts w:ascii="Calibri" w:hAnsi="Calibri"/>
        </w:rPr>
        <w:t>Her sister was diagnosed with cervical cancer in her late 30s. Her paternal grandfather (heavy smoker) died of lung cancer. Her paternal aunt (60s) had breast cancer approximately 10 years ago.</w:t>
      </w:r>
    </w:p>
    <w:tbl>
      <w:tblPr>
        <w:tblW w:w="0" w:type="auto"/>
        <w:tblLook w:val="04A0" w:firstRow="1" w:lastRow="0" w:firstColumn="1" w:lastColumn="0" w:noHBand="0" w:noVBand="1"/>
      </w:tblPr>
      <w:tblGrid>
        <w:gridCol w:w="9360"/>
      </w:tblGrid>
      <w:tr w:rsidR="003357DD" w14:paraId="01494247" w14:textId="77777777">
        <w:tc>
          <w:tcPr>
            <w:tcW w:w="9360" w:type="dxa"/>
            <w:shd w:val="clear" w:color="auto" w:fill="FFF8E1"/>
          </w:tcPr>
          <w:p w14:paraId="0EFD493D" w14:textId="77777777" w:rsidR="003357DD" w:rsidRDefault="003357DD"/>
          <w:p w14:paraId="25EF74D8" w14:textId="77777777" w:rsidR="003357DD" w:rsidRDefault="00000000">
            <w:pPr>
              <w:spacing w:before="80" w:after="40"/>
            </w:pPr>
            <w:r>
              <w:rPr>
                <w:rFonts w:ascii="Calibri" w:hAnsi="Calibri"/>
                <w:b/>
                <w:color w:val="F5A623"/>
                <w:sz w:val="24"/>
              </w:rPr>
              <w:t>📘 Teaching Point — Reassurance Is the Correct Response</w:t>
            </w:r>
          </w:p>
          <w:p w14:paraId="6E62381D" w14:textId="77777777" w:rsidR="003357DD" w:rsidRDefault="00000000">
            <w:pPr>
              <w:spacing w:before="20" w:after="40"/>
            </w:pPr>
            <w:r>
              <w:rPr>
                <w:rFonts w:ascii="Calibri" w:hAnsi="Calibri"/>
                <w:sz w:val="21"/>
              </w:rPr>
              <w:t>Cervical cancer: caused by HPV — NOT a hereditary cancer syndrome.</w:t>
            </w:r>
          </w:p>
          <w:p w14:paraId="490FB2D6" w14:textId="77777777" w:rsidR="003357DD" w:rsidRDefault="00000000">
            <w:pPr>
              <w:spacing w:before="20" w:after="40"/>
            </w:pPr>
            <w:r>
              <w:rPr>
                <w:rFonts w:ascii="Calibri" w:hAnsi="Calibri"/>
                <w:sz w:val="21"/>
              </w:rPr>
              <w:t>Lung cancer in a heavy smoker: environmental aetiology, NOT hereditary.</w:t>
            </w:r>
          </w:p>
          <w:p w14:paraId="7A4C90C8" w14:textId="77777777" w:rsidR="003357DD" w:rsidRDefault="00000000">
            <w:pPr>
              <w:spacing w:before="20" w:after="40"/>
            </w:pPr>
            <w:r>
              <w:rPr>
                <w:rFonts w:ascii="Calibri" w:hAnsi="Calibri"/>
                <w:sz w:val="21"/>
              </w:rPr>
              <w:t>One breast cancer on the paternal side aged ~50s: does NOT meet referral criteria (would need two or more paternal-side relatives, or 1st degree relative with breast cancer &lt;40).</w:t>
            </w:r>
          </w:p>
          <w:p w14:paraId="665B4F13" w14:textId="77777777" w:rsidR="003357DD" w:rsidRDefault="00000000">
            <w:pPr>
              <w:spacing w:before="20" w:after="40"/>
            </w:pPr>
            <w:r>
              <w:rPr>
                <w:rFonts w:ascii="Calibri" w:hAnsi="Calibri"/>
                <w:sz w:val="21"/>
              </w:rPr>
              <w:t>Correct response: Reassure — 'Cancer is common. These cancers are not caused by an inherited gene change — they have different explanations.'</w:t>
            </w:r>
          </w:p>
          <w:p w14:paraId="57F58702" w14:textId="77777777" w:rsidR="003357DD" w:rsidRDefault="00000000">
            <w:pPr>
              <w:spacing w:before="20" w:after="40"/>
            </w:pPr>
            <w:r>
              <w:rPr>
                <w:rFonts w:ascii="Calibri" w:hAnsi="Calibri"/>
                <w:sz w:val="21"/>
              </w:rPr>
              <w:t>Provide: breast awareness information, lifestyle advice (weight, alcohol, smoking cessation), return if symptoms develop.</w:t>
            </w:r>
          </w:p>
        </w:tc>
      </w:tr>
    </w:tbl>
    <w:p w14:paraId="72805C81" w14:textId="77777777" w:rsidR="003357DD" w:rsidRDefault="003357DD"/>
    <w:tbl>
      <w:tblPr>
        <w:tblW w:w="0" w:type="auto"/>
        <w:tblLook w:val="04A0" w:firstRow="1" w:lastRow="0" w:firstColumn="1" w:lastColumn="0" w:noHBand="0" w:noVBand="1"/>
      </w:tblPr>
      <w:tblGrid>
        <w:gridCol w:w="9360"/>
      </w:tblGrid>
      <w:tr w:rsidR="003357DD" w14:paraId="37834F8B" w14:textId="77777777">
        <w:tc>
          <w:tcPr>
            <w:tcW w:w="9360" w:type="dxa"/>
            <w:shd w:val="clear" w:color="auto" w:fill="FDEDEC"/>
          </w:tcPr>
          <w:p w14:paraId="4169C257" w14:textId="77777777" w:rsidR="003357DD" w:rsidRDefault="003357DD"/>
          <w:p w14:paraId="11516431" w14:textId="77777777" w:rsidR="003357DD" w:rsidRDefault="00000000">
            <w:pPr>
              <w:spacing w:before="80" w:after="40"/>
            </w:pPr>
            <w:r>
              <w:rPr>
                <w:rFonts w:ascii="Calibri" w:hAnsi="Calibri"/>
                <w:b/>
                <w:color w:val="C0392B"/>
                <w:sz w:val="24"/>
              </w:rPr>
              <w:t>⚠️ Common Pitfall</w:t>
            </w:r>
          </w:p>
          <w:p w14:paraId="7A7D6471" w14:textId="77777777" w:rsidR="003357DD" w:rsidRDefault="00000000">
            <w:pPr>
              <w:spacing w:before="20" w:after="40"/>
            </w:pPr>
            <w:r>
              <w:rPr>
                <w:rFonts w:ascii="Calibri" w:hAnsi="Calibri"/>
                <w:sz w:val="21"/>
              </w:rPr>
              <w:t>Do NOT count cancers from different aetiologies (HPV-related, smoking-related) as a hereditary cancer cluster. Patients often present very worried because there are 'lots of cancers' in the family — the GP's job is to assess each one carefully.</w:t>
            </w:r>
          </w:p>
        </w:tc>
      </w:tr>
    </w:tbl>
    <w:p w14:paraId="438F5127" w14:textId="77777777" w:rsidR="003357DD" w:rsidRDefault="003357DD"/>
    <w:p w14:paraId="6C290DD9" w14:textId="77777777" w:rsidR="003357DD" w:rsidRDefault="00000000">
      <w:r>
        <w:br w:type="page"/>
      </w:r>
    </w:p>
    <w:p w14:paraId="7E051F03" w14:textId="77777777" w:rsidR="003357DD" w:rsidRDefault="00000000">
      <w:pPr>
        <w:spacing w:before="200" w:after="80"/>
      </w:pPr>
      <w:r>
        <w:rPr>
          <w:rFonts w:ascii="Calibri" w:hAnsi="Calibri"/>
          <w:b/>
          <w:color w:val="E0651F"/>
          <w:sz w:val="34"/>
        </w:rPr>
        <w:lastRenderedPageBreak/>
        <w:t>CASE SCENARIO 2: Pre-Conception Genetics — Haemoglobinopathies</w:t>
      </w:r>
    </w:p>
    <w:p w14:paraId="2583A68F" w14:textId="77777777" w:rsidR="003357DD" w:rsidRDefault="00000000">
      <w:pPr>
        <w:spacing w:before="40" w:after="60"/>
      </w:pPr>
      <w:r>
        <w:rPr>
          <w:rFonts w:ascii="Calibri" w:hAnsi="Calibri"/>
        </w:rPr>
        <w:t>A 24-year-old Pakistani lady presents as a new patient requesting medication for a cough. She has recently arrived in the UK, newly married, and tells you she is actively trying for a pregnancy.</w:t>
      </w:r>
    </w:p>
    <w:p w14:paraId="46998827" w14:textId="77777777" w:rsidR="003357DD" w:rsidRDefault="00000000">
      <w:pPr>
        <w:spacing w:before="200" w:after="80"/>
      </w:pPr>
      <w:r>
        <w:rPr>
          <w:rFonts w:ascii="Calibri" w:hAnsi="Calibri"/>
          <w:b/>
          <w:color w:val="007A87"/>
          <w:sz w:val="32"/>
        </w:rPr>
        <w:t>Discussion Questions</w:t>
      </w:r>
    </w:p>
    <w:p w14:paraId="0B090F98" w14:textId="77777777" w:rsidR="003357DD" w:rsidRDefault="00000000">
      <w:pPr>
        <w:pStyle w:val="ListBullet"/>
        <w:spacing w:before="40" w:after="60"/>
      </w:pPr>
      <w:r>
        <w:rPr>
          <w:rFonts w:ascii="Calibri" w:hAnsi="Calibri"/>
        </w:rPr>
        <w:t>What are the genetic aspects to this consultation?</w:t>
      </w:r>
    </w:p>
    <w:p w14:paraId="75A8025F" w14:textId="77777777" w:rsidR="003357DD" w:rsidRDefault="00000000">
      <w:pPr>
        <w:pStyle w:val="ListBullet"/>
        <w:spacing w:before="40" w:after="60"/>
      </w:pPr>
      <w:r>
        <w:rPr>
          <w:rFonts w:ascii="Calibri" w:hAnsi="Calibri"/>
        </w:rPr>
        <w:t>What screening should you discuss and when?</w:t>
      </w:r>
    </w:p>
    <w:p w14:paraId="496FF3A4" w14:textId="77777777" w:rsidR="003357DD" w:rsidRDefault="00000000">
      <w:pPr>
        <w:pStyle w:val="ListBullet"/>
        <w:spacing w:before="40" w:after="60"/>
      </w:pPr>
      <w:r>
        <w:rPr>
          <w:rFonts w:ascii="Calibri" w:hAnsi="Calibri"/>
        </w:rPr>
        <w:t>If she is found to be a β-thalassaemia carrier, what happens next?</w:t>
      </w:r>
    </w:p>
    <w:tbl>
      <w:tblPr>
        <w:tblW w:w="0" w:type="auto"/>
        <w:tblLook w:val="04A0" w:firstRow="1" w:lastRow="0" w:firstColumn="1" w:lastColumn="0" w:noHBand="0" w:noVBand="1"/>
      </w:tblPr>
      <w:tblGrid>
        <w:gridCol w:w="9360"/>
      </w:tblGrid>
      <w:tr w:rsidR="003357DD" w14:paraId="3DBAED77" w14:textId="77777777">
        <w:tc>
          <w:tcPr>
            <w:tcW w:w="9360" w:type="dxa"/>
            <w:shd w:val="clear" w:color="auto" w:fill="E3F2FD"/>
          </w:tcPr>
          <w:p w14:paraId="66E2C19A" w14:textId="77777777" w:rsidR="003357DD" w:rsidRDefault="003357DD"/>
          <w:p w14:paraId="242A27C9" w14:textId="77777777" w:rsidR="003357DD" w:rsidRDefault="00000000">
            <w:pPr>
              <w:spacing w:before="80" w:after="40"/>
            </w:pPr>
            <w:r>
              <w:rPr>
                <w:rFonts w:ascii="Calibri" w:hAnsi="Calibri"/>
                <w:b/>
                <w:color w:val="007A87"/>
                <w:sz w:val="24"/>
              </w:rPr>
              <w:t>📘 Clinical Background — Haemoglobinopathies (Updated 2024)</w:t>
            </w:r>
          </w:p>
          <w:p w14:paraId="004500A5" w14:textId="77777777" w:rsidR="003357DD" w:rsidRDefault="00000000">
            <w:pPr>
              <w:spacing w:before="20" w:after="40"/>
            </w:pPr>
            <w:r>
              <w:rPr>
                <w:rFonts w:ascii="Calibri" w:hAnsi="Calibri"/>
                <w:sz w:val="21"/>
              </w:rPr>
              <w:t>Haemoglobinopathies are autosomal recessive disorders. Carriers are healthy.</w:t>
            </w:r>
          </w:p>
          <w:p w14:paraId="72367D60" w14:textId="77777777" w:rsidR="003357DD" w:rsidRDefault="00000000">
            <w:pPr>
              <w:spacing w:before="20" w:after="40"/>
            </w:pPr>
            <w:r>
              <w:rPr>
                <w:rFonts w:ascii="Calibri" w:hAnsi="Calibri"/>
                <w:sz w:val="21"/>
              </w:rPr>
              <w:t>Carrier rates:</w:t>
            </w:r>
          </w:p>
          <w:p w14:paraId="2F74B800" w14:textId="77777777" w:rsidR="003357DD" w:rsidRDefault="00000000">
            <w:pPr>
              <w:spacing w:before="20" w:after="40"/>
            </w:pPr>
            <w:r>
              <w:rPr>
                <w:rFonts w:ascii="Calibri" w:hAnsi="Calibri"/>
                <w:sz w:val="21"/>
              </w:rPr>
              <w:t xml:space="preserve">   • 1 in 4 to 1 in 8 Africans / African-Caribbeans</w:t>
            </w:r>
          </w:p>
          <w:p w14:paraId="2BC39E0F" w14:textId="77777777" w:rsidR="003357DD" w:rsidRDefault="00000000">
            <w:pPr>
              <w:spacing w:before="20" w:after="40"/>
            </w:pPr>
            <w:r>
              <w:rPr>
                <w:rFonts w:ascii="Calibri" w:hAnsi="Calibri"/>
                <w:sz w:val="21"/>
              </w:rPr>
              <w:t xml:space="preserve">   • 1 in 6 to 1 in 30 from Mediterranean, Middle East, India, Pakistan, Bangladesh, Far East</w:t>
            </w:r>
          </w:p>
          <w:p w14:paraId="0A9378EC" w14:textId="77777777" w:rsidR="003357DD" w:rsidRDefault="00000000">
            <w:pPr>
              <w:spacing w:before="20" w:after="40"/>
            </w:pPr>
            <w:r>
              <w:rPr>
                <w:rFonts w:ascii="Calibri" w:hAnsi="Calibri"/>
                <w:sz w:val="21"/>
              </w:rPr>
              <w:t xml:space="preserve">   • 1 in 14 from Pakistan specifically</w:t>
            </w:r>
          </w:p>
          <w:p w14:paraId="5692B68C" w14:textId="77777777" w:rsidR="003357DD" w:rsidRDefault="00000000">
            <w:pPr>
              <w:spacing w:before="20" w:after="40"/>
            </w:pPr>
            <w:r>
              <w:rPr>
                <w:rFonts w:ascii="Calibri" w:hAnsi="Calibri"/>
                <w:sz w:val="21"/>
              </w:rPr>
              <w:t>NHS current guidance (2024): Offer haemoglobinopathy screening to ALL women as early in pregnancy as possible — ideally BEFORE 10 WEEKS (not 'by 10 weeks' as in older guidance).</w:t>
            </w:r>
          </w:p>
          <w:p w14:paraId="5571F745" w14:textId="77777777" w:rsidR="003357DD" w:rsidRDefault="00000000">
            <w:pPr>
              <w:spacing w:before="20" w:after="40"/>
            </w:pPr>
            <w:r>
              <w:rPr>
                <w:rFonts w:ascii="Calibri" w:hAnsi="Calibri"/>
                <w:sz w:val="21"/>
              </w:rPr>
              <w:t>Earlier = more diagnostic options (CVS at 10–12 weeks is far preferable to amniocentesis at 14–17 weeks).</w:t>
            </w:r>
          </w:p>
          <w:p w14:paraId="1027E6D0" w14:textId="77777777" w:rsidR="003357DD" w:rsidRDefault="00000000">
            <w:pPr>
              <w:spacing w:before="20" w:after="40"/>
            </w:pPr>
            <w:r>
              <w:rPr>
                <w:rFonts w:ascii="Calibri" w:hAnsi="Calibri"/>
                <w:sz w:val="21"/>
              </w:rPr>
              <w:t>Pre-conceptual testing is ideal — this consultation is the perfect opportunity.</w:t>
            </w:r>
          </w:p>
          <w:p w14:paraId="65CE7DBF" w14:textId="77777777" w:rsidR="003357DD" w:rsidRDefault="00000000">
            <w:pPr>
              <w:spacing w:before="20" w:after="40"/>
            </w:pPr>
            <w:r>
              <w:rPr>
                <w:rFonts w:ascii="Calibri" w:hAnsi="Calibri"/>
                <w:sz w:val="21"/>
              </w:rPr>
              <w:t>Test: Haemoglobin electrophoresis (full blood count alone is insufficient).</w:t>
            </w:r>
          </w:p>
        </w:tc>
      </w:tr>
    </w:tbl>
    <w:p w14:paraId="4734C958" w14:textId="77777777" w:rsidR="003357DD" w:rsidRDefault="003357DD"/>
    <w:p w14:paraId="4F1D0A03" w14:textId="77777777" w:rsidR="003357DD" w:rsidRDefault="00000000">
      <w:pPr>
        <w:spacing w:before="200" w:after="80"/>
      </w:pPr>
      <w:r>
        <w:rPr>
          <w:rFonts w:ascii="Calibri" w:hAnsi="Calibri"/>
          <w:b/>
          <w:color w:val="1A2E4A"/>
          <w:sz w:val="32"/>
        </w:rPr>
        <w:t>Carrier Risk Calculations (Teaching Aid)</w:t>
      </w:r>
    </w:p>
    <w:tbl>
      <w:tblPr>
        <w:tblStyle w:val="TableGrid"/>
        <w:tblW w:w="0" w:type="auto"/>
        <w:tblLook w:val="04A0" w:firstRow="1" w:lastRow="0" w:firstColumn="1" w:lastColumn="0" w:noHBand="0" w:noVBand="1"/>
      </w:tblPr>
      <w:tblGrid>
        <w:gridCol w:w="3106"/>
        <w:gridCol w:w="3106"/>
        <w:gridCol w:w="3106"/>
      </w:tblGrid>
      <w:tr w:rsidR="003357DD" w14:paraId="692CD713" w14:textId="77777777">
        <w:tc>
          <w:tcPr>
            <w:tcW w:w="3106" w:type="dxa"/>
            <w:shd w:val="clear" w:color="auto" w:fill="E0651F"/>
          </w:tcPr>
          <w:p w14:paraId="2815F526" w14:textId="77777777" w:rsidR="003357DD" w:rsidRDefault="00000000">
            <w:r>
              <w:rPr>
                <w:rFonts w:ascii="Calibri" w:hAnsi="Calibri"/>
                <w:b/>
                <w:color w:val="FFFFFF"/>
                <w:sz w:val="21"/>
              </w:rPr>
              <w:t>Situation</w:t>
            </w:r>
          </w:p>
        </w:tc>
        <w:tc>
          <w:tcPr>
            <w:tcW w:w="3106" w:type="dxa"/>
            <w:shd w:val="clear" w:color="auto" w:fill="E0651F"/>
          </w:tcPr>
          <w:p w14:paraId="6D6A8765" w14:textId="77777777" w:rsidR="003357DD" w:rsidRDefault="00000000">
            <w:r>
              <w:rPr>
                <w:rFonts w:ascii="Calibri" w:hAnsi="Calibri"/>
                <w:b/>
                <w:color w:val="FFFFFF"/>
                <w:sz w:val="21"/>
              </w:rPr>
              <w:t>Condition</w:t>
            </w:r>
          </w:p>
        </w:tc>
        <w:tc>
          <w:tcPr>
            <w:tcW w:w="3106" w:type="dxa"/>
            <w:shd w:val="clear" w:color="auto" w:fill="E0651F"/>
          </w:tcPr>
          <w:p w14:paraId="2AD930AB" w14:textId="77777777" w:rsidR="003357DD" w:rsidRDefault="00000000">
            <w:r>
              <w:rPr>
                <w:rFonts w:ascii="Calibri" w:hAnsi="Calibri"/>
                <w:b/>
                <w:color w:val="FFFFFF"/>
                <w:sz w:val="21"/>
              </w:rPr>
              <w:t>Probability</w:t>
            </w:r>
          </w:p>
        </w:tc>
      </w:tr>
      <w:tr w:rsidR="003357DD" w14:paraId="5390296B" w14:textId="77777777">
        <w:tc>
          <w:tcPr>
            <w:tcW w:w="3106" w:type="dxa"/>
          </w:tcPr>
          <w:p w14:paraId="7843F4A0" w14:textId="77777777" w:rsidR="003357DD" w:rsidRDefault="00000000">
            <w:r>
              <w:rPr>
                <w:rFonts w:ascii="Calibri" w:hAnsi="Calibri"/>
                <w:sz w:val="21"/>
              </w:rPr>
              <w:t>Partner IS NOT a carrier</w:t>
            </w:r>
          </w:p>
        </w:tc>
        <w:tc>
          <w:tcPr>
            <w:tcW w:w="3106" w:type="dxa"/>
          </w:tcPr>
          <w:p w14:paraId="620CA093" w14:textId="77777777" w:rsidR="003357DD" w:rsidRDefault="00000000">
            <w:r>
              <w:rPr>
                <w:rFonts w:ascii="Calibri" w:hAnsi="Calibri"/>
                <w:sz w:val="21"/>
              </w:rPr>
              <w:t>Thalassaemia major</w:t>
            </w:r>
          </w:p>
        </w:tc>
        <w:tc>
          <w:tcPr>
            <w:tcW w:w="3106" w:type="dxa"/>
          </w:tcPr>
          <w:p w14:paraId="19790A63" w14:textId="77777777" w:rsidR="003357DD" w:rsidRDefault="00000000">
            <w:r>
              <w:rPr>
                <w:rFonts w:ascii="Calibri" w:hAnsi="Calibri"/>
                <w:sz w:val="21"/>
              </w:rPr>
              <w:t>0 chance</w:t>
            </w:r>
          </w:p>
        </w:tc>
      </w:tr>
      <w:tr w:rsidR="003357DD" w14:paraId="662B85FD" w14:textId="77777777">
        <w:tc>
          <w:tcPr>
            <w:tcW w:w="3106" w:type="dxa"/>
            <w:shd w:val="clear" w:color="auto" w:fill="F5F5F5"/>
          </w:tcPr>
          <w:p w14:paraId="5C91C337" w14:textId="77777777" w:rsidR="003357DD" w:rsidRDefault="00000000">
            <w:r>
              <w:rPr>
                <w:rFonts w:ascii="Calibri" w:hAnsi="Calibri"/>
                <w:sz w:val="21"/>
              </w:rPr>
              <w:t>Partner IS NOT a carrier</w:t>
            </w:r>
          </w:p>
        </w:tc>
        <w:tc>
          <w:tcPr>
            <w:tcW w:w="3106" w:type="dxa"/>
            <w:shd w:val="clear" w:color="auto" w:fill="F5F5F5"/>
          </w:tcPr>
          <w:p w14:paraId="5EFAEA8C" w14:textId="77777777" w:rsidR="003357DD" w:rsidRDefault="00000000">
            <w:r>
              <w:rPr>
                <w:rFonts w:ascii="Calibri" w:hAnsi="Calibri"/>
                <w:sz w:val="21"/>
              </w:rPr>
              <w:t>Thalassaemia trait</w:t>
            </w:r>
          </w:p>
        </w:tc>
        <w:tc>
          <w:tcPr>
            <w:tcW w:w="3106" w:type="dxa"/>
            <w:shd w:val="clear" w:color="auto" w:fill="F5F5F5"/>
          </w:tcPr>
          <w:p w14:paraId="5B04E755" w14:textId="77777777" w:rsidR="003357DD" w:rsidRDefault="00000000">
            <w:r>
              <w:rPr>
                <w:rFonts w:ascii="Calibri" w:hAnsi="Calibri"/>
                <w:sz w:val="21"/>
              </w:rPr>
              <w:t>1 in 2 chance</w:t>
            </w:r>
          </w:p>
        </w:tc>
      </w:tr>
      <w:tr w:rsidR="003357DD" w14:paraId="57DA31F3" w14:textId="77777777">
        <w:tc>
          <w:tcPr>
            <w:tcW w:w="3106" w:type="dxa"/>
          </w:tcPr>
          <w:p w14:paraId="2EC01A25" w14:textId="77777777" w:rsidR="003357DD" w:rsidRDefault="00000000">
            <w:r>
              <w:rPr>
                <w:rFonts w:ascii="Calibri" w:hAnsi="Calibri"/>
                <w:sz w:val="21"/>
              </w:rPr>
              <w:t>Partner IS a carrier</w:t>
            </w:r>
          </w:p>
        </w:tc>
        <w:tc>
          <w:tcPr>
            <w:tcW w:w="3106" w:type="dxa"/>
          </w:tcPr>
          <w:p w14:paraId="1AB7D21D" w14:textId="77777777" w:rsidR="003357DD" w:rsidRDefault="00000000">
            <w:r>
              <w:rPr>
                <w:rFonts w:ascii="Calibri" w:hAnsi="Calibri"/>
                <w:sz w:val="21"/>
              </w:rPr>
              <w:t>Thalassaemia major</w:t>
            </w:r>
          </w:p>
        </w:tc>
        <w:tc>
          <w:tcPr>
            <w:tcW w:w="3106" w:type="dxa"/>
          </w:tcPr>
          <w:p w14:paraId="19045FC1" w14:textId="77777777" w:rsidR="003357DD" w:rsidRDefault="00000000">
            <w:r>
              <w:rPr>
                <w:rFonts w:ascii="Calibri" w:hAnsi="Calibri"/>
                <w:sz w:val="21"/>
              </w:rPr>
              <w:t>1 in 4 chance (25%)</w:t>
            </w:r>
          </w:p>
        </w:tc>
      </w:tr>
    </w:tbl>
    <w:p w14:paraId="68BB1203" w14:textId="77777777" w:rsidR="003357DD" w:rsidRDefault="003357DD"/>
    <w:tbl>
      <w:tblPr>
        <w:tblW w:w="0" w:type="auto"/>
        <w:tblLook w:val="04A0" w:firstRow="1" w:lastRow="0" w:firstColumn="1" w:lastColumn="0" w:noHBand="0" w:noVBand="1"/>
      </w:tblPr>
      <w:tblGrid>
        <w:gridCol w:w="9360"/>
      </w:tblGrid>
      <w:tr w:rsidR="003357DD" w14:paraId="0E2B0D08" w14:textId="77777777">
        <w:tc>
          <w:tcPr>
            <w:tcW w:w="9360" w:type="dxa"/>
            <w:shd w:val="clear" w:color="auto" w:fill="F3E5F5"/>
          </w:tcPr>
          <w:p w14:paraId="6BAEFC04" w14:textId="77777777" w:rsidR="003357DD" w:rsidRDefault="003357DD"/>
          <w:p w14:paraId="33071A1E" w14:textId="77777777" w:rsidR="003357DD" w:rsidRDefault="00000000">
            <w:pPr>
              <w:spacing w:before="80" w:after="40"/>
            </w:pPr>
            <w:r>
              <w:rPr>
                <w:rFonts w:ascii="Calibri" w:hAnsi="Calibri"/>
                <w:b/>
                <w:color w:val="5C2D91"/>
                <w:sz w:val="24"/>
              </w:rPr>
              <w:t>📋 Facilitator Notes — What Happens After an Abnormal Result</w:t>
            </w:r>
          </w:p>
          <w:p w14:paraId="3281C3B2" w14:textId="77777777" w:rsidR="003357DD" w:rsidRDefault="00000000">
            <w:pPr>
              <w:spacing w:before="20" w:after="40"/>
            </w:pPr>
            <w:r>
              <w:rPr>
                <w:rFonts w:ascii="Calibri" w:hAnsi="Calibri"/>
                <w:sz w:val="21"/>
              </w:rPr>
              <w:t>1. Result sent to Haemoglobinopathy and Sickle Cell Counselling Service (local Bradford service: 01274 730836)</w:t>
            </w:r>
          </w:p>
          <w:p w14:paraId="373D527D" w14:textId="77777777" w:rsidR="003357DD" w:rsidRDefault="00000000">
            <w:pPr>
              <w:spacing w:before="20" w:after="40"/>
            </w:pPr>
            <w:r>
              <w:rPr>
                <w:rFonts w:ascii="Calibri" w:hAnsi="Calibri"/>
                <w:sz w:val="21"/>
              </w:rPr>
              <w:t>2. Counsellors contact patient (urgent if form marked PREGNANT)</w:t>
            </w:r>
          </w:p>
          <w:p w14:paraId="4692628C" w14:textId="77777777" w:rsidR="003357DD" w:rsidRDefault="00000000">
            <w:pPr>
              <w:spacing w:before="20" w:after="40"/>
            </w:pPr>
            <w:r>
              <w:rPr>
                <w:rFonts w:ascii="Calibri" w:hAnsi="Calibri"/>
                <w:sz w:val="21"/>
              </w:rPr>
              <w:t>3. Partner is contacted and offered testing</w:t>
            </w:r>
          </w:p>
          <w:p w14:paraId="78DB663A" w14:textId="77777777" w:rsidR="003357DD" w:rsidRDefault="00000000">
            <w:pPr>
              <w:spacing w:before="20" w:after="40"/>
            </w:pPr>
            <w:r>
              <w:rPr>
                <w:rFonts w:ascii="Calibri" w:hAnsi="Calibri"/>
                <w:sz w:val="21"/>
              </w:rPr>
              <w:t>4. If both are carriers → 'at-risk couple' → offered prenatal diagnosis options:</w:t>
            </w:r>
          </w:p>
          <w:p w14:paraId="13EDC951" w14:textId="77777777" w:rsidR="003357DD" w:rsidRDefault="00000000">
            <w:pPr>
              <w:spacing w:before="20" w:after="40"/>
            </w:pPr>
            <w:r>
              <w:rPr>
                <w:rFonts w:ascii="Calibri" w:hAnsi="Calibri"/>
                <w:sz w:val="21"/>
              </w:rPr>
              <w:t xml:space="preserve">   • Chorionic villus sampling (CVS): 10–12 weeks — preferred (allows early decision)</w:t>
            </w:r>
          </w:p>
          <w:p w14:paraId="2450E0D9" w14:textId="77777777" w:rsidR="003357DD" w:rsidRDefault="00000000">
            <w:pPr>
              <w:spacing w:before="20" w:after="40"/>
            </w:pPr>
            <w:r>
              <w:rPr>
                <w:rFonts w:ascii="Calibri" w:hAnsi="Calibri"/>
                <w:sz w:val="21"/>
              </w:rPr>
              <w:t xml:space="preserve">   • Amniocentesis: 14–17 weeks — more difficult decision regarding termination if affected</w:t>
            </w:r>
          </w:p>
          <w:p w14:paraId="4DCEB60E" w14:textId="77777777" w:rsidR="003357DD" w:rsidRDefault="00000000">
            <w:pPr>
              <w:spacing w:before="20" w:after="40"/>
            </w:pPr>
            <w:r>
              <w:rPr>
                <w:rFonts w:ascii="Calibri" w:hAnsi="Calibri"/>
                <w:sz w:val="21"/>
              </w:rPr>
              <w:t>5. This is why pre-conceptual or very early pregnancy testing is so important.</w:t>
            </w:r>
          </w:p>
        </w:tc>
      </w:tr>
    </w:tbl>
    <w:p w14:paraId="249FAC7F" w14:textId="77777777" w:rsidR="003357DD" w:rsidRDefault="003357DD"/>
    <w:p w14:paraId="1CA94DA5" w14:textId="77777777" w:rsidR="003357DD" w:rsidRDefault="00000000">
      <w:r>
        <w:br w:type="page"/>
      </w:r>
    </w:p>
    <w:p w14:paraId="26146DB0" w14:textId="77777777" w:rsidR="003357DD" w:rsidRDefault="00000000">
      <w:pPr>
        <w:spacing w:before="200" w:after="80"/>
      </w:pPr>
      <w:r>
        <w:rPr>
          <w:rFonts w:ascii="Calibri" w:hAnsi="Calibri"/>
          <w:b/>
          <w:color w:val="E0651F"/>
          <w:sz w:val="34"/>
        </w:rPr>
        <w:lastRenderedPageBreak/>
        <w:t>CASE SCENARIO 3: Familial Hypercholesterolaemia — Sudden Death in a Young Relative</w:t>
      </w:r>
    </w:p>
    <w:p w14:paraId="78C0BBFF" w14:textId="77777777" w:rsidR="003357DD" w:rsidRDefault="00000000">
      <w:pPr>
        <w:spacing w:before="40" w:after="60"/>
      </w:pPr>
      <w:r>
        <w:rPr>
          <w:rFonts w:ascii="Calibri" w:hAnsi="Calibri"/>
        </w:rPr>
        <w:t>A 34-year-old woman with a history of depression comes to see you. Her sister died very suddenly 2 weeks ago at the age of 49. Her sister was also your patient — the cause of death at post-mortem is myocardial infarction.</w:t>
      </w:r>
    </w:p>
    <w:p w14:paraId="14F91548" w14:textId="77777777" w:rsidR="003357DD" w:rsidRDefault="00000000">
      <w:pPr>
        <w:spacing w:before="200" w:after="80"/>
      </w:pPr>
      <w:r>
        <w:rPr>
          <w:rFonts w:ascii="Calibri" w:hAnsi="Calibri"/>
          <w:b/>
          <w:color w:val="007A87"/>
          <w:sz w:val="32"/>
        </w:rPr>
        <w:t>Discussion Questions</w:t>
      </w:r>
    </w:p>
    <w:p w14:paraId="32B23782" w14:textId="77777777" w:rsidR="003357DD" w:rsidRDefault="00000000">
      <w:pPr>
        <w:pStyle w:val="ListBullet"/>
        <w:spacing w:before="40" w:after="60"/>
      </w:pPr>
      <w:r>
        <w:rPr>
          <w:rFonts w:ascii="Calibri" w:hAnsi="Calibri"/>
        </w:rPr>
        <w:t>How do you manage this consultation?</w:t>
      </w:r>
    </w:p>
    <w:p w14:paraId="7A085396" w14:textId="77777777" w:rsidR="003357DD" w:rsidRDefault="00000000">
      <w:pPr>
        <w:pStyle w:val="ListBullet"/>
        <w:spacing w:before="40" w:after="60"/>
      </w:pPr>
      <w:r>
        <w:rPr>
          <w:rFonts w:ascii="Calibri" w:hAnsi="Calibri"/>
        </w:rPr>
        <w:t>What genetic condition should you consider?</w:t>
      </w:r>
    </w:p>
    <w:p w14:paraId="2C7B87C5" w14:textId="77777777" w:rsidR="003357DD" w:rsidRDefault="00000000">
      <w:pPr>
        <w:pStyle w:val="ListBullet"/>
        <w:spacing w:before="40" w:after="60"/>
      </w:pPr>
      <w:r>
        <w:rPr>
          <w:rFonts w:ascii="Calibri" w:hAnsi="Calibri"/>
        </w:rPr>
        <w:t>What investigations and referrals are appropriate?</w:t>
      </w:r>
    </w:p>
    <w:p w14:paraId="1A146829" w14:textId="77777777" w:rsidR="003357DD" w:rsidRDefault="00000000">
      <w:pPr>
        <w:pStyle w:val="ListBullet"/>
        <w:spacing w:before="40" w:after="60"/>
      </w:pPr>
      <w:r>
        <w:rPr>
          <w:rFonts w:ascii="Calibri" w:hAnsi="Calibri"/>
        </w:rPr>
        <w:t>What are the implications for the rest of the family?</w:t>
      </w:r>
    </w:p>
    <w:tbl>
      <w:tblPr>
        <w:tblW w:w="0" w:type="auto"/>
        <w:tblLook w:val="04A0" w:firstRow="1" w:lastRow="0" w:firstColumn="1" w:lastColumn="0" w:noHBand="0" w:noVBand="1"/>
      </w:tblPr>
      <w:tblGrid>
        <w:gridCol w:w="9360"/>
      </w:tblGrid>
      <w:tr w:rsidR="003357DD" w14:paraId="408C01F2" w14:textId="77777777">
        <w:tc>
          <w:tcPr>
            <w:tcW w:w="9360" w:type="dxa"/>
            <w:shd w:val="clear" w:color="auto" w:fill="E3F2FD"/>
          </w:tcPr>
          <w:p w14:paraId="61C277CF" w14:textId="77777777" w:rsidR="003357DD" w:rsidRDefault="00000000">
            <w:pPr>
              <w:spacing w:before="80" w:after="40"/>
            </w:pPr>
            <w:r>
              <w:rPr>
                <w:rFonts w:ascii="Calibri" w:hAnsi="Calibri"/>
                <w:b/>
                <w:color w:val="007A87"/>
                <w:sz w:val="24"/>
              </w:rPr>
              <w:t>📘 Familial Hypercholesterolaemia (FH) — NICE CG71 (2008, still current 2024)</w:t>
            </w:r>
          </w:p>
          <w:p w14:paraId="7C7B298C" w14:textId="77777777" w:rsidR="003357DD" w:rsidRDefault="00000000">
            <w:pPr>
              <w:spacing w:before="20" w:after="40"/>
            </w:pPr>
            <w:r>
              <w:rPr>
                <w:rFonts w:ascii="Calibri" w:hAnsi="Calibri"/>
                <w:sz w:val="21"/>
              </w:rPr>
              <w:t>FH is autosomal dominant. Prevalence: 1 in 250–500 in UK (~300,000 affected; historically under-diagnosed).</w:t>
            </w:r>
          </w:p>
          <w:p w14:paraId="1BF5C889" w14:textId="77777777" w:rsidR="003357DD" w:rsidRDefault="00000000">
            <w:pPr>
              <w:spacing w:before="20" w:after="40"/>
            </w:pPr>
            <w:r>
              <w:rPr>
                <w:rFonts w:ascii="Calibri" w:hAnsi="Calibri"/>
                <w:sz w:val="21"/>
              </w:rPr>
              <w:t>Caused by mutations in the LDL receptor gene → severely elevated LDL cholesterol from birth.</w:t>
            </w:r>
          </w:p>
          <w:p w14:paraId="3F1B002B" w14:textId="77777777" w:rsidR="003357DD" w:rsidRDefault="00000000">
            <w:pPr>
              <w:spacing w:before="20" w:after="40"/>
            </w:pPr>
            <w:r>
              <w:rPr>
                <w:rFonts w:ascii="Calibri" w:hAnsi="Calibri"/>
                <w:sz w:val="21"/>
              </w:rPr>
              <w:t>Without treatment: 50% CVD risk by age 50 in men; 30% by age 60 in women.</w:t>
            </w:r>
          </w:p>
          <w:p w14:paraId="09E247A4" w14:textId="77777777" w:rsidR="003357DD" w:rsidRDefault="003357DD">
            <w:pPr>
              <w:spacing w:before="20" w:after="40"/>
            </w:pPr>
          </w:p>
          <w:p w14:paraId="48E32622" w14:textId="77777777" w:rsidR="003357DD" w:rsidRDefault="00000000">
            <w:pPr>
              <w:spacing w:before="20" w:after="40"/>
            </w:pPr>
            <w:r>
              <w:rPr>
                <w:rFonts w:ascii="Calibri" w:hAnsi="Calibri"/>
                <w:sz w:val="21"/>
              </w:rPr>
              <w:t>Simon Broome Diagnostic Criteria:</w:t>
            </w:r>
          </w:p>
          <w:p w14:paraId="4D3AD219" w14:textId="77777777" w:rsidR="003357DD" w:rsidRDefault="00000000">
            <w:pPr>
              <w:spacing w:before="20" w:after="40"/>
            </w:pPr>
            <w:r>
              <w:rPr>
                <w:rFonts w:ascii="Calibri" w:hAnsi="Calibri"/>
                <w:sz w:val="21"/>
              </w:rPr>
              <w:t xml:space="preserve">   REQUIRED: TC &gt;7.5 mmol/L AND LDL &gt;4.9 mmol/L, PLUS ONE of:</w:t>
            </w:r>
          </w:p>
          <w:p w14:paraId="649AEA90" w14:textId="77777777" w:rsidR="003357DD" w:rsidRDefault="00000000">
            <w:pPr>
              <w:spacing w:before="20" w:after="40"/>
            </w:pPr>
            <w:r>
              <w:rPr>
                <w:rFonts w:ascii="Calibri" w:hAnsi="Calibri"/>
                <w:sz w:val="21"/>
              </w:rPr>
              <w:t xml:space="preserve">   • Definite FH: Tendon xanthomata in patient OR 1st/2nd degree relative</w:t>
            </w:r>
          </w:p>
          <w:p w14:paraId="26257C38" w14:textId="77777777" w:rsidR="003357DD" w:rsidRDefault="00000000">
            <w:pPr>
              <w:spacing w:before="20" w:after="40"/>
            </w:pPr>
            <w:r>
              <w:rPr>
                <w:rFonts w:ascii="Calibri" w:hAnsi="Calibri"/>
                <w:sz w:val="21"/>
              </w:rPr>
              <w:t xml:space="preserve">   • Possible FH: FH of premature IHD (male &lt;55; female &lt;65) in 1st degree relative</w:t>
            </w:r>
          </w:p>
          <w:p w14:paraId="071B2506" w14:textId="77777777" w:rsidR="003357DD" w:rsidRDefault="00000000">
            <w:pPr>
              <w:spacing w:before="20" w:after="40"/>
            </w:pPr>
            <w:r>
              <w:rPr>
                <w:rFonts w:ascii="Calibri" w:hAnsi="Calibri"/>
                <w:sz w:val="21"/>
              </w:rPr>
              <w:t xml:space="preserve">              OR TC &gt;7.5 mmol/L in 1st or 2nd degree relative</w:t>
            </w:r>
          </w:p>
          <w:p w14:paraId="3767FEE4" w14:textId="77777777" w:rsidR="003357DD" w:rsidRDefault="003357DD">
            <w:pPr>
              <w:spacing w:before="20" w:after="40"/>
            </w:pPr>
          </w:p>
          <w:p w14:paraId="2BAA5502" w14:textId="77777777" w:rsidR="003357DD" w:rsidRDefault="00000000">
            <w:pPr>
              <w:spacing w:before="20" w:after="40"/>
            </w:pPr>
            <w:r>
              <w:rPr>
                <w:rFonts w:ascii="Calibri" w:hAnsi="Calibri"/>
                <w:sz w:val="21"/>
              </w:rPr>
              <w:t>Think FH when: TC &gt;7.5 in a young person, OR premature death from heart disease in a close relative.</w:t>
            </w:r>
          </w:p>
        </w:tc>
      </w:tr>
    </w:tbl>
    <w:p w14:paraId="5633810C" w14:textId="77777777" w:rsidR="003357DD" w:rsidRPr="00B73110" w:rsidRDefault="003357DD">
      <w:pPr>
        <w:rPr>
          <w:sz w:val="2"/>
          <w:szCs w:val="2"/>
        </w:rPr>
      </w:pPr>
    </w:p>
    <w:tbl>
      <w:tblPr>
        <w:tblW w:w="0" w:type="auto"/>
        <w:tblLook w:val="04A0" w:firstRow="1" w:lastRow="0" w:firstColumn="1" w:lastColumn="0" w:noHBand="0" w:noVBand="1"/>
      </w:tblPr>
      <w:tblGrid>
        <w:gridCol w:w="9360"/>
      </w:tblGrid>
      <w:tr w:rsidR="003357DD" w14:paraId="484182E5" w14:textId="77777777">
        <w:tc>
          <w:tcPr>
            <w:tcW w:w="9360" w:type="dxa"/>
            <w:shd w:val="clear" w:color="auto" w:fill="E8F5E9"/>
          </w:tcPr>
          <w:p w14:paraId="0FFA2A3A" w14:textId="77777777" w:rsidR="003357DD" w:rsidRDefault="00000000">
            <w:pPr>
              <w:spacing w:before="80" w:after="40"/>
            </w:pPr>
            <w:r>
              <w:rPr>
                <w:rFonts w:ascii="Calibri" w:hAnsi="Calibri"/>
                <w:b/>
                <w:color w:val="278B45"/>
                <w:sz w:val="24"/>
              </w:rPr>
              <w:t>✅ GP Action Plan</w:t>
            </w:r>
          </w:p>
          <w:p w14:paraId="0B32BA68" w14:textId="77777777" w:rsidR="003357DD" w:rsidRDefault="00000000">
            <w:pPr>
              <w:spacing w:before="20" w:after="40"/>
            </w:pPr>
            <w:r>
              <w:rPr>
                <w:rFonts w:ascii="Calibri" w:hAnsi="Calibri"/>
                <w:sz w:val="21"/>
              </w:rPr>
              <w:t>1. Check her lipid profile (TC, LDL, HDL, TG) — fasting</w:t>
            </w:r>
          </w:p>
          <w:p w14:paraId="3425D843" w14:textId="77777777" w:rsidR="003357DD" w:rsidRDefault="00000000">
            <w:pPr>
              <w:spacing w:before="20" w:after="40"/>
            </w:pPr>
            <w:r>
              <w:rPr>
                <w:rFonts w:ascii="Calibri" w:hAnsi="Calibri"/>
                <w:sz w:val="21"/>
              </w:rPr>
              <w:t>2. If she meets Simon Broome criteria → refer to FH Clinic (NICE CG71)</w:t>
            </w:r>
          </w:p>
          <w:p w14:paraId="2AE649D3" w14:textId="77777777" w:rsidR="003357DD" w:rsidRDefault="00000000">
            <w:pPr>
              <w:spacing w:before="20" w:after="40"/>
            </w:pPr>
            <w:r>
              <w:rPr>
                <w:rFonts w:ascii="Calibri" w:hAnsi="Calibri"/>
                <w:sz w:val="21"/>
              </w:rPr>
              <w:t>3. Inform her that first-degree relatives should also be screened (cascade screening)</w:t>
            </w:r>
          </w:p>
          <w:p w14:paraId="5FAAE211" w14:textId="77777777" w:rsidR="003357DD" w:rsidRDefault="00000000">
            <w:pPr>
              <w:spacing w:before="20" w:after="40"/>
            </w:pPr>
            <w:r>
              <w:rPr>
                <w:rFonts w:ascii="Calibri" w:hAnsi="Calibri"/>
                <w:sz w:val="21"/>
              </w:rPr>
              <w:t>4. High-intensity statin (atorvastatin 80 mg): target ≥50% LDL reduction from baseline (NICE NG238, 2023)</w:t>
            </w:r>
          </w:p>
          <w:p w14:paraId="39AF8BC7" w14:textId="77777777" w:rsidR="003357DD" w:rsidRDefault="00000000">
            <w:pPr>
              <w:spacing w:before="20" w:after="40"/>
            </w:pPr>
            <w:r>
              <w:rPr>
                <w:rFonts w:ascii="Calibri" w:hAnsi="Calibri"/>
                <w:sz w:val="21"/>
              </w:rPr>
              <w:t>5. Add ezetimibe if LDL target not met on maximally tolerated statin</w:t>
            </w:r>
          </w:p>
          <w:p w14:paraId="1E9236D3" w14:textId="77777777" w:rsidR="003357DD" w:rsidRDefault="00000000">
            <w:pPr>
              <w:spacing w:before="20" w:after="40"/>
            </w:pPr>
            <w:r>
              <w:rPr>
                <w:rFonts w:ascii="Calibri" w:hAnsi="Calibri"/>
                <w:sz w:val="21"/>
              </w:rPr>
              <w:t>6. If still uncontrolled on 2 agents → specialist lipid clinic referral</w:t>
            </w:r>
          </w:p>
          <w:p w14:paraId="6A4DF4D9" w14:textId="77777777" w:rsidR="003357DD" w:rsidRDefault="00000000">
            <w:pPr>
              <w:spacing w:before="20" w:after="40"/>
            </w:pPr>
            <w:r>
              <w:rPr>
                <w:rFonts w:ascii="Calibri" w:hAnsi="Calibri"/>
                <w:sz w:val="21"/>
              </w:rPr>
              <w:t>7. Genetics: no longer routinely provides gene testing for FH family members — refer to FH Clinic (not Regional Genetics) via pathway on SystmOne/Assist</w:t>
            </w:r>
          </w:p>
          <w:p w14:paraId="4BB70B83" w14:textId="77777777" w:rsidR="003357DD" w:rsidRDefault="00000000">
            <w:pPr>
              <w:spacing w:before="20" w:after="40"/>
            </w:pPr>
            <w:r>
              <w:rPr>
                <w:rFonts w:ascii="Calibri" w:hAnsi="Calibri"/>
                <w:sz w:val="21"/>
              </w:rPr>
              <w:t>8. ICC clinic referral if other cardiac conditions suspected (e.g., cardiomyopathy, arrhythmia)</w:t>
            </w:r>
          </w:p>
        </w:tc>
      </w:tr>
    </w:tbl>
    <w:p w14:paraId="14477106" w14:textId="77777777" w:rsidR="003357DD" w:rsidRPr="00B73110" w:rsidRDefault="003357DD">
      <w:pPr>
        <w:rPr>
          <w:sz w:val="8"/>
          <w:szCs w:val="8"/>
        </w:rPr>
      </w:pPr>
    </w:p>
    <w:tbl>
      <w:tblPr>
        <w:tblW w:w="0" w:type="auto"/>
        <w:tblLook w:val="04A0" w:firstRow="1" w:lastRow="0" w:firstColumn="1" w:lastColumn="0" w:noHBand="0" w:noVBand="1"/>
      </w:tblPr>
      <w:tblGrid>
        <w:gridCol w:w="9360"/>
      </w:tblGrid>
      <w:tr w:rsidR="003357DD" w14:paraId="71CA9D44" w14:textId="77777777">
        <w:tc>
          <w:tcPr>
            <w:tcW w:w="9360" w:type="dxa"/>
            <w:shd w:val="clear" w:color="auto" w:fill="FDEDEC"/>
          </w:tcPr>
          <w:p w14:paraId="6C73F6A9" w14:textId="77777777" w:rsidR="003357DD" w:rsidRDefault="00000000">
            <w:pPr>
              <w:spacing w:before="80" w:after="40"/>
            </w:pPr>
            <w:r>
              <w:rPr>
                <w:rFonts w:ascii="Calibri" w:hAnsi="Calibri"/>
                <w:b/>
                <w:color w:val="C0392B"/>
                <w:sz w:val="24"/>
              </w:rPr>
              <w:t>⚠️ Red Flag</w:t>
            </w:r>
          </w:p>
          <w:p w14:paraId="37CA9533" w14:textId="77777777" w:rsidR="003357DD" w:rsidRDefault="00000000">
            <w:pPr>
              <w:spacing w:before="20" w:after="40"/>
            </w:pPr>
            <w:r>
              <w:rPr>
                <w:rFonts w:ascii="Calibri" w:hAnsi="Calibri"/>
                <w:sz w:val="21"/>
              </w:rPr>
              <w:t>Any patient with sudden cardiac death in a first-degree relative who is &lt;50 years old → consider FH, inherited cardiomyopathy, or arrhythmia syndrome. Refer 1st-degree relatives to ICC clinic even if asymptomatic — they do NOT need prior ECG or echo before referral.</w:t>
            </w:r>
          </w:p>
        </w:tc>
      </w:tr>
    </w:tbl>
    <w:p w14:paraId="73027EE3" w14:textId="524D0C17" w:rsidR="003357DD" w:rsidRDefault="003357DD"/>
    <w:p w14:paraId="41CAC280" w14:textId="77777777" w:rsidR="003357DD" w:rsidRDefault="00000000">
      <w:pPr>
        <w:spacing w:before="200" w:after="80"/>
      </w:pPr>
      <w:r>
        <w:rPr>
          <w:rFonts w:ascii="Calibri" w:hAnsi="Calibri"/>
          <w:b/>
          <w:color w:val="E0651F"/>
          <w:sz w:val="34"/>
        </w:rPr>
        <w:lastRenderedPageBreak/>
        <w:t>CASE SCENARIO 4: Hereditary Haemochromatosis — Young Man with TATT</w:t>
      </w:r>
    </w:p>
    <w:p w14:paraId="1A94820B" w14:textId="77777777" w:rsidR="003357DD" w:rsidRDefault="00000000">
      <w:pPr>
        <w:spacing w:before="40" w:after="60"/>
      </w:pPr>
      <w:r>
        <w:rPr>
          <w:rFonts w:ascii="Calibri" w:hAnsi="Calibri"/>
        </w:rPr>
        <w:t>A 32-year-old man presents complaining of tiredness. His appetite is reduced and he occasionally has joint aches but no swelling. He is under stress at work and his relationship is under strain. He is reluctant to accept lifestyle factors as the cause and requests blood tests.</w:t>
      </w:r>
    </w:p>
    <w:p w14:paraId="4E4D95CB" w14:textId="77777777" w:rsidR="003357DD" w:rsidRDefault="00000000">
      <w:pPr>
        <w:spacing w:before="200" w:after="80"/>
      </w:pPr>
      <w:r>
        <w:rPr>
          <w:rFonts w:ascii="Calibri" w:hAnsi="Calibri"/>
          <w:b/>
          <w:color w:val="007A87"/>
          <w:sz w:val="32"/>
        </w:rPr>
        <w:t>Discussion Questions</w:t>
      </w:r>
    </w:p>
    <w:p w14:paraId="1178769F" w14:textId="77777777" w:rsidR="003357DD" w:rsidRDefault="00000000">
      <w:pPr>
        <w:pStyle w:val="ListBullet"/>
        <w:spacing w:before="40" w:after="60"/>
      </w:pPr>
      <w:r>
        <w:rPr>
          <w:rFonts w:ascii="Calibri" w:hAnsi="Calibri"/>
        </w:rPr>
        <w:t>What blood tests would you request?</w:t>
      </w:r>
    </w:p>
    <w:p w14:paraId="556B7E7D" w14:textId="77777777" w:rsidR="003357DD" w:rsidRDefault="00000000">
      <w:pPr>
        <w:pStyle w:val="ListBullet"/>
        <w:spacing w:before="40" w:after="60"/>
      </w:pPr>
      <w:r>
        <w:rPr>
          <w:rFonts w:ascii="Calibri" w:hAnsi="Calibri"/>
        </w:rPr>
        <w:t>His ferritin comes back as 458 µg/L. What do you do next?</w:t>
      </w:r>
    </w:p>
    <w:p w14:paraId="17E05B40" w14:textId="77777777" w:rsidR="003357DD" w:rsidRDefault="00000000">
      <w:pPr>
        <w:pStyle w:val="ListBullet"/>
        <w:spacing w:before="40" w:after="60"/>
      </w:pPr>
      <w:r>
        <w:rPr>
          <w:rFonts w:ascii="Calibri" w:hAnsi="Calibri"/>
        </w:rPr>
        <w:t>What condition is on your differential and what are its complications?</w:t>
      </w:r>
    </w:p>
    <w:p w14:paraId="151977ED" w14:textId="77777777" w:rsidR="003357DD" w:rsidRDefault="00000000">
      <w:pPr>
        <w:pStyle w:val="ListBullet"/>
        <w:spacing w:before="40" w:after="60"/>
      </w:pPr>
      <w:r>
        <w:rPr>
          <w:rFonts w:ascii="Calibri" w:hAnsi="Calibri"/>
        </w:rPr>
        <w:t>What are the genetics and family implications?</w:t>
      </w:r>
    </w:p>
    <w:tbl>
      <w:tblPr>
        <w:tblW w:w="0" w:type="auto"/>
        <w:tblLook w:val="04A0" w:firstRow="1" w:lastRow="0" w:firstColumn="1" w:lastColumn="0" w:noHBand="0" w:noVBand="1"/>
      </w:tblPr>
      <w:tblGrid>
        <w:gridCol w:w="9360"/>
      </w:tblGrid>
      <w:tr w:rsidR="003357DD" w14:paraId="36CF793A" w14:textId="77777777">
        <w:tc>
          <w:tcPr>
            <w:tcW w:w="9360" w:type="dxa"/>
            <w:shd w:val="clear" w:color="auto" w:fill="E3F2FD"/>
          </w:tcPr>
          <w:p w14:paraId="4A9903DA" w14:textId="77777777" w:rsidR="003357DD" w:rsidRDefault="00000000">
            <w:pPr>
              <w:spacing w:before="80" w:after="40"/>
            </w:pPr>
            <w:r>
              <w:rPr>
                <w:rFonts w:ascii="Calibri" w:hAnsi="Calibri"/>
                <w:b/>
                <w:color w:val="007A87"/>
                <w:sz w:val="24"/>
              </w:rPr>
              <w:t>📘 Hereditary Haemochromatosis (HH) — Key Facts</w:t>
            </w:r>
          </w:p>
          <w:p w14:paraId="6B358DF2" w14:textId="77777777" w:rsidR="003357DD" w:rsidRDefault="00000000">
            <w:pPr>
              <w:spacing w:before="20" w:after="40"/>
            </w:pPr>
            <w:r>
              <w:rPr>
                <w:rFonts w:ascii="Calibri" w:hAnsi="Calibri"/>
                <w:sz w:val="21"/>
              </w:rPr>
              <w:t>Autosomal recessive disorder. Carrier rate: 1 in 8–10. Prevalence: 1 in 200–400.</w:t>
            </w:r>
          </w:p>
          <w:p w14:paraId="00936F42" w14:textId="77777777" w:rsidR="003357DD" w:rsidRDefault="00000000">
            <w:pPr>
              <w:spacing w:before="20" w:after="40"/>
            </w:pPr>
            <w:r>
              <w:rPr>
                <w:rFonts w:ascii="Calibri" w:hAnsi="Calibri"/>
                <w:sz w:val="21"/>
              </w:rPr>
              <w:t>&gt;95% of UK cases caused by 2 HFE gene mutations (C282Y and H63D).</w:t>
            </w:r>
          </w:p>
          <w:p w14:paraId="331FF1A6" w14:textId="77777777" w:rsidR="003357DD" w:rsidRDefault="00000000">
            <w:pPr>
              <w:spacing w:before="20" w:after="40"/>
            </w:pPr>
            <w:r>
              <w:rPr>
                <w:rFonts w:ascii="Calibri" w:hAnsi="Calibri"/>
                <w:sz w:val="21"/>
              </w:rPr>
              <w:t>Many people who inherit the mutations will NOT develop clinical disease.</w:t>
            </w:r>
          </w:p>
          <w:p w14:paraId="6B862965" w14:textId="77777777" w:rsidR="003357DD" w:rsidRDefault="003357DD">
            <w:pPr>
              <w:spacing w:before="20" w:after="40"/>
            </w:pPr>
          </w:p>
          <w:p w14:paraId="14EF06F6" w14:textId="77777777" w:rsidR="003357DD" w:rsidRDefault="00000000">
            <w:pPr>
              <w:spacing w:before="20" w:after="40"/>
            </w:pPr>
            <w:r>
              <w:rPr>
                <w:rFonts w:ascii="Calibri" w:hAnsi="Calibri"/>
                <w:sz w:val="21"/>
              </w:rPr>
              <w:t>Symptoms and complications:</w:t>
            </w:r>
          </w:p>
          <w:p w14:paraId="30EABF98" w14:textId="77777777" w:rsidR="003357DD" w:rsidRDefault="00000000">
            <w:pPr>
              <w:spacing w:before="20" w:after="40"/>
            </w:pPr>
            <w:r>
              <w:rPr>
                <w:rFonts w:ascii="Calibri" w:hAnsi="Calibri"/>
                <w:sz w:val="21"/>
              </w:rPr>
              <w:t xml:space="preserve">   • Non-specific: TATT, joint pain (especially MCP joints), weight loss</w:t>
            </w:r>
          </w:p>
          <w:p w14:paraId="38C4F4D9" w14:textId="77777777" w:rsidR="003357DD" w:rsidRDefault="00000000">
            <w:pPr>
              <w:spacing w:before="20" w:after="40"/>
            </w:pPr>
            <w:r>
              <w:rPr>
                <w:rFonts w:ascii="Calibri" w:hAnsi="Calibri"/>
                <w:sz w:val="21"/>
              </w:rPr>
              <w:t xml:space="preserve">   • Liver disease (cirrhosis, hepatocellular carcinoma)</w:t>
            </w:r>
          </w:p>
          <w:p w14:paraId="76F1FF5F" w14:textId="77777777" w:rsidR="003357DD" w:rsidRDefault="00000000">
            <w:pPr>
              <w:spacing w:before="20" w:after="40"/>
            </w:pPr>
            <w:r>
              <w:rPr>
                <w:rFonts w:ascii="Calibri" w:hAnsi="Calibri"/>
                <w:sz w:val="21"/>
              </w:rPr>
              <w:t xml:space="preserve">   • Diabetes</w:t>
            </w:r>
          </w:p>
          <w:p w14:paraId="3CDED7D9" w14:textId="77777777" w:rsidR="003357DD" w:rsidRDefault="00000000">
            <w:pPr>
              <w:spacing w:before="20" w:after="40"/>
            </w:pPr>
            <w:r>
              <w:rPr>
                <w:rFonts w:ascii="Calibri" w:hAnsi="Calibri"/>
                <w:sz w:val="21"/>
              </w:rPr>
              <w:t xml:space="preserve">   • Hypogonadotrophic hypogonadism (impotence, loss of libido)</w:t>
            </w:r>
          </w:p>
          <w:p w14:paraId="4C0B6EE2" w14:textId="77777777" w:rsidR="003357DD" w:rsidRDefault="00000000">
            <w:pPr>
              <w:spacing w:before="20" w:after="40"/>
            </w:pPr>
            <w:r>
              <w:rPr>
                <w:rFonts w:ascii="Calibri" w:hAnsi="Calibri"/>
                <w:sz w:val="21"/>
              </w:rPr>
              <w:t xml:space="preserve">   • Arthritis</w:t>
            </w:r>
          </w:p>
          <w:p w14:paraId="6DA99FC7" w14:textId="77777777" w:rsidR="003357DD" w:rsidRDefault="00000000">
            <w:pPr>
              <w:spacing w:before="20" w:after="40"/>
            </w:pPr>
            <w:r>
              <w:rPr>
                <w:rFonts w:ascii="Calibri" w:hAnsi="Calibri"/>
                <w:sz w:val="21"/>
              </w:rPr>
              <w:t xml:space="preserve">   • Cardiac disease (dilated cardiomyopathy, heart failure)</w:t>
            </w:r>
          </w:p>
          <w:p w14:paraId="1F6380AB" w14:textId="77777777" w:rsidR="003357DD" w:rsidRDefault="003357DD">
            <w:pPr>
              <w:spacing w:before="20" w:after="40"/>
            </w:pPr>
          </w:p>
          <w:p w14:paraId="474BDED6" w14:textId="77777777" w:rsidR="003357DD" w:rsidRDefault="00000000">
            <w:pPr>
              <w:spacing w:before="20" w:after="40"/>
            </w:pPr>
            <w:r>
              <w:rPr>
                <w:rFonts w:ascii="Calibri" w:hAnsi="Calibri"/>
                <w:sz w:val="21"/>
              </w:rPr>
              <w:t>Diagnosis pathway:</w:t>
            </w:r>
          </w:p>
          <w:p w14:paraId="44B092DB" w14:textId="77777777" w:rsidR="003357DD" w:rsidRDefault="00000000">
            <w:pPr>
              <w:spacing w:before="20" w:after="40"/>
            </w:pPr>
            <w:r>
              <w:rPr>
                <w:rFonts w:ascii="Calibri" w:hAnsi="Calibri"/>
                <w:sz w:val="21"/>
              </w:rPr>
              <w:t xml:space="preserve">   1. Fasting transferrin saturation: earliest marker of HH</w:t>
            </w:r>
          </w:p>
          <w:p w14:paraId="44FEB09A" w14:textId="77777777" w:rsidR="003357DD" w:rsidRDefault="00000000">
            <w:pPr>
              <w:spacing w:before="20" w:after="40"/>
            </w:pPr>
            <w:r>
              <w:rPr>
                <w:rFonts w:ascii="Calibri" w:hAnsi="Calibri"/>
                <w:sz w:val="21"/>
              </w:rPr>
              <w:t xml:space="preserve">      → &gt;45% (men &gt;55%, women &gt;50%): refer to haematologist for further assessment</w:t>
            </w:r>
          </w:p>
          <w:p w14:paraId="79C9E400" w14:textId="77777777" w:rsidR="003357DD" w:rsidRDefault="00000000">
            <w:pPr>
              <w:spacing w:before="20" w:after="40"/>
            </w:pPr>
            <w:r>
              <w:rPr>
                <w:rFonts w:ascii="Calibri" w:hAnsi="Calibri"/>
                <w:sz w:val="21"/>
              </w:rPr>
              <w:t xml:space="preserve">   2. Ferritin: elevated once iron overload is established; can also be raised in acute phase response</w:t>
            </w:r>
          </w:p>
          <w:p w14:paraId="513CCEF5" w14:textId="77777777" w:rsidR="003357DD" w:rsidRDefault="003357DD">
            <w:pPr>
              <w:spacing w:before="20" w:after="40"/>
            </w:pPr>
          </w:p>
          <w:p w14:paraId="24DC69B1" w14:textId="77777777" w:rsidR="003357DD" w:rsidRDefault="00000000">
            <w:pPr>
              <w:spacing w:before="20" w:after="40"/>
            </w:pPr>
            <w:r>
              <w:rPr>
                <w:rFonts w:ascii="Calibri" w:hAnsi="Calibri"/>
                <w:sz w:val="21"/>
              </w:rPr>
              <w:t>Management: Venesection (phlebotomy) — normalises life expectancy if started BEFORE diabetes or cirrhosis develop.</w:t>
            </w:r>
          </w:p>
        </w:tc>
      </w:tr>
    </w:tbl>
    <w:p w14:paraId="506A7C50" w14:textId="77777777" w:rsidR="003357DD" w:rsidRDefault="003357DD"/>
    <w:tbl>
      <w:tblPr>
        <w:tblW w:w="0" w:type="auto"/>
        <w:tblLook w:val="04A0" w:firstRow="1" w:lastRow="0" w:firstColumn="1" w:lastColumn="0" w:noHBand="0" w:noVBand="1"/>
      </w:tblPr>
      <w:tblGrid>
        <w:gridCol w:w="9360"/>
      </w:tblGrid>
      <w:tr w:rsidR="003357DD" w14:paraId="1A4FCE97" w14:textId="77777777">
        <w:tc>
          <w:tcPr>
            <w:tcW w:w="9360" w:type="dxa"/>
            <w:shd w:val="clear" w:color="auto" w:fill="FFF8E1"/>
          </w:tcPr>
          <w:p w14:paraId="68852510" w14:textId="77777777" w:rsidR="003357DD" w:rsidRDefault="00000000">
            <w:pPr>
              <w:spacing w:before="80" w:after="40"/>
            </w:pPr>
            <w:r>
              <w:rPr>
                <w:rFonts w:ascii="Calibri" w:hAnsi="Calibri"/>
                <w:b/>
                <w:color w:val="F5A623"/>
                <w:sz w:val="24"/>
              </w:rPr>
              <w:t>📋 Current Guidance Update (2024) — Genetics Referrals for HH</w:t>
            </w:r>
          </w:p>
          <w:p w14:paraId="56EBB96B" w14:textId="77777777" w:rsidR="003357DD" w:rsidRDefault="00000000">
            <w:pPr>
              <w:spacing w:before="20" w:after="40"/>
            </w:pPr>
            <w:r>
              <w:rPr>
                <w:rFonts w:ascii="Calibri" w:hAnsi="Calibri"/>
                <w:sz w:val="21"/>
              </w:rPr>
              <w:t>As of 2024 Bradford pathway: Genetics services no longer accept referrals for genetic testing of family members of patients with haemochromatosis.</w:t>
            </w:r>
          </w:p>
          <w:p w14:paraId="2C351936" w14:textId="77777777" w:rsidR="003357DD" w:rsidRDefault="00000000">
            <w:pPr>
              <w:spacing w:before="20" w:after="40"/>
            </w:pPr>
            <w:r>
              <w:rPr>
                <w:rFonts w:ascii="Calibri" w:hAnsi="Calibri"/>
                <w:sz w:val="21"/>
              </w:rPr>
              <w:t>GPs should arrange testing directly via ICE: haemochromatosis genetic test available under haematology/genetics on ICE.</w:t>
            </w:r>
          </w:p>
          <w:p w14:paraId="0C14F035" w14:textId="77777777" w:rsidR="003357DD" w:rsidRDefault="00000000">
            <w:pPr>
              <w:spacing w:before="20" w:after="40"/>
            </w:pPr>
            <w:r>
              <w:rPr>
                <w:rFonts w:ascii="Calibri" w:hAnsi="Calibri"/>
                <w:sz w:val="21"/>
              </w:rPr>
              <w:t>First-degree relatives of an affected patient: check fasting ferritin and transferrin saturation — do not refer to genetics for gene testing.</w:t>
            </w:r>
          </w:p>
        </w:tc>
      </w:tr>
    </w:tbl>
    <w:p w14:paraId="02B52637" w14:textId="77777777" w:rsidR="003357DD" w:rsidRDefault="003357DD"/>
    <w:p w14:paraId="7A87B7A9" w14:textId="77777777" w:rsidR="003357DD" w:rsidRDefault="00000000">
      <w:r>
        <w:br w:type="page"/>
      </w:r>
    </w:p>
    <w:p w14:paraId="439DCAA1" w14:textId="77777777" w:rsidR="003357DD" w:rsidRDefault="00000000">
      <w:pPr>
        <w:spacing w:before="200" w:after="80"/>
      </w:pPr>
      <w:r>
        <w:rPr>
          <w:rFonts w:ascii="Calibri" w:hAnsi="Calibri"/>
          <w:b/>
          <w:color w:val="E0651F"/>
          <w:sz w:val="34"/>
        </w:rPr>
        <w:lastRenderedPageBreak/>
        <w:t>CASE SCENARIO 5: Cystic Fibrosis — Jane and Christopher (Pedigree Exercise)</w:t>
      </w:r>
    </w:p>
    <w:p w14:paraId="17735330" w14:textId="77777777" w:rsidR="003357DD" w:rsidRDefault="00000000">
      <w:pPr>
        <w:spacing w:before="40" w:after="60"/>
      </w:pPr>
      <w:r>
        <w:rPr>
          <w:rFonts w:ascii="Calibri" w:hAnsi="Calibri"/>
        </w:rPr>
        <w:t>Jane (28) is 6 weeks pregnant. Her husband Christopher (29) is an only child — his parents William (60) and Margaret (59) are alive and well. Jane's brother John (34) had one son David (10) with his first wife Alice (33). John's second wife Christine (29) had a miscarriage at 9 weeks, then a son Richard (4) who has cystic fibrosis (CF). Jane's father George Whitehead died aged 66. Jane's mother Joan (64) is alive and well.</w:t>
      </w:r>
    </w:p>
    <w:p w14:paraId="3E4B23F7" w14:textId="77777777" w:rsidR="003357DD" w:rsidRDefault="00000000">
      <w:pPr>
        <w:spacing w:before="200" w:after="80"/>
      </w:pPr>
      <w:r>
        <w:rPr>
          <w:rFonts w:ascii="Calibri" w:hAnsi="Calibri"/>
          <w:b/>
          <w:color w:val="007A87"/>
          <w:sz w:val="32"/>
        </w:rPr>
        <w:t>Discussion Questions</w:t>
      </w:r>
    </w:p>
    <w:p w14:paraId="63AF982A" w14:textId="77777777" w:rsidR="003357DD" w:rsidRDefault="00000000">
      <w:pPr>
        <w:pStyle w:val="ListBullet"/>
        <w:spacing w:before="40" w:after="60"/>
      </w:pPr>
      <w:r>
        <w:rPr>
          <w:rFonts w:ascii="Calibri" w:hAnsi="Calibri"/>
        </w:rPr>
        <w:t>Draw the pedigree. Who must be carriers?</w:t>
      </w:r>
    </w:p>
    <w:p w14:paraId="626D7080" w14:textId="77777777" w:rsidR="003357DD" w:rsidRDefault="00000000">
      <w:pPr>
        <w:pStyle w:val="ListBullet"/>
        <w:spacing w:before="40" w:after="60"/>
      </w:pPr>
      <w:r>
        <w:rPr>
          <w:rFonts w:ascii="Calibri" w:hAnsi="Calibri"/>
        </w:rPr>
        <w:t>What is Jane's risk of being a CF carrier?</w:t>
      </w:r>
    </w:p>
    <w:p w14:paraId="1B81D843" w14:textId="77777777" w:rsidR="003357DD" w:rsidRDefault="00000000">
      <w:pPr>
        <w:pStyle w:val="ListBullet"/>
        <w:spacing w:before="40" w:after="60"/>
      </w:pPr>
      <w:r>
        <w:rPr>
          <w:rFonts w:ascii="Calibri" w:hAnsi="Calibri"/>
        </w:rPr>
        <w:t>She is tested and IS a carrier. What is her baby's risk of having CF?</w:t>
      </w:r>
    </w:p>
    <w:p w14:paraId="5F523C2F" w14:textId="77777777" w:rsidR="003357DD" w:rsidRDefault="00000000">
      <w:pPr>
        <w:pStyle w:val="ListBullet"/>
        <w:spacing w:before="40" w:after="60"/>
      </w:pPr>
      <w:r>
        <w:rPr>
          <w:rFonts w:ascii="Calibri" w:hAnsi="Calibri"/>
        </w:rPr>
        <w:t>What options are available? What are the ethical considerations?</w:t>
      </w:r>
    </w:p>
    <w:p w14:paraId="70DBB99A" w14:textId="77777777" w:rsidR="003357DD" w:rsidRDefault="00000000">
      <w:pPr>
        <w:pStyle w:val="ListBullet"/>
        <w:spacing w:before="40" w:after="60"/>
      </w:pPr>
      <w:r>
        <w:rPr>
          <w:rFonts w:ascii="Calibri" w:hAnsi="Calibri"/>
        </w:rPr>
        <w:t>Which other family members should be offered carrier testing?</w:t>
      </w:r>
    </w:p>
    <w:tbl>
      <w:tblPr>
        <w:tblW w:w="0" w:type="auto"/>
        <w:tblLook w:val="04A0" w:firstRow="1" w:lastRow="0" w:firstColumn="1" w:lastColumn="0" w:noHBand="0" w:noVBand="1"/>
      </w:tblPr>
      <w:tblGrid>
        <w:gridCol w:w="9360"/>
      </w:tblGrid>
      <w:tr w:rsidR="003357DD" w14:paraId="11C11517" w14:textId="77777777">
        <w:tc>
          <w:tcPr>
            <w:tcW w:w="9360" w:type="dxa"/>
            <w:shd w:val="clear" w:color="auto" w:fill="F3E5F5"/>
          </w:tcPr>
          <w:p w14:paraId="386C43AE" w14:textId="77777777" w:rsidR="003357DD" w:rsidRDefault="003357DD"/>
          <w:p w14:paraId="2C6D3212" w14:textId="77777777" w:rsidR="003357DD" w:rsidRDefault="00000000">
            <w:pPr>
              <w:spacing w:before="80" w:after="40"/>
            </w:pPr>
            <w:r>
              <w:rPr>
                <w:rFonts w:ascii="Calibri" w:hAnsi="Calibri"/>
                <w:b/>
                <w:color w:val="5C2D91"/>
                <w:sz w:val="24"/>
              </w:rPr>
              <w:t>📘 Carrier Analysis and Risk Calculations</w:t>
            </w:r>
          </w:p>
          <w:p w14:paraId="7426976E" w14:textId="77777777" w:rsidR="003357DD" w:rsidRDefault="00000000">
            <w:pPr>
              <w:spacing w:before="20" w:after="40"/>
            </w:pPr>
            <w:r>
              <w:rPr>
                <w:rFonts w:ascii="Calibri" w:hAnsi="Calibri"/>
                <w:sz w:val="21"/>
              </w:rPr>
              <w:t>Known carriers: John and Christine (Richard's parents) MUST both be carriers.</w:t>
            </w:r>
          </w:p>
          <w:p w14:paraId="078C4E53" w14:textId="77777777" w:rsidR="003357DD" w:rsidRDefault="00000000">
            <w:pPr>
              <w:spacing w:before="20" w:after="40"/>
            </w:pPr>
            <w:r>
              <w:rPr>
                <w:rFonts w:ascii="Calibri" w:hAnsi="Calibri"/>
                <w:sz w:val="21"/>
              </w:rPr>
              <w:t>Jane's parents: At least one (probably both) must be carriers.</w:t>
            </w:r>
          </w:p>
          <w:p w14:paraId="2CA58744" w14:textId="77777777" w:rsidR="003357DD" w:rsidRDefault="003357DD">
            <w:pPr>
              <w:spacing w:before="20" w:after="40"/>
            </w:pPr>
          </w:p>
          <w:p w14:paraId="65430F9F" w14:textId="77777777" w:rsidR="003357DD" w:rsidRDefault="00000000">
            <w:pPr>
              <w:spacing w:before="20" w:after="40"/>
            </w:pPr>
            <w:r>
              <w:rPr>
                <w:rFonts w:ascii="Calibri" w:hAnsi="Calibri"/>
                <w:sz w:val="21"/>
              </w:rPr>
              <w:t>Jane's carrier risk:</w:t>
            </w:r>
          </w:p>
          <w:p w14:paraId="58BB3162" w14:textId="77777777" w:rsidR="003357DD" w:rsidRDefault="00000000">
            <w:pPr>
              <w:spacing w:before="20" w:after="40"/>
            </w:pPr>
            <w:r>
              <w:rPr>
                <w:rFonts w:ascii="Calibri" w:hAnsi="Calibri"/>
                <w:sz w:val="21"/>
              </w:rPr>
              <w:t xml:space="preserve">   • If one parent is a carrier → Jane's risk = 1 in 2 (50%)</w:t>
            </w:r>
          </w:p>
          <w:p w14:paraId="206268A7" w14:textId="77777777" w:rsidR="003357DD" w:rsidRDefault="00000000">
            <w:pPr>
              <w:spacing w:before="20" w:after="40"/>
            </w:pPr>
            <w:r>
              <w:rPr>
                <w:rFonts w:ascii="Calibri" w:hAnsi="Calibri"/>
                <w:sz w:val="21"/>
              </w:rPr>
              <w:t xml:space="preserve">   • If both parents are carriers → Jane's risk = 2 in 3 (as we know she is not affected with CF)</w:t>
            </w:r>
          </w:p>
          <w:p w14:paraId="7A557F4B" w14:textId="77777777" w:rsidR="003357DD" w:rsidRDefault="00000000">
            <w:pPr>
              <w:spacing w:before="20" w:after="40"/>
            </w:pPr>
            <w:r>
              <w:rPr>
                <w:rFonts w:ascii="Calibri" w:hAnsi="Calibri"/>
                <w:sz w:val="21"/>
              </w:rPr>
              <w:t xml:space="preserve">   • Either way, well above the population risk of 1 in 25 → testing is justified.</w:t>
            </w:r>
          </w:p>
          <w:p w14:paraId="3D015C07" w14:textId="77777777" w:rsidR="003357DD" w:rsidRDefault="003357DD">
            <w:pPr>
              <w:spacing w:before="20" w:after="40"/>
            </w:pPr>
          </w:p>
          <w:p w14:paraId="78345514" w14:textId="77777777" w:rsidR="003357DD" w:rsidRDefault="00000000">
            <w:pPr>
              <w:spacing w:before="20" w:after="40"/>
            </w:pPr>
            <w:r>
              <w:rPr>
                <w:rFonts w:ascii="Calibri" w:hAnsi="Calibri"/>
                <w:sz w:val="21"/>
              </w:rPr>
              <w:t>If Jane is a confirmed carrier:</w:t>
            </w:r>
          </w:p>
          <w:p w14:paraId="0AB0C69F" w14:textId="77777777" w:rsidR="003357DD" w:rsidRDefault="00000000">
            <w:pPr>
              <w:spacing w:before="20" w:after="40"/>
            </w:pPr>
            <w:r>
              <w:rPr>
                <w:rFonts w:ascii="Calibri" w:hAnsi="Calibri"/>
                <w:sz w:val="21"/>
              </w:rPr>
              <w:t xml:space="preserve">   Christopher's carrier risk = 1 in 25 (general population, North European ancestry)</w:t>
            </w:r>
          </w:p>
          <w:p w14:paraId="3AC07A09" w14:textId="77777777" w:rsidR="003357DD" w:rsidRDefault="00000000">
            <w:pPr>
              <w:spacing w:before="20" w:after="40"/>
            </w:pPr>
            <w:r>
              <w:rPr>
                <w:rFonts w:ascii="Calibri" w:hAnsi="Calibri"/>
                <w:sz w:val="21"/>
              </w:rPr>
              <w:t xml:space="preserve">   Baby's risk = Jane's risk (1) × Christopher's risk (1/25) × probability both pass on CF gene (1/4)</w:t>
            </w:r>
          </w:p>
          <w:p w14:paraId="05166E8F" w14:textId="77777777" w:rsidR="003357DD" w:rsidRDefault="00000000">
            <w:pPr>
              <w:spacing w:before="20" w:after="40"/>
            </w:pPr>
            <w:r>
              <w:rPr>
                <w:rFonts w:ascii="Calibri" w:hAnsi="Calibri"/>
                <w:sz w:val="21"/>
              </w:rPr>
              <w:t xml:space="preserve">   = 1 × 1/25 × 1/4 = 1 in 100</w:t>
            </w:r>
          </w:p>
          <w:p w14:paraId="489C1BC5" w14:textId="77777777" w:rsidR="003357DD" w:rsidRDefault="00000000">
            <w:pPr>
              <w:spacing w:before="20" w:after="40"/>
            </w:pPr>
            <w:r>
              <w:rPr>
                <w:rFonts w:ascii="Calibri" w:hAnsi="Calibri"/>
                <w:sz w:val="21"/>
              </w:rPr>
              <w:t xml:space="preserve">   (vs 1 in 2,500 in the general population)</w:t>
            </w:r>
          </w:p>
          <w:p w14:paraId="27E23AC5" w14:textId="77777777" w:rsidR="003357DD" w:rsidRDefault="003357DD">
            <w:pPr>
              <w:spacing w:before="20" w:after="40"/>
            </w:pPr>
          </w:p>
          <w:p w14:paraId="2CF5681E" w14:textId="77777777" w:rsidR="003357DD" w:rsidRDefault="00000000">
            <w:pPr>
              <w:spacing w:before="20" w:after="40"/>
            </w:pPr>
            <w:r>
              <w:rPr>
                <w:rFonts w:ascii="Calibri" w:hAnsi="Calibri"/>
                <w:sz w:val="21"/>
              </w:rPr>
              <w:t>CF carrier testing note: Only ~90% of mutations identified on standard panel — a negative result reduces but does NOT eliminate carrier risk.</w:t>
            </w:r>
          </w:p>
          <w:p w14:paraId="5DA8047D" w14:textId="77777777" w:rsidR="003357DD" w:rsidRDefault="00000000">
            <w:pPr>
              <w:spacing w:before="20" w:after="40"/>
            </w:pPr>
            <w:r>
              <w:rPr>
                <w:rFonts w:ascii="Calibri" w:hAnsi="Calibri"/>
                <w:sz w:val="21"/>
              </w:rPr>
              <w:t>Best practice: Refer to Genetics Dept or discuss with genetics consultant rather than testing in primary care alone.</w:t>
            </w:r>
          </w:p>
        </w:tc>
      </w:tr>
    </w:tbl>
    <w:p w14:paraId="3752D97D" w14:textId="77777777" w:rsidR="003357DD" w:rsidRDefault="003357DD"/>
    <w:tbl>
      <w:tblPr>
        <w:tblW w:w="0" w:type="auto"/>
        <w:tblLook w:val="04A0" w:firstRow="1" w:lastRow="0" w:firstColumn="1" w:lastColumn="0" w:noHBand="0" w:noVBand="1"/>
      </w:tblPr>
      <w:tblGrid>
        <w:gridCol w:w="9360"/>
      </w:tblGrid>
      <w:tr w:rsidR="003357DD" w14:paraId="7B400B4B" w14:textId="77777777">
        <w:tc>
          <w:tcPr>
            <w:tcW w:w="9360" w:type="dxa"/>
            <w:shd w:val="clear" w:color="auto" w:fill="FDEDEC"/>
          </w:tcPr>
          <w:p w14:paraId="006E6ADA" w14:textId="77777777" w:rsidR="003357DD" w:rsidRDefault="003357DD"/>
          <w:p w14:paraId="2705E9E4" w14:textId="77777777" w:rsidR="003357DD" w:rsidRDefault="00000000">
            <w:pPr>
              <w:spacing w:before="80" w:after="40"/>
            </w:pPr>
            <w:r>
              <w:rPr>
                <w:rFonts w:ascii="Calibri" w:hAnsi="Calibri"/>
                <w:b/>
                <w:color w:val="C0392B"/>
                <w:sz w:val="24"/>
              </w:rPr>
              <w:t>⚖️ Ethical and Practical Considerations</w:t>
            </w:r>
          </w:p>
          <w:p w14:paraId="28EA8841" w14:textId="77777777" w:rsidR="003357DD" w:rsidRDefault="00000000">
            <w:pPr>
              <w:spacing w:before="20" w:after="40"/>
            </w:pPr>
            <w:r>
              <w:rPr>
                <w:rFonts w:ascii="Calibri" w:hAnsi="Calibri"/>
                <w:sz w:val="21"/>
              </w:rPr>
              <w:t>For Jane: her feelings about prenatal testing and termination of pregnancy (especially with a condition compatible with adult life and improving prognosis)</w:t>
            </w:r>
          </w:p>
          <w:p w14:paraId="4879DBF9" w14:textId="77777777" w:rsidR="003357DD" w:rsidRDefault="00000000">
            <w:pPr>
              <w:spacing w:before="20" w:after="40"/>
            </w:pPr>
            <w:r>
              <w:rPr>
                <w:rFonts w:ascii="Calibri" w:hAnsi="Calibri"/>
                <w:sz w:val="21"/>
              </w:rPr>
              <w:t>For GP: role as referring physician for a course of action that may lead to termination; own moral stance vs duty to patient</w:t>
            </w:r>
          </w:p>
          <w:p w14:paraId="05F8C40D" w14:textId="77777777" w:rsidR="003357DD" w:rsidRDefault="00000000">
            <w:pPr>
              <w:spacing w:before="20" w:after="40"/>
            </w:pPr>
            <w:r>
              <w:rPr>
                <w:rFonts w:ascii="Calibri" w:hAnsi="Calibri"/>
                <w:sz w:val="21"/>
              </w:rPr>
              <w:lastRenderedPageBreak/>
              <w:t>For the wider family: to calculate Jane's carrier risk accurately, the Genetics Dept needs to know Richard's specific CF mutation — this is his (and his parents') information, and consent is required</w:t>
            </w:r>
          </w:p>
          <w:p w14:paraId="3385E7C3" w14:textId="77777777" w:rsidR="003357DD" w:rsidRDefault="00000000">
            <w:pPr>
              <w:spacing w:before="20" w:after="40"/>
            </w:pPr>
            <w:r>
              <w:rPr>
                <w:rFonts w:ascii="Calibri" w:hAnsi="Calibri"/>
                <w:sz w:val="21"/>
              </w:rPr>
              <w:t>Process may cause family tensions (disclosure of sensitive information between siblings)</w:t>
            </w:r>
          </w:p>
          <w:p w14:paraId="3318F0CB" w14:textId="77777777" w:rsidR="003357DD" w:rsidRDefault="00000000">
            <w:pPr>
              <w:spacing w:before="20" w:after="40"/>
            </w:pPr>
            <w:r>
              <w:rPr>
                <w:rFonts w:ascii="Calibri" w:hAnsi="Calibri"/>
                <w:sz w:val="21"/>
              </w:rPr>
              <w:t>Pre-natal options: CVS 10–12 weeks (preferred) → option of early termination. Amniocentesis 14–17 weeks → more difficult late termination decision.</w:t>
            </w:r>
          </w:p>
          <w:p w14:paraId="5EDA6420" w14:textId="77777777" w:rsidR="003357DD" w:rsidRDefault="00000000">
            <w:pPr>
              <w:spacing w:before="20" w:after="40"/>
            </w:pPr>
            <w:r>
              <w:rPr>
                <w:rFonts w:ascii="Calibri" w:hAnsi="Calibri"/>
                <w:sz w:val="21"/>
              </w:rPr>
              <w:t>This case illustrates: Always ask about family history PRE-CONCEPTUALLY or in EARLY PREGNANCY — not at 20 weeks.</w:t>
            </w:r>
          </w:p>
        </w:tc>
      </w:tr>
    </w:tbl>
    <w:p w14:paraId="62FE3D1F" w14:textId="77777777" w:rsidR="003357DD" w:rsidRDefault="003357DD"/>
    <w:p w14:paraId="4E7BB849" w14:textId="77777777" w:rsidR="003357DD" w:rsidRDefault="00000000">
      <w:r>
        <w:br w:type="page"/>
      </w:r>
    </w:p>
    <w:p w14:paraId="7B59A32E" w14:textId="77777777" w:rsidR="003357DD" w:rsidRDefault="00000000">
      <w:pPr>
        <w:spacing w:before="200" w:after="80"/>
      </w:pPr>
      <w:r>
        <w:rPr>
          <w:rFonts w:ascii="Calibri" w:hAnsi="Calibri"/>
          <w:b/>
          <w:color w:val="E0651F"/>
          <w:sz w:val="34"/>
        </w:rPr>
        <w:lastRenderedPageBreak/>
        <w:t>CASE SCENARIO 6: Samina — Consanguinity and Primary Microcephaly</w:t>
      </w:r>
    </w:p>
    <w:p w14:paraId="38D613AC" w14:textId="77777777" w:rsidR="003357DD" w:rsidRDefault="00000000">
      <w:pPr>
        <w:spacing w:before="40" w:after="60"/>
      </w:pPr>
      <w:r>
        <w:rPr>
          <w:rFonts w:ascii="Calibri" w:hAnsi="Calibri"/>
        </w:rPr>
        <w:t>Samina (24) is married to her first cousin, who moved to Bradford from Pakistan less than a year ago. Samina's family is originally from northern Pakistan. There is a strong family history of primary microcephaly. They are trying for a pregnancy and have come to discuss the risk.</w:t>
      </w:r>
    </w:p>
    <w:p w14:paraId="07BD7FFC" w14:textId="77777777" w:rsidR="003357DD" w:rsidRDefault="00000000">
      <w:pPr>
        <w:spacing w:before="200" w:after="80"/>
      </w:pPr>
      <w:r>
        <w:rPr>
          <w:rFonts w:ascii="Calibri" w:hAnsi="Calibri"/>
          <w:b/>
          <w:color w:val="007A87"/>
          <w:sz w:val="32"/>
        </w:rPr>
        <w:t>Discussion Questions</w:t>
      </w:r>
    </w:p>
    <w:p w14:paraId="0BE39980" w14:textId="77777777" w:rsidR="003357DD" w:rsidRDefault="00000000">
      <w:pPr>
        <w:pStyle w:val="ListBullet"/>
        <w:spacing w:before="40" w:after="60"/>
      </w:pPr>
      <w:r>
        <w:rPr>
          <w:rFonts w:ascii="Calibri" w:hAnsi="Calibri"/>
        </w:rPr>
        <w:t>What is primary microcephaly and what is the inheritance pattern?</w:t>
      </w:r>
    </w:p>
    <w:p w14:paraId="35848AC2" w14:textId="77777777" w:rsidR="003357DD" w:rsidRDefault="00000000">
      <w:pPr>
        <w:pStyle w:val="ListBullet"/>
        <w:spacing w:before="40" w:after="60"/>
      </w:pPr>
      <w:r>
        <w:rPr>
          <w:rFonts w:ascii="Calibri" w:hAnsi="Calibri"/>
        </w:rPr>
        <w:t>Why is this condition more prevalent in Bradford's South Asian community?</w:t>
      </w:r>
    </w:p>
    <w:p w14:paraId="38CC045A" w14:textId="77777777" w:rsidR="003357DD" w:rsidRDefault="00000000">
      <w:pPr>
        <w:pStyle w:val="ListBullet"/>
        <w:spacing w:before="40" w:after="60"/>
      </w:pPr>
      <w:r>
        <w:rPr>
          <w:rFonts w:ascii="Calibri" w:hAnsi="Calibri"/>
        </w:rPr>
        <w:t>Where would you refer Samina?</w:t>
      </w:r>
    </w:p>
    <w:p w14:paraId="05CFBC4D" w14:textId="77777777" w:rsidR="003357DD" w:rsidRDefault="00000000">
      <w:pPr>
        <w:pStyle w:val="ListBullet"/>
        <w:spacing w:before="40" w:after="60"/>
      </w:pPr>
      <w:r>
        <w:rPr>
          <w:rFonts w:ascii="Calibri" w:hAnsi="Calibri"/>
        </w:rPr>
        <w:t>What issues may arise in genetic counselling for this population?</w:t>
      </w:r>
    </w:p>
    <w:p w14:paraId="0D779404" w14:textId="77777777" w:rsidR="003357DD" w:rsidRDefault="00000000">
      <w:pPr>
        <w:pStyle w:val="ListBullet"/>
        <w:spacing w:before="40" w:after="60"/>
      </w:pPr>
      <w:r>
        <w:rPr>
          <w:rFonts w:ascii="Calibri" w:hAnsi="Calibri"/>
        </w:rPr>
        <w:t>What support is available after the baby is born?</w:t>
      </w:r>
    </w:p>
    <w:tbl>
      <w:tblPr>
        <w:tblW w:w="0" w:type="auto"/>
        <w:tblLook w:val="04A0" w:firstRow="1" w:lastRow="0" w:firstColumn="1" w:lastColumn="0" w:noHBand="0" w:noVBand="1"/>
      </w:tblPr>
      <w:tblGrid>
        <w:gridCol w:w="9360"/>
      </w:tblGrid>
      <w:tr w:rsidR="003357DD" w14:paraId="2787D057" w14:textId="77777777">
        <w:tc>
          <w:tcPr>
            <w:tcW w:w="9360" w:type="dxa"/>
            <w:shd w:val="clear" w:color="auto" w:fill="E3F2FD"/>
          </w:tcPr>
          <w:p w14:paraId="3F762037" w14:textId="77777777" w:rsidR="003357DD" w:rsidRDefault="003357DD"/>
          <w:p w14:paraId="31BEB1C0" w14:textId="77777777" w:rsidR="003357DD" w:rsidRDefault="00000000">
            <w:pPr>
              <w:spacing w:before="80" w:after="40"/>
            </w:pPr>
            <w:r>
              <w:rPr>
                <w:rFonts w:ascii="Calibri" w:hAnsi="Calibri"/>
                <w:b/>
                <w:color w:val="007A87"/>
                <w:sz w:val="24"/>
              </w:rPr>
              <w:t>📘 Primary Microcephaly — Key Facts</w:t>
            </w:r>
          </w:p>
          <w:p w14:paraId="7BB5EF6F" w14:textId="77777777" w:rsidR="003357DD" w:rsidRDefault="00000000">
            <w:pPr>
              <w:spacing w:before="20" w:after="40"/>
            </w:pPr>
            <w:r>
              <w:rPr>
                <w:rFonts w:ascii="Calibri" w:hAnsi="Calibri"/>
                <w:sz w:val="21"/>
              </w:rPr>
              <w:t>Neurodevelopmental disorder: microcephaly present at birth, non-progressive mild-to-moderate intellectual disability.</w:t>
            </w:r>
          </w:p>
          <w:p w14:paraId="0DAF699E" w14:textId="77777777" w:rsidR="003357DD" w:rsidRDefault="00000000">
            <w:pPr>
              <w:spacing w:before="20" w:after="40"/>
            </w:pPr>
            <w:r>
              <w:rPr>
                <w:rFonts w:ascii="Calibri" w:hAnsi="Calibri"/>
                <w:sz w:val="21"/>
              </w:rPr>
              <w:t>Inheritance: Autosomal recessive. Mutations in at least 7 genes; ASPM gene mutations are the most common (~50% of cases).</w:t>
            </w:r>
          </w:p>
          <w:p w14:paraId="1D738248" w14:textId="77777777" w:rsidR="003357DD" w:rsidRDefault="00000000">
            <w:pPr>
              <w:spacing w:before="20" w:after="40"/>
            </w:pPr>
            <w:r>
              <w:rPr>
                <w:rFonts w:ascii="Calibri" w:hAnsi="Calibri"/>
                <w:sz w:val="21"/>
              </w:rPr>
              <w:t>Worldwide prevalence: 1 in 30,000–250,000. In northern Pakistan: ~1 in 10,000 (due to high consanguinity).</w:t>
            </w:r>
          </w:p>
          <w:p w14:paraId="7359BA40" w14:textId="77777777" w:rsidR="003357DD" w:rsidRDefault="003357DD">
            <w:pPr>
              <w:spacing w:before="20" w:after="40"/>
            </w:pPr>
          </w:p>
          <w:p w14:paraId="544B2EFF" w14:textId="77777777" w:rsidR="003357DD" w:rsidRDefault="00000000">
            <w:pPr>
              <w:spacing w:before="20" w:after="40"/>
            </w:pPr>
            <w:r>
              <w:rPr>
                <w:rFonts w:ascii="Calibri" w:hAnsi="Calibri"/>
                <w:sz w:val="21"/>
              </w:rPr>
              <w:t>Clinical features:</w:t>
            </w:r>
          </w:p>
          <w:p w14:paraId="6356CF51" w14:textId="77777777" w:rsidR="003357DD" w:rsidRDefault="00000000">
            <w:pPr>
              <w:spacing w:before="20" w:after="40"/>
            </w:pPr>
            <w:r>
              <w:rPr>
                <w:rFonts w:ascii="Calibri" w:hAnsi="Calibri"/>
                <w:sz w:val="21"/>
              </w:rPr>
              <w:t xml:space="preserve">   • Microcephaly at birth (small but architecturally normal brain; cerebral cortex most affected)</w:t>
            </w:r>
          </w:p>
          <w:p w14:paraId="145C38BC" w14:textId="77777777" w:rsidR="003357DD" w:rsidRDefault="00000000">
            <w:pPr>
              <w:spacing w:before="20" w:after="40"/>
            </w:pPr>
            <w:r>
              <w:rPr>
                <w:rFonts w:ascii="Calibri" w:hAnsi="Calibri"/>
                <w:sz w:val="21"/>
              </w:rPr>
              <w:t xml:space="preserve">   • Mild to moderate intellectual disability (non-progressive)</w:t>
            </w:r>
          </w:p>
          <w:p w14:paraId="30F943C3" w14:textId="77777777" w:rsidR="003357DD" w:rsidRDefault="00000000">
            <w:pPr>
              <w:spacing w:before="20" w:after="40"/>
            </w:pPr>
            <w:r>
              <w:rPr>
                <w:rFonts w:ascii="Calibri" w:hAnsi="Calibri"/>
                <w:sz w:val="21"/>
              </w:rPr>
              <w:t xml:space="preserve">   • Delayed speech and motor milestones</w:t>
            </w:r>
          </w:p>
          <w:p w14:paraId="65A963E8" w14:textId="77777777" w:rsidR="003357DD" w:rsidRDefault="00000000">
            <w:pPr>
              <w:spacing w:before="20" w:after="40"/>
            </w:pPr>
            <w:r>
              <w:rPr>
                <w:rFonts w:ascii="Calibri" w:hAnsi="Calibri"/>
                <w:sz w:val="21"/>
              </w:rPr>
              <w:t xml:space="preserve">   • Narrow, sloping forehead in some cases; occasional mild seizures</w:t>
            </w:r>
          </w:p>
          <w:p w14:paraId="2E6AB3D8" w14:textId="77777777" w:rsidR="003357DD" w:rsidRDefault="00000000">
            <w:pPr>
              <w:spacing w:before="20" w:after="40"/>
            </w:pPr>
            <w:r>
              <w:rPr>
                <w:rFonts w:ascii="Calibri" w:hAnsi="Calibri"/>
                <w:sz w:val="21"/>
              </w:rPr>
              <w:t xml:space="preserve">   • Does NOT affect other major organ systems</w:t>
            </w:r>
          </w:p>
          <w:p w14:paraId="4E8222E9" w14:textId="77777777" w:rsidR="003357DD" w:rsidRDefault="003357DD">
            <w:pPr>
              <w:spacing w:before="20" w:after="40"/>
            </w:pPr>
          </w:p>
          <w:p w14:paraId="71821C62" w14:textId="77777777" w:rsidR="003357DD" w:rsidRDefault="00000000">
            <w:pPr>
              <w:spacing w:before="20" w:after="40"/>
            </w:pPr>
            <w:r>
              <w:rPr>
                <w:rFonts w:ascii="Calibri" w:hAnsi="Calibri"/>
                <w:sz w:val="21"/>
              </w:rPr>
              <w:t>Important: No reliable genetic testing for most families. Brain size reduction only detectable late in pregnancy via detailed ultrasound.</w:t>
            </w:r>
          </w:p>
        </w:tc>
      </w:tr>
    </w:tbl>
    <w:p w14:paraId="20507372" w14:textId="77777777" w:rsidR="003357DD" w:rsidRDefault="003357DD"/>
    <w:tbl>
      <w:tblPr>
        <w:tblW w:w="0" w:type="auto"/>
        <w:tblLook w:val="04A0" w:firstRow="1" w:lastRow="0" w:firstColumn="1" w:lastColumn="0" w:noHBand="0" w:noVBand="1"/>
      </w:tblPr>
      <w:tblGrid>
        <w:gridCol w:w="9360"/>
      </w:tblGrid>
      <w:tr w:rsidR="003357DD" w14:paraId="27586357" w14:textId="77777777">
        <w:tc>
          <w:tcPr>
            <w:tcW w:w="9360" w:type="dxa"/>
            <w:shd w:val="clear" w:color="auto" w:fill="F3E5F5"/>
          </w:tcPr>
          <w:p w14:paraId="4969AE16" w14:textId="77777777" w:rsidR="003357DD" w:rsidRDefault="003357DD"/>
          <w:p w14:paraId="76485B61" w14:textId="77777777" w:rsidR="003357DD" w:rsidRDefault="00000000">
            <w:pPr>
              <w:spacing w:before="80" w:after="40"/>
            </w:pPr>
            <w:r>
              <w:rPr>
                <w:rFonts w:ascii="Calibri" w:hAnsi="Calibri"/>
                <w:b/>
                <w:color w:val="5C2D91"/>
                <w:sz w:val="24"/>
              </w:rPr>
              <w:t>🌍 Bradford South Asian Population — Clinical Context</w:t>
            </w:r>
          </w:p>
          <w:p w14:paraId="50E68CD3" w14:textId="77777777" w:rsidR="003357DD" w:rsidRDefault="00000000">
            <w:pPr>
              <w:spacing w:before="20" w:after="40"/>
            </w:pPr>
            <w:r>
              <w:rPr>
                <w:rFonts w:ascii="Calibri" w:hAnsi="Calibri"/>
                <w:sz w:val="21"/>
              </w:rPr>
              <w:t>Consanguineous marriage: WHO defines as marriage between second cousins or closer relatives.</w:t>
            </w:r>
          </w:p>
          <w:p w14:paraId="37B56CC5" w14:textId="77777777" w:rsidR="003357DD" w:rsidRDefault="00000000">
            <w:pPr>
              <w:spacing w:before="20" w:after="40"/>
            </w:pPr>
            <w:r>
              <w:rPr>
                <w:rFonts w:ascii="Calibri" w:hAnsi="Calibri"/>
                <w:sz w:val="21"/>
              </w:rPr>
              <w:t>Rate in Bradford's Pakistani community: 20–88% depending on study and community subgroup.</w:t>
            </w:r>
          </w:p>
          <w:p w14:paraId="461A8D8B" w14:textId="77777777" w:rsidR="003357DD" w:rsidRDefault="00000000">
            <w:pPr>
              <w:spacing w:before="20" w:after="40"/>
            </w:pPr>
            <w:r>
              <w:rPr>
                <w:rFonts w:ascii="Calibri" w:hAnsi="Calibri"/>
                <w:sz w:val="21"/>
              </w:rPr>
              <w:t>AR disorders are &gt;10 times more prevalent in Bradford's Pakistani children vs indigenous white children.</w:t>
            </w:r>
          </w:p>
          <w:p w14:paraId="03B4EE62" w14:textId="77777777" w:rsidR="003357DD" w:rsidRDefault="00000000">
            <w:pPr>
              <w:spacing w:before="20" w:after="40"/>
            </w:pPr>
            <w:r>
              <w:rPr>
                <w:rFonts w:ascii="Calibri" w:hAnsi="Calibri"/>
                <w:sz w:val="21"/>
              </w:rPr>
              <w:t>Nearly 150 distinct AR conditions identified. Key ones: primary microcephaly, inborn errors of metabolism, deafness, platelet and coagulation disorders, neurodegenerative conditions.</w:t>
            </w:r>
          </w:p>
          <w:p w14:paraId="4F29D3C2" w14:textId="77777777" w:rsidR="003357DD" w:rsidRDefault="00000000">
            <w:pPr>
              <w:spacing w:before="20" w:after="40"/>
            </w:pPr>
            <w:r>
              <w:rPr>
                <w:rFonts w:ascii="Calibri" w:hAnsi="Calibri"/>
                <w:sz w:val="21"/>
              </w:rPr>
              <w:t>8% of UK neurodegenerative disorder cases originate from Bradford — reflecting this clustering.</w:t>
            </w:r>
          </w:p>
          <w:p w14:paraId="12AD8F1F" w14:textId="77777777" w:rsidR="003357DD" w:rsidRDefault="00000000">
            <w:pPr>
              <w:spacing w:before="20" w:after="40"/>
            </w:pPr>
            <w:r>
              <w:rPr>
                <w:rFonts w:ascii="Calibri" w:hAnsi="Calibri"/>
                <w:sz w:val="21"/>
              </w:rPr>
              <w:t>This clustering also enables valuable genetic research into rare conditions.</w:t>
            </w:r>
          </w:p>
        </w:tc>
      </w:tr>
    </w:tbl>
    <w:p w14:paraId="04E7DA99" w14:textId="77777777" w:rsidR="003357DD" w:rsidRDefault="003357DD"/>
    <w:tbl>
      <w:tblPr>
        <w:tblW w:w="0" w:type="auto"/>
        <w:tblLook w:val="04A0" w:firstRow="1" w:lastRow="0" w:firstColumn="1" w:lastColumn="0" w:noHBand="0" w:noVBand="1"/>
      </w:tblPr>
      <w:tblGrid>
        <w:gridCol w:w="9360"/>
      </w:tblGrid>
      <w:tr w:rsidR="003357DD" w14:paraId="06BFF877" w14:textId="77777777">
        <w:tc>
          <w:tcPr>
            <w:tcW w:w="9360" w:type="dxa"/>
            <w:shd w:val="clear" w:color="auto" w:fill="FFF8E1"/>
          </w:tcPr>
          <w:p w14:paraId="4DB9D8D4" w14:textId="77777777" w:rsidR="003357DD" w:rsidRDefault="003357DD"/>
          <w:p w14:paraId="6DC00E29" w14:textId="77777777" w:rsidR="003357DD" w:rsidRDefault="00000000">
            <w:pPr>
              <w:spacing w:before="80" w:after="40"/>
            </w:pPr>
            <w:r>
              <w:rPr>
                <w:rFonts w:ascii="Calibri" w:hAnsi="Calibri"/>
                <w:b/>
                <w:color w:val="F5A623"/>
                <w:sz w:val="24"/>
              </w:rPr>
              <w:t>📋 Referral and Counselling Issues</w:t>
            </w:r>
          </w:p>
          <w:p w14:paraId="7BEC303B" w14:textId="77777777" w:rsidR="003357DD" w:rsidRDefault="00000000">
            <w:pPr>
              <w:spacing w:before="20" w:after="40"/>
            </w:pPr>
            <w:r>
              <w:rPr>
                <w:rFonts w:ascii="Calibri" w:hAnsi="Calibri"/>
                <w:sz w:val="21"/>
              </w:rPr>
              <w:t>Referral: Yorkshire Regional Genetics Service (YRGS) — covers 3.6 million population; local clinics at St Luke's Hospital, Bradford. 14 genetic counsellors; 5 with South Asian language skills.</w:t>
            </w:r>
          </w:p>
          <w:p w14:paraId="2F0332A8" w14:textId="77777777" w:rsidR="003357DD" w:rsidRDefault="003357DD">
            <w:pPr>
              <w:spacing w:before="20" w:after="40"/>
            </w:pPr>
          </w:p>
          <w:p w14:paraId="28BB2E2D" w14:textId="77777777" w:rsidR="003357DD" w:rsidRDefault="00000000">
            <w:pPr>
              <w:spacing w:before="20" w:after="40"/>
            </w:pPr>
            <w:r>
              <w:rPr>
                <w:rFonts w:ascii="Calibri" w:hAnsi="Calibri"/>
                <w:sz w:val="21"/>
              </w:rPr>
              <w:t>Issues in counselling this population:</w:t>
            </w:r>
          </w:p>
          <w:p w14:paraId="2FE73157" w14:textId="77777777" w:rsidR="003357DD" w:rsidRDefault="00000000">
            <w:pPr>
              <w:spacing w:before="20" w:after="40"/>
            </w:pPr>
            <w:r>
              <w:rPr>
                <w:rFonts w:ascii="Calibri" w:hAnsi="Calibri"/>
                <w:sz w:val="21"/>
              </w:rPr>
              <w:t xml:space="preserve">   • Language barrier — interpreters or bilingual counsellors needed</w:t>
            </w:r>
          </w:p>
          <w:p w14:paraId="535CAAE6" w14:textId="77777777" w:rsidR="003357DD" w:rsidRDefault="00000000">
            <w:pPr>
              <w:spacing w:before="20" w:after="40"/>
            </w:pPr>
            <w:r>
              <w:rPr>
                <w:rFonts w:ascii="Calibri" w:hAnsi="Calibri"/>
                <w:sz w:val="21"/>
              </w:rPr>
              <w:t xml:space="preserve">   • Explaining genetic concepts to patients with no prior framework (e.g., genes, chromosomes)</w:t>
            </w:r>
          </w:p>
          <w:p w14:paraId="251520A8" w14:textId="77777777" w:rsidR="003357DD" w:rsidRDefault="00000000">
            <w:pPr>
              <w:spacing w:before="20" w:after="40"/>
            </w:pPr>
            <w:r>
              <w:rPr>
                <w:rFonts w:ascii="Calibri" w:hAnsi="Calibri"/>
                <w:sz w:val="21"/>
              </w:rPr>
              <w:t xml:space="preserve">   • Cultural and religious beliefs (e.g., attribution of illness to 'evil eye')</w:t>
            </w:r>
          </w:p>
          <w:p w14:paraId="3692A479" w14:textId="77777777" w:rsidR="003357DD" w:rsidRDefault="00000000">
            <w:pPr>
              <w:spacing w:before="20" w:after="40"/>
            </w:pPr>
            <w:r>
              <w:rPr>
                <w:rFonts w:ascii="Calibri" w:hAnsi="Calibri"/>
                <w:sz w:val="21"/>
              </w:rPr>
              <w:t xml:space="preserve">   • Acceptability of prenatal diagnosis and termination: in Islam, termination is generally not acceptable after 120 days (approx. 17 weeks) — creates difficulty if prenatal diagnosis is made late</w:t>
            </w:r>
          </w:p>
          <w:p w14:paraId="32BC8ED3" w14:textId="77777777" w:rsidR="003357DD" w:rsidRDefault="00000000">
            <w:pPr>
              <w:spacing w:before="20" w:after="40"/>
            </w:pPr>
            <w:r>
              <w:rPr>
                <w:rFonts w:ascii="Calibri" w:hAnsi="Calibri"/>
                <w:sz w:val="21"/>
              </w:rPr>
              <w:t xml:space="preserve">   • AR inheritance may be hard to understand when parents are healthy and no other family members appear affected</w:t>
            </w:r>
          </w:p>
        </w:tc>
      </w:tr>
    </w:tbl>
    <w:p w14:paraId="0DABAF78" w14:textId="77777777" w:rsidR="003357DD" w:rsidRDefault="003357DD"/>
    <w:tbl>
      <w:tblPr>
        <w:tblW w:w="0" w:type="auto"/>
        <w:tblLook w:val="04A0" w:firstRow="1" w:lastRow="0" w:firstColumn="1" w:lastColumn="0" w:noHBand="0" w:noVBand="1"/>
      </w:tblPr>
      <w:tblGrid>
        <w:gridCol w:w="9360"/>
      </w:tblGrid>
      <w:tr w:rsidR="003357DD" w14:paraId="0A2C4942" w14:textId="77777777">
        <w:tc>
          <w:tcPr>
            <w:tcW w:w="9360" w:type="dxa"/>
            <w:shd w:val="clear" w:color="auto" w:fill="E8F5E9"/>
          </w:tcPr>
          <w:p w14:paraId="0E7757F4" w14:textId="77777777" w:rsidR="003357DD" w:rsidRDefault="003357DD"/>
          <w:p w14:paraId="1375D873" w14:textId="77777777" w:rsidR="003357DD" w:rsidRDefault="00000000">
            <w:pPr>
              <w:spacing w:before="80" w:after="40"/>
            </w:pPr>
            <w:r>
              <w:rPr>
                <w:rFonts w:ascii="Calibri" w:hAnsi="Calibri"/>
                <w:b/>
                <w:color w:val="278B45"/>
                <w:sz w:val="24"/>
              </w:rPr>
              <w:t>💚 Support After the Baby Is Born</w:t>
            </w:r>
          </w:p>
          <w:p w14:paraId="2AFD7F15" w14:textId="77777777" w:rsidR="003357DD" w:rsidRDefault="00000000">
            <w:pPr>
              <w:spacing w:before="20" w:after="40"/>
            </w:pPr>
            <w:r>
              <w:rPr>
                <w:rFonts w:ascii="Calibri" w:hAnsi="Calibri"/>
                <w:sz w:val="21"/>
              </w:rPr>
              <w:t>UK-specific support: www.microcephaly.co.uk</w:t>
            </w:r>
          </w:p>
          <w:p w14:paraId="5A011129" w14:textId="77777777" w:rsidR="003357DD" w:rsidRDefault="00000000">
            <w:pPr>
              <w:spacing w:before="20" w:after="40"/>
            </w:pPr>
            <w:r>
              <w:rPr>
                <w:rFonts w:ascii="Calibri" w:hAnsi="Calibri"/>
                <w:sz w:val="21"/>
              </w:rPr>
              <w:t>International: www.childrenwithmicro.org</w:t>
            </w:r>
          </w:p>
          <w:p w14:paraId="75FC2523" w14:textId="77777777" w:rsidR="003357DD" w:rsidRDefault="00000000">
            <w:pPr>
              <w:spacing w:before="20" w:after="40"/>
            </w:pPr>
            <w:r>
              <w:rPr>
                <w:rFonts w:ascii="Calibri" w:hAnsi="Calibri"/>
                <w:sz w:val="21"/>
              </w:rPr>
              <w:t>Bradford Community teams: SENDIASS, family support services, community paediatrics</w:t>
            </w:r>
          </w:p>
          <w:p w14:paraId="6529A859" w14:textId="77777777" w:rsidR="003357DD" w:rsidRDefault="00000000">
            <w:pPr>
              <w:spacing w:before="20" w:after="40"/>
            </w:pPr>
            <w:r>
              <w:rPr>
                <w:rFonts w:ascii="Calibri" w:hAnsi="Calibri"/>
                <w:sz w:val="21"/>
              </w:rPr>
              <w:t>Genetic follow-up: Ongoing genetics input may be available for future pregnancies.</w:t>
            </w:r>
          </w:p>
        </w:tc>
      </w:tr>
    </w:tbl>
    <w:p w14:paraId="6003242B" w14:textId="77777777" w:rsidR="003357DD" w:rsidRDefault="003357DD"/>
    <w:p w14:paraId="738F727D" w14:textId="77777777" w:rsidR="003357DD" w:rsidRDefault="00000000">
      <w:r>
        <w:br w:type="page"/>
      </w:r>
    </w:p>
    <w:p w14:paraId="612822B0" w14:textId="77777777" w:rsidR="003357DD" w:rsidRDefault="00000000">
      <w:pPr>
        <w:spacing w:before="200" w:after="80"/>
      </w:pPr>
      <w:r>
        <w:rPr>
          <w:rFonts w:ascii="Calibri" w:hAnsi="Calibri"/>
          <w:b/>
          <w:color w:val="E0651F"/>
          <w:sz w:val="34"/>
        </w:rPr>
        <w:lastRenderedPageBreak/>
        <w:t>BONUS SCENARIO: Paternity Testing — Ethical and Legal Framework</w:t>
      </w:r>
    </w:p>
    <w:p w14:paraId="5BC7AEC0" w14:textId="77777777" w:rsidR="003357DD" w:rsidRDefault="00000000">
      <w:pPr>
        <w:spacing w:before="40" w:after="60"/>
      </w:pPr>
      <w:r>
        <w:rPr>
          <w:rFonts w:ascii="Calibri" w:hAnsi="Calibri"/>
        </w:rPr>
        <w:t>Rosie Barrett asks you to arrange paternity testing of her nine-month-old baby.</w:t>
      </w:r>
    </w:p>
    <w:p w14:paraId="1687DC69" w14:textId="77777777" w:rsidR="003357DD" w:rsidRDefault="00000000">
      <w:pPr>
        <w:spacing w:before="200" w:after="80"/>
      </w:pPr>
      <w:r>
        <w:rPr>
          <w:rFonts w:ascii="Calibri" w:hAnsi="Calibri"/>
          <w:b/>
          <w:color w:val="007A87"/>
          <w:sz w:val="32"/>
        </w:rPr>
        <w:t>Key Issues to Consider</w:t>
      </w:r>
    </w:p>
    <w:tbl>
      <w:tblPr>
        <w:tblW w:w="0" w:type="auto"/>
        <w:tblLook w:val="04A0" w:firstRow="1" w:lastRow="0" w:firstColumn="1" w:lastColumn="0" w:noHBand="0" w:noVBand="1"/>
      </w:tblPr>
      <w:tblGrid>
        <w:gridCol w:w="9360"/>
      </w:tblGrid>
      <w:tr w:rsidR="003357DD" w14:paraId="69342FFD" w14:textId="77777777">
        <w:tc>
          <w:tcPr>
            <w:tcW w:w="9360" w:type="dxa"/>
            <w:shd w:val="clear" w:color="auto" w:fill="FFF8E1"/>
          </w:tcPr>
          <w:p w14:paraId="751F67C1" w14:textId="77777777" w:rsidR="003357DD" w:rsidRDefault="003357DD"/>
          <w:p w14:paraId="50DC5F7B" w14:textId="77777777" w:rsidR="003357DD" w:rsidRDefault="00000000">
            <w:pPr>
              <w:spacing w:before="80" w:after="40"/>
            </w:pPr>
            <w:r>
              <w:rPr>
                <w:rFonts w:ascii="Calibri" w:hAnsi="Calibri"/>
                <w:b/>
                <w:color w:val="F5A623"/>
                <w:sz w:val="24"/>
              </w:rPr>
              <w:t>⚖️ Ethical Framework (BMA Guidelines)</w:t>
            </w:r>
          </w:p>
          <w:p w14:paraId="3147E201" w14:textId="77777777" w:rsidR="003357DD" w:rsidRDefault="00000000">
            <w:pPr>
              <w:spacing w:before="20" w:after="40"/>
            </w:pPr>
            <w:r>
              <w:rPr>
                <w:rFonts w:ascii="Calibri" w:hAnsi="Calibri"/>
                <w:sz w:val="21"/>
              </w:rPr>
              <w:t>Autonomy and consent: The genetic information 'belongs' to the nine-month-old baby. Consent is required before any test is carried out.</w:t>
            </w:r>
          </w:p>
          <w:p w14:paraId="2DB5FE8E" w14:textId="77777777" w:rsidR="003357DD" w:rsidRDefault="00000000">
            <w:pPr>
              <w:spacing w:before="20" w:after="40"/>
            </w:pPr>
            <w:r>
              <w:rPr>
                <w:rFonts w:ascii="Calibri" w:hAnsi="Calibri"/>
                <w:sz w:val="21"/>
              </w:rPr>
              <w:t>A child cannot consent. A test requires a compelling reason that it is in the child's BEST INTERESTS before the age of consent.</w:t>
            </w:r>
          </w:p>
          <w:p w14:paraId="39F35E49" w14:textId="77777777" w:rsidR="003357DD" w:rsidRDefault="00000000">
            <w:pPr>
              <w:spacing w:before="20" w:after="40"/>
            </w:pPr>
            <w:r>
              <w:rPr>
                <w:rFonts w:ascii="Calibri" w:hAnsi="Calibri"/>
                <w:sz w:val="21"/>
              </w:rPr>
              <w:t>If paternity matters for genetic or medical reasons (e.g., risk of an inherited condition) → referral to Regional Genetics Service is more appropriate.</w:t>
            </w:r>
          </w:p>
          <w:p w14:paraId="4874E20C" w14:textId="77777777" w:rsidR="003357DD" w:rsidRDefault="00000000">
            <w:pPr>
              <w:spacing w:before="20" w:after="40"/>
            </w:pPr>
            <w:r>
              <w:rPr>
                <w:rFonts w:ascii="Calibri" w:hAnsi="Calibri"/>
                <w:sz w:val="21"/>
              </w:rPr>
              <w:t>Psychosocial implications MUST be discussed with both parents: results can be distressing, lifelong, and affect family relationships.</w:t>
            </w:r>
          </w:p>
          <w:p w14:paraId="4710C3CB" w14:textId="77777777" w:rsidR="003357DD" w:rsidRDefault="00000000">
            <w:pPr>
              <w:spacing w:before="20" w:after="40"/>
            </w:pPr>
            <w:r>
              <w:rPr>
                <w:rFonts w:ascii="Calibri" w:hAnsi="Calibri"/>
                <w:sz w:val="21"/>
              </w:rPr>
              <w:t>Confidentiality: who will be told the result?</w:t>
            </w:r>
          </w:p>
        </w:tc>
      </w:tr>
    </w:tbl>
    <w:p w14:paraId="1221F6AC" w14:textId="77777777" w:rsidR="003357DD" w:rsidRDefault="003357DD"/>
    <w:tbl>
      <w:tblPr>
        <w:tblW w:w="0" w:type="auto"/>
        <w:tblLook w:val="04A0" w:firstRow="1" w:lastRow="0" w:firstColumn="1" w:lastColumn="0" w:noHBand="0" w:noVBand="1"/>
      </w:tblPr>
      <w:tblGrid>
        <w:gridCol w:w="9360"/>
      </w:tblGrid>
      <w:tr w:rsidR="003357DD" w14:paraId="5011CC66" w14:textId="77777777">
        <w:tc>
          <w:tcPr>
            <w:tcW w:w="9360" w:type="dxa"/>
            <w:shd w:val="clear" w:color="auto" w:fill="FDEDEC"/>
          </w:tcPr>
          <w:p w14:paraId="3C00DE54" w14:textId="77777777" w:rsidR="003357DD" w:rsidRDefault="003357DD"/>
          <w:p w14:paraId="085E1F0D" w14:textId="77777777" w:rsidR="003357DD" w:rsidRDefault="00000000">
            <w:pPr>
              <w:spacing w:before="80" w:after="40"/>
            </w:pPr>
            <w:r>
              <w:rPr>
                <w:rFonts w:ascii="Calibri" w:hAnsi="Calibri"/>
                <w:b/>
                <w:color w:val="C0392B"/>
                <w:sz w:val="24"/>
              </w:rPr>
              <w:t>⚖️ Legal Framework</w:t>
            </w:r>
          </w:p>
          <w:p w14:paraId="1DD9E3BB" w14:textId="77777777" w:rsidR="003357DD" w:rsidRDefault="00000000">
            <w:pPr>
              <w:spacing w:before="20" w:after="40"/>
            </w:pPr>
            <w:r>
              <w:rPr>
                <w:rFonts w:ascii="Calibri" w:hAnsi="Calibri"/>
                <w:sz w:val="21"/>
              </w:rPr>
              <w:t>Taking a DNA sample without adequate consent is considered 'stealing DNA' — a criminal offence in the UK.</w:t>
            </w:r>
          </w:p>
          <w:p w14:paraId="4B0244A4" w14:textId="77777777" w:rsidR="003357DD" w:rsidRDefault="00000000">
            <w:pPr>
              <w:spacing w:before="20" w:after="40"/>
            </w:pPr>
            <w:r>
              <w:rPr>
                <w:rFonts w:ascii="Calibri" w:hAnsi="Calibri"/>
                <w:sz w:val="21"/>
              </w:rPr>
              <w:t>Both adults must consent. If one refuses, courts may be asked for direction.</w:t>
            </w:r>
          </w:p>
          <w:p w14:paraId="31101AE6" w14:textId="77777777" w:rsidR="003357DD" w:rsidRDefault="00000000">
            <w:pPr>
              <w:spacing w:before="20" w:after="40"/>
            </w:pPr>
            <w:r>
              <w:rPr>
                <w:rFonts w:ascii="Calibri" w:hAnsi="Calibri"/>
                <w:sz w:val="21"/>
              </w:rPr>
              <w:t>The courts' view: usually that it is in the child's best interests to know the truth.</w:t>
            </w:r>
          </w:p>
          <w:p w14:paraId="51E4C2CB" w14:textId="77777777" w:rsidR="003357DD" w:rsidRDefault="00000000">
            <w:pPr>
              <w:spacing w:before="20" w:after="40"/>
            </w:pPr>
            <w:r>
              <w:rPr>
                <w:rFonts w:ascii="Calibri" w:hAnsi="Calibri"/>
                <w:sz w:val="21"/>
              </w:rPr>
              <w:t>Practical note: This service is NOT available on the NHS. The BMA guidelines include guidance on how to find an approved service provider (Department of Health protocol applies).</w:t>
            </w:r>
          </w:p>
        </w:tc>
      </w:tr>
    </w:tbl>
    <w:p w14:paraId="55DB390C" w14:textId="77777777" w:rsidR="003357DD" w:rsidRDefault="003357DD"/>
    <w:p w14:paraId="562872F3" w14:textId="77777777" w:rsidR="003357DD" w:rsidRDefault="00000000">
      <w:pPr>
        <w:spacing w:before="200" w:after="80"/>
      </w:pPr>
      <w:r>
        <w:rPr>
          <w:rFonts w:ascii="Calibri" w:hAnsi="Calibri"/>
          <w:b/>
          <w:color w:val="E0651F"/>
          <w:sz w:val="34"/>
        </w:rPr>
        <w:t>Key Points — Genetics in Primary Care</w:t>
      </w:r>
    </w:p>
    <w:p w14:paraId="68CEBC33" w14:textId="77777777" w:rsidR="003357DD" w:rsidRDefault="00000000">
      <w:pPr>
        <w:spacing w:before="40" w:after="60"/>
      </w:pPr>
      <w:r>
        <w:rPr>
          <w:rFonts w:ascii="Calibri" w:hAnsi="Calibri"/>
        </w:rPr>
        <w:t>✔ 10% of GP consultations have a genetic component — most are multifactorial.</w:t>
      </w:r>
    </w:p>
    <w:p w14:paraId="5E16EE41" w14:textId="77777777" w:rsidR="003357DD" w:rsidRDefault="00000000">
      <w:pPr>
        <w:spacing w:before="40" w:after="60"/>
      </w:pPr>
      <w:r>
        <w:rPr>
          <w:rFonts w:ascii="Calibri" w:hAnsi="Calibri"/>
        </w:rPr>
        <w:t>✔ Always assess maternal AND paternal sides of the family separately.</w:t>
      </w:r>
    </w:p>
    <w:p w14:paraId="30BF2BE0" w14:textId="77777777" w:rsidR="003357DD" w:rsidRDefault="00000000">
      <w:pPr>
        <w:spacing w:before="40" w:after="60"/>
      </w:pPr>
      <w:r>
        <w:rPr>
          <w:rFonts w:ascii="Calibri" w:hAnsi="Calibri"/>
        </w:rPr>
        <w:t>✔ Age at diagnosis is critical for cancer risk stratification — always ask.</w:t>
      </w:r>
    </w:p>
    <w:p w14:paraId="3102F84F" w14:textId="77777777" w:rsidR="003357DD" w:rsidRDefault="00000000">
      <w:pPr>
        <w:spacing w:before="40" w:after="60"/>
      </w:pPr>
      <w:r>
        <w:rPr>
          <w:rFonts w:ascii="Calibri" w:hAnsi="Calibri"/>
        </w:rPr>
        <w:t>✔ Carriers of autosomal recessive conditions are healthy — do not conflate carrier status with disease.</w:t>
      </w:r>
    </w:p>
    <w:p w14:paraId="59FCB08F" w14:textId="77777777" w:rsidR="003357DD" w:rsidRDefault="00000000">
      <w:pPr>
        <w:spacing w:before="40" w:after="60"/>
      </w:pPr>
      <w:r>
        <w:rPr>
          <w:rFonts w:ascii="Calibri" w:hAnsi="Calibri"/>
        </w:rPr>
        <w:t>✔ Offer haemoglobinopathy screening before 10 weeks of pregnancy — earlier means more options.</w:t>
      </w:r>
    </w:p>
    <w:p w14:paraId="4E0E5130" w14:textId="77777777" w:rsidR="003357DD" w:rsidRDefault="00000000">
      <w:pPr>
        <w:spacing w:before="40" w:after="60"/>
      </w:pPr>
      <w:r>
        <w:rPr>
          <w:rFonts w:ascii="Calibri" w:hAnsi="Calibri"/>
        </w:rPr>
        <w:t>✔ FH: Think of it in any patient with TC &gt;7.5 mmol/L or premature CVD in a close relative.</w:t>
      </w:r>
    </w:p>
    <w:p w14:paraId="164D8637" w14:textId="77777777" w:rsidR="003357DD" w:rsidRDefault="00000000">
      <w:pPr>
        <w:spacing w:before="40" w:after="60"/>
      </w:pPr>
      <w:r>
        <w:rPr>
          <w:rFonts w:ascii="Calibri" w:hAnsi="Calibri"/>
        </w:rPr>
        <w:t>✔ HH: TATT + raised ferritin in a young man → check fasting transferrin saturation.</w:t>
      </w:r>
    </w:p>
    <w:p w14:paraId="3722B569" w14:textId="77777777" w:rsidR="003357DD" w:rsidRDefault="00000000">
      <w:pPr>
        <w:spacing w:before="40" w:after="60"/>
      </w:pPr>
      <w:r>
        <w:rPr>
          <w:rFonts w:ascii="Calibri" w:hAnsi="Calibri"/>
        </w:rPr>
        <w:t>✔ DTC genetic tests: apply NHS criteria; do not fast-track referrals based on commercial results.</w:t>
      </w:r>
    </w:p>
    <w:p w14:paraId="49965748" w14:textId="77777777" w:rsidR="003357DD" w:rsidRDefault="00000000">
      <w:pPr>
        <w:spacing w:before="40" w:after="60"/>
      </w:pPr>
      <w:r>
        <w:rPr>
          <w:rFonts w:ascii="Calibri" w:hAnsi="Calibri"/>
        </w:rPr>
        <w:t>✔ Genetic counselling is non-directive — your role is to give information, not to direct decisions.</w:t>
      </w:r>
    </w:p>
    <w:p w14:paraId="279F52B4" w14:textId="77777777" w:rsidR="003357DD" w:rsidRDefault="00000000">
      <w:pPr>
        <w:spacing w:before="40" w:after="60"/>
      </w:pPr>
      <w:r>
        <w:rPr>
          <w:rFonts w:ascii="Calibri" w:hAnsi="Calibri"/>
        </w:rPr>
        <w:t>✔ Cultural competence matters — be aware of consanguinity, language barriers, and cultural beliefs.</w:t>
      </w:r>
    </w:p>
    <w:p w14:paraId="26348C4C" w14:textId="77777777" w:rsidR="003357DD" w:rsidRDefault="003357DD"/>
    <w:tbl>
      <w:tblPr>
        <w:tblW w:w="0" w:type="auto"/>
        <w:tblLook w:val="04A0" w:firstRow="1" w:lastRow="0" w:firstColumn="1" w:lastColumn="0" w:noHBand="0" w:noVBand="1"/>
      </w:tblPr>
      <w:tblGrid>
        <w:gridCol w:w="9360"/>
      </w:tblGrid>
      <w:tr w:rsidR="003357DD" w14:paraId="320BB01A" w14:textId="77777777">
        <w:tc>
          <w:tcPr>
            <w:tcW w:w="9360" w:type="dxa"/>
            <w:shd w:val="clear" w:color="auto" w:fill="F5F5F5"/>
          </w:tcPr>
          <w:p w14:paraId="48F70F55" w14:textId="77777777" w:rsidR="003357DD" w:rsidRDefault="003357DD"/>
          <w:p w14:paraId="491413E8" w14:textId="77777777" w:rsidR="003357DD" w:rsidRDefault="00000000">
            <w:pPr>
              <w:spacing w:before="80" w:after="40"/>
            </w:pPr>
            <w:r>
              <w:rPr>
                <w:rFonts w:ascii="Calibri" w:hAnsi="Calibri"/>
                <w:b/>
                <w:color w:val="1A2E4A"/>
                <w:sz w:val="24"/>
              </w:rPr>
              <w:t>⚠ Disclaimer</w:t>
            </w:r>
          </w:p>
          <w:p w14:paraId="224C97EE" w14:textId="77777777" w:rsidR="003357DD" w:rsidRDefault="00000000">
            <w:pPr>
              <w:spacing w:before="20" w:after="40"/>
            </w:pPr>
            <w:r>
              <w:rPr>
                <w:rFonts w:ascii="Calibri" w:hAnsi="Calibri"/>
                <w:sz w:val="21"/>
              </w:rPr>
              <w:t>Always double check this advice and drug doses with the latest NICE/BNF guidance.</w:t>
            </w:r>
          </w:p>
          <w:p w14:paraId="6F6D4778" w14:textId="77777777" w:rsidR="003357DD" w:rsidRDefault="00000000">
            <w:pPr>
              <w:spacing w:before="20" w:after="40"/>
            </w:pPr>
            <w:r>
              <w:rPr>
                <w:rFonts w:ascii="Calibri" w:hAnsi="Calibri"/>
                <w:sz w:val="21"/>
              </w:rPr>
              <w:t>This document is for educational purposes only.</w:t>
            </w:r>
          </w:p>
          <w:p w14:paraId="4E5BC7C5" w14:textId="77777777" w:rsidR="003357DD" w:rsidRDefault="00000000">
            <w:pPr>
              <w:spacing w:before="20" w:after="40"/>
            </w:pPr>
            <w:r>
              <w:rPr>
                <w:rFonts w:ascii="Calibri" w:hAnsi="Calibri"/>
                <w:sz w:val="21"/>
              </w:rPr>
              <w:t>Clinical information updated May 2026 to reflect NICE CG164 (reviewed July 2024), NICE NG241 (March 2024), and NHS Sickle Cell and Thalassaemia Screening Programme guidance (2024).</w:t>
            </w:r>
          </w:p>
        </w:tc>
      </w:tr>
    </w:tbl>
    <w:p w14:paraId="056F9FA1" w14:textId="77777777" w:rsidR="003357DD" w:rsidRDefault="003357DD"/>
    <w:sectPr w:rsidR="003357DD" w:rsidSect="00034616">
      <w:footerReference w:type="default" r:id="rId8"/>
      <w:pgSz w:w="11909" w:h="16834"/>
      <w:pgMar w:top="1152" w:right="1296" w:bottom="1152"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5BF9E" w14:textId="77777777" w:rsidR="006076CC" w:rsidRDefault="006076CC">
      <w:pPr>
        <w:spacing w:after="0" w:line="240" w:lineRule="auto"/>
      </w:pPr>
      <w:r>
        <w:separator/>
      </w:r>
    </w:p>
  </w:endnote>
  <w:endnote w:type="continuationSeparator" w:id="0">
    <w:p w14:paraId="6783001B" w14:textId="77777777" w:rsidR="006076CC" w:rsidRDefault="006076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DF810" w14:textId="77777777" w:rsidR="003357DD" w:rsidRDefault="00000000">
    <w:pPr>
      <w:pStyle w:val="Footer"/>
      <w:jc w:val="center"/>
    </w:pPr>
    <w:r>
      <w:rPr>
        <w:rFonts w:ascii="Calibri" w:hAnsi="Calibri"/>
        <w:color w:val="808080"/>
        <w:sz w:val="16"/>
      </w:rPr>
      <w:t>A free resource provided by www.bradfordvts.co.uk, Dr Ramesh Mehay, original date unknown,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F40AB" w14:textId="77777777" w:rsidR="006076CC" w:rsidRDefault="006076CC">
      <w:pPr>
        <w:spacing w:after="0" w:line="240" w:lineRule="auto"/>
      </w:pPr>
      <w:r>
        <w:separator/>
      </w:r>
    </w:p>
  </w:footnote>
  <w:footnote w:type="continuationSeparator" w:id="0">
    <w:p w14:paraId="21076CD6" w14:textId="77777777" w:rsidR="006076CC" w:rsidRDefault="006076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41203757">
    <w:abstractNumId w:val="8"/>
  </w:num>
  <w:num w:numId="2" w16cid:durableId="1211845960">
    <w:abstractNumId w:val="6"/>
  </w:num>
  <w:num w:numId="3" w16cid:durableId="1197810426">
    <w:abstractNumId w:val="5"/>
  </w:num>
  <w:num w:numId="4" w16cid:durableId="2016573640">
    <w:abstractNumId w:val="4"/>
  </w:num>
  <w:num w:numId="5" w16cid:durableId="2030987104">
    <w:abstractNumId w:val="7"/>
  </w:num>
  <w:num w:numId="6" w16cid:durableId="1223977420">
    <w:abstractNumId w:val="3"/>
  </w:num>
  <w:num w:numId="7" w16cid:durableId="1704478697">
    <w:abstractNumId w:val="2"/>
  </w:num>
  <w:num w:numId="8" w16cid:durableId="1857843277">
    <w:abstractNumId w:val="1"/>
  </w:num>
  <w:num w:numId="9" w16cid:durableId="1083917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76719"/>
    <w:rsid w:val="0029639D"/>
    <w:rsid w:val="00326F90"/>
    <w:rsid w:val="003357DD"/>
    <w:rsid w:val="006076CC"/>
    <w:rsid w:val="00AA1D8D"/>
    <w:rsid w:val="00B47730"/>
    <w:rsid w:val="00B7311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43A92A"/>
  <w14:defaultImageDpi w14:val="300"/>
  <w15:docId w15:val="{36EEBE52-A2CA-4E37-BF17-5C19B3A52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2730</Words>
  <Characters>15237</Characters>
  <Application>Microsoft Office Word</Application>
  <DocSecurity>0</DocSecurity>
  <Lines>346</Lines>
  <Paragraphs>264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17703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2026-05-15T19:37:00Z</dcterms:modified>
  <cp:category/>
</cp:coreProperties>
</file>