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2E2BF" w14:textId="77777777" w:rsidR="00E54164" w:rsidRPr="008467D2" w:rsidRDefault="00F14EF9" w:rsidP="008467D2">
      <w:pPr>
        <w:jc w:val="center"/>
        <w:rPr>
          <w:rFonts w:ascii="Arial" w:hAnsi="Arial" w:cs="Arial"/>
          <w:b/>
          <w:color w:val="0070C0"/>
          <w:sz w:val="24"/>
          <w:szCs w:val="24"/>
        </w:rPr>
      </w:pPr>
      <w:r w:rsidRPr="008467D2">
        <w:rPr>
          <w:rFonts w:ascii="Arial" w:hAnsi="Arial" w:cs="Arial"/>
          <w:b/>
          <w:color w:val="0070C0"/>
          <w:sz w:val="24"/>
          <w:szCs w:val="24"/>
        </w:rPr>
        <w:t>Interpreting Urine results</w:t>
      </w:r>
    </w:p>
    <w:p w14:paraId="12416E4A" w14:textId="77777777" w:rsidR="00F14EF9" w:rsidRDefault="00F14EF9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commonest sample submitted to the Microbiology Laboratory is the “MSU” or Mid-Stream Urine.  The results, while usually straightforward can sometimes be difficult to interpret, particularly since the introduction of automated analysis.</w:t>
      </w:r>
    </w:p>
    <w:p w14:paraId="7330C97F" w14:textId="77777777" w:rsidR="00F14EF9" w:rsidRDefault="00F14EF9" w:rsidP="008467D2">
      <w:pPr>
        <w:jc w:val="both"/>
        <w:rPr>
          <w:rFonts w:ascii="Arial" w:hAnsi="Arial" w:cs="Arial"/>
          <w:sz w:val="24"/>
          <w:szCs w:val="24"/>
        </w:rPr>
      </w:pPr>
      <w:r>
        <w:t xml:space="preserve">1.  </w:t>
      </w: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</w:r>
      <w:r w:rsidRPr="00EB3184">
        <w:rPr>
          <w:rFonts w:ascii="Arial" w:hAnsi="Arial" w:cs="Arial"/>
          <w:b/>
          <w:sz w:val="24"/>
          <w:szCs w:val="24"/>
        </w:rPr>
        <w:t>White Cell numbers</w:t>
      </w:r>
      <w:r>
        <w:rPr>
          <w:rFonts w:ascii="Arial" w:hAnsi="Arial" w:cs="Arial"/>
          <w:sz w:val="24"/>
          <w:szCs w:val="24"/>
        </w:rPr>
        <w:t>.  These are counted in numbers/microliter or /µL.  There is no “normal” level of white cells in the urine. The more that there are, the more likely the patient is to have inflammation – mostly related to infection.  The number will vary from sample to sample, as the concentration of urine varies and has no particular sign</w:t>
      </w:r>
      <w:r w:rsidR="007116EF">
        <w:rPr>
          <w:rFonts w:ascii="Arial" w:hAnsi="Arial" w:cs="Arial"/>
          <w:sz w:val="24"/>
          <w:szCs w:val="24"/>
        </w:rPr>
        <w:t xml:space="preserve">ificance.  Generally speaking, </w:t>
      </w:r>
      <w:r>
        <w:rPr>
          <w:rFonts w:ascii="Arial" w:hAnsi="Arial" w:cs="Arial"/>
          <w:sz w:val="24"/>
          <w:szCs w:val="24"/>
        </w:rPr>
        <w:t>if there are &lt;50/µL, then that should be regarded as “within normal limits”.</w:t>
      </w:r>
    </w:p>
    <w:p w14:paraId="31AF0B51" w14:textId="77777777" w:rsidR="00F14EF9" w:rsidRDefault="00F14EF9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ab/>
      </w:r>
      <w:r w:rsidRPr="00EB3184">
        <w:rPr>
          <w:rFonts w:ascii="Arial" w:hAnsi="Arial" w:cs="Arial"/>
          <w:b/>
          <w:sz w:val="24"/>
          <w:szCs w:val="24"/>
        </w:rPr>
        <w:t>Red cell numbers</w:t>
      </w:r>
      <w:r>
        <w:rPr>
          <w:rFonts w:ascii="Arial" w:hAnsi="Arial" w:cs="Arial"/>
          <w:sz w:val="24"/>
          <w:szCs w:val="24"/>
        </w:rPr>
        <w:t>.  This can be used as a marker of haematuria, but can give false negative results, due to the lysis of cells.</w:t>
      </w:r>
    </w:p>
    <w:p w14:paraId="2351F7C5" w14:textId="77777777" w:rsidR="00F14EF9" w:rsidRDefault="00F14EF9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ab/>
      </w:r>
      <w:r w:rsidRPr="00EB3184">
        <w:rPr>
          <w:rFonts w:ascii="Arial" w:hAnsi="Arial" w:cs="Arial"/>
          <w:b/>
          <w:sz w:val="24"/>
          <w:szCs w:val="24"/>
        </w:rPr>
        <w:t>Epithelial cells</w:t>
      </w:r>
      <w:r>
        <w:rPr>
          <w:rFonts w:ascii="Arial" w:hAnsi="Arial" w:cs="Arial"/>
          <w:sz w:val="24"/>
          <w:szCs w:val="24"/>
        </w:rPr>
        <w:t xml:space="preserve">. </w:t>
      </w:r>
      <w:r w:rsidR="00AB5E84">
        <w:rPr>
          <w:rFonts w:ascii="Arial" w:hAnsi="Arial" w:cs="Arial"/>
          <w:sz w:val="24"/>
          <w:szCs w:val="24"/>
        </w:rPr>
        <w:t>These indicate potential contamination, for example, by vaginal material.  They do not have any clinical relevance.</w:t>
      </w:r>
    </w:p>
    <w:p w14:paraId="1A9B1623" w14:textId="77777777" w:rsidR="00AB5E84" w:rsidRDefault="00AB5E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ab/>
      </w:r>
      <w:r w:rsidRPr="00EB3184">
        <w:rPr>
          <w:rFonts w:ascii="Arial" w:hAnsi="Arial" w:cs="Arial"/>
          <w:b/>
          <w:sz w:val="24"/>
          <w:szCs w:val="24"/>
        </w:rPr>
        <w:t>Organism numbers</w:t>
      </w:r>
      <w:r>
        <w:rPr>
          <w:rFonts w:ascii="Arial" w:hAnsi="Arial" w:cs="Arial"/>
          <w:sz w:val="24"/>
          <w:szCs w:val="24"/>
        </w:rPr>
        <w:t>.  &gt;100,000 organisms/mL is taken as urinary tract infection.  There are circumstances where smaller numbers are isolated and there may be a significant infection (see below).</w:t>
      </w:r>
    </w:p>
    <w:p w14:paraId="4AAD00D3" w14:textId="77777777" w:rsidR="00AB5E84" w:rsidRPr="00EB3184" w:rsidRDefault="00EB3184" w:rsidP="008467D2">
      <w:pPr>
        <w:jc w:val="both"/>
        <w:rPr>
          <w:rFonts w:ascii="Arial" w:hAnsi="Arial" w:cs="Arial"/>
          <w:b/>
          <w:sz w:val="24"/>
          <w:szCs w:val="24"/>
        </w:rPr>
      </w:pPr>
      <w:r w:rsidRPr="00EB3184">
        <w:rPr>
          <w:rFonts w:ascii="Arial" w:hAnsi="Arial" w:cs="Arial"/>
          <w:b/>
          <w:sz w:val="24"/>
          <w:szCs w:val="24"/>
        </w:rPr>
        <w:t>Interpretation</w:t>
      </w:r>
    </w:p>
    <w:p w14:paraId="6A057CC3" w14:textId="77777777" w:rsidR="00AB5E84" w:rsidRDefault="00AB5E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ab/>
        <w:t xml:space="preserve">Asymptomatic bacteriuria (ASB) can be present and becomes increasingly common in the elderly.  Use of antibiotics will be largely unsuccessful. </w:t>
      </w:r>
      <w:r w:rsidR="00444D5F">
        <w:rPr>
          <w:rFonts w:ascii="Arial" w:hAnsi="Arial" w:cs="Arial"/>
          <w:sz w:val="24"/>
          <w:szCs w:val="24"/>
        </w:rPr>
        <w:t>Around 75% of patients in Nursing Homes may have ASB.  Only submit samples from patients with dysuria or frequency.  Dipstick testing for Nitrates and leucocyte esterase has no value in the elderly.</w:t>
      </w:r>
    </w:p>
    <w:p w14:paraId="6F902412" w14:textId="77777777" w:rsidR="00444D5F" w:rsidRDefault="00444D5F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b. </w:t>
      </w:r>
      <w:r>
        <w:rPr>
          <w:rFonts w:ascii="Arial" w:hAnsi="Arial" w:cs="Arial"/>
          <w:sz w:val="24"/>
          <w:szCs w:val="24"/>
        </w:rPr>
        <w:tab/>
        <w:t xml:space="preserve">Catheter specimens.  These usually grow bacteria.  Only send samples if the patient is septic.  </w:t>
      </w:r>
    </w:p>
    <w:p w14:paraId="07C4C193" w14:textId="77777777" w:rsidR="00444D5F" w:rsidRDefault="00444D5F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ab/>
        <w:t>Young women may have infections with lower numbers of organisms (perhaps as few as 100/</w:t>
      </w:r>
      <w:r w:rsidR="00EB3184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L in some cases).  Enterococci in this group are often contaminants.</w:t>
      </w:r>
    </w:p>
    <w:p w14:paraId="2242E1C5" w14:textId="77777777" w:rsidR="00EB3184" w:rsidRDefault="00EB31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ab/>
        <w:t>Middle-aged to elderly men may have infection linked to prostatic disease, which grows fewer organisms 10,000/</w:t>
      </w:r>
      <w:proofErr w:type="spellStart"/>
      <w:r>
        <w:rPr>
          <w:rFonts w:ascii="Arial" w:hAnsi="Arial" w:cs="Arial"/>
          <w:sz w:val="24"/>
          <w:szCs w:val="24"/>
        </w:rPr>
        <w:t>mL.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7ADC1356" w14:textId="77777777" w:rsidR="00EB3184" w:rsidRDefault="00EB31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e.</w:t>
      </w:r>
      <w:r>
        <w:rPr>
          <w:rFonts w:ascii="Arial" w:hAnsi="Arial" w:cs="Arial"/>
          <w:sz w:val="24"/>
          <w:szCs w:val="24"/>
        </w:rPr>
        <w:tab/>
        <w:t>Chlamydia infection should be considered in patients, particularly those &lt;25 years of age.</w:t>
      </w:r>
    </w:p>
    <w:p w14:paraId="67DEC319" w14:textId="77777777" w:rsidR="00EB3184" w:rsidRDefault="00EB31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f.</w:t>
      </w:r>
      <w:r>
        <w:rPr>
          <w:rFonts w:ascii="Arial" w:hAnsi="Arial" w:cs="Arial"/>
          <w:sz w:val="24"/>
          <w:szCs w:val="24"/>
        </w:rPr>
        <w:tab/>
        <w:t>Sterile pyuria has many causes, which includes TB and sexually transmitted infection.  The commonest is cause is the presence of antibiotics.</w:t>
      </w:r>
    </w:p>
    <w:p w14:paraId="67EF95D5" w14:textId="77777777" w:rsidR="00EB3184" w:rsidRDefault="00EB31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g.</w:t>
      </w:r>
      <w:r>
        <w:rPr>
          <w:rFonts w:ascii="Arial" w:hAnsi="Arial" w:cs="Arial"/>
          <w:sz w:val="24"/>
          <w:szCs w:val="24"/>
        </w:rPr>
        <w:tab/>
        <w:t>Pregnancy.  ASB can occur in pregnancy with potential effects on renal function.  If a positive result is obtained in pregnancy, when there are no symptoms, then a repeat should be sent to confirm the result, before antibiotic therapy is started.</w:t>
      </w:r>
    </w:p>
    <w:p w14:paraId="6D5400F7" w14:textId="77777777" w:rsidR="00EB3184" w:rsidRPr="00D116A4" w:rsidRDefault="00EB3184" w:rsidP="008467D2">
      <w:pPr>
        <w:jc w:val="both"/>
        <w:rPr>
          <w:rFonts w:ascii="Arial" w:hAnsi="Arial" w:cs="Arial"/>
          <w:b/>
          <w:sz w:val="24"/>
          <w:szCs w:val="24"/>
        </w:rPr>
      </w:pPr>
      <w:r w:rsidRPr="00D116A4">
        <w:rPr>
          <w:rFonts w:ascii="Arial" w:hAnsi="Arial" w:cs="Arial"/>
          <w:b/>
          <w:sz w:val="24"/>
          <w:szCs w:val="24"/>
        </w:rPr>
        <w:t>Antibiotics</w:t>
      </w:r>
    </w:p>
    <w:p w14:paraId="4AB5F5D9" w14:textId="77777777" w:rsidR="00EB3184" w:rsidRDefault="00EB3184" w:rsidP="008467D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antibiotics quoted have been agreed with the CCGs.  The Microbiologist reporting the result attempts to make it useful and adds comments to aid interpretation.  </w:t>
      </w:r>
      <w:r w:rsidR="00D116A4">
        <w:rPr>
          <w:rFonts w:ascii="Arial" w:hAnsi="Arial" w:cs="Arial"/>
          <w:sz w:val="24"/>
          <w:szCs w:val="24"/>
        </w:rPr>
        <w:t xml:space="preserve">Renal function may limit the use of some agents (Nitrofurantoin and </w:t>
      </w:r>
      <w:proofErr w:type="spellStart"/>
      <w:r w:rsidR="00D116A4">
        <w:rPr>
          <w:rFonts w:ascii="Arial" w:hAnsi="Arial" w:cs="Arial"/>
          <w:sz w:val="24"/>
          <w:szCs w:val="24"/>
        </w:rPr>
        <w:t>Pivmecilinam</w:t>
      </w:r>
      <w:proofErr w:type="spellEnd"/>
      <w:r w:rsidR="00D116A4">
        <w:rPr>
          <w:rFonts w:ascii="Arial" w:hAnsi="Arial" w:cs="Arial"/>
          <w:sz w:val="24"/>
          <w:szCs w:val="24"/>
        </w:rPr>
        <w:t xml:space="preserve"> in particular), so beware of this particularly in the elderly.  Agents suggested attempt to minimise the risk of resistance development and of </w:t>
      </w:r>
      <w:r w:rsidR="00D116A4" w:rsidRPr="00D116A4">
        <w:rPr>
          <w:rFonts w:ascii="Arial" w:hAnsi="Arial" w:cs="Arial"/>
          <w:i/>
          <w:sz w:val="24"/>
          <w:szCs w:val="24"/>
        </w:rPr>
        <w:t>C. difficile</w:t>
      </w:r>
      <w:r w:rsidR="00D116A4">
        <w:rPr>
          <w:rFonts w:ascii="Arial" w:hAnsi="Arial" w:cs="Arial"/>
          <w:sz w:val="24"/>
          <w:szCs w:val="24"/>
        </w:rPr>
        <w:t>.  If the patient has particular problems such as allergy, please add this to the clinical details.</w:t>
      </w:r>
    </w:p>
    <w:p w14:paraId="44B35B78" w14:textId="77777777" w:rsidR="008467D2" w:rsidRDefault="008467D2" w:rsidP="008467D2">
      <w:pPr>
        <w:jc w:val="both"/>
        <w:rPr>
          <w:rFonts w:ascii="Arial" w:hAnsi="Arial" w:cs="Arial"/>
          <w:i/>
          <w:iCs/>
          <w:sz w:val="24"/>
          <w:szCs w:val="24"/>
        </w:rPr>
      </w:pPr>
    </w:p>
    <w:p w14:paraId="41A551E2" w14:textId="4AF218EF" w:rsidR="00EB3184" w:rsidRPr="008467D2" w:rsidRDefault="00EB3184" w:rsidP="008467D2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8467D2">
        <w:rPr>
          <w:rFonts w:ascii="Arial" w:hAnsi="Arial" w:cs="Arial"/>
          <w:i/>
          <w:iCs/>
          <w:sz w:val="24"/>
          <w:szCs w:val="24"/>
        </w:rPr>
        <w:t>Microbiology Department</w:t>
      </w:r>
      <w:r w:rsidR="0019035F" w:rsidRPr="008467D2">
        <w:rPr>
          <w:rFonts w:ascii="Arial" w:hAnsi="Arial" w:cs="Arial"/>
          <w:i/>
          <w:iCs/>
          <w:sz w:val="24"/>
          <w:szCs w:val="24"/>
        </w:rPr>
        <w:t>, 2017, Bradford</w:t>
      </w:r>
    </w:p>
    <w:sectPr w:rsidR="00EB3184" w:rsidRPr="00846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362B7"/>
    <w:multiLevelType w:val="hybridMultilevel"/>
    <w:tmpl w:val="041E71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E640C"/>
    <w:multiLevelType w:val="hybridMultilevel"/>
    <w:tmpl w:val="D05021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1A12A9"/>
    <w:multiLevelType w:val="hybridMultilevel"/>
    <w:tmpl w:val="D37CBB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E1E65"/>
    <w:multiLevelType w:val="hybridMultilevel"/>
    <w:tmpl w:val="ED4AD5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AwNjc3MjQ0NTMF8pR0lIJTi4sz8/NACgxrAUw6OqcsAAAA"/>
  </w:docVars>
  <w:rsids>
    <w:rsidRoot w:val="00F14EF9"/>
    <w:rsid w:val="000C6FEB"/>
    <w:rsid w:val="0019035F"/>
    <w:rsid w:val="00444D5F"/>
    <w:rsid w:val="004D1880"/>
    <w:rsid w:val="007116EF"/>
    <w:rsid w:val="008467D2"/>
    <w:rsid w:val="00AB5E84"/>
    <w:rsid w:val="00D116A4"/>
    <w:rsid w:val="00EB3184"/>
    <w:rsid w:val="00F14EF9"/>
    <w:rsid w:val="00F7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68B09"/>
  <w15:docId w15:val="{9722233C-643F-4B6B-8D92-ECC70831A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E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Airedale NHS Foundation Trust</Company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Godwin</dc:creator>
  <cp:lastModifiedBy>Ramesh Mehay</cp:lastModifiedBy>
  <cp:revision>4</cp:revision>
  <cp:lastPrinted>2017-03-09T15:48:00Z</cp:lastPrinted>
  <dcterms:created xsi:type="dcterms:W3CDTF">2020-11-03T00:43:00Z</dcterms:created>
  <dcterms:modified xsi:type="dcterms:W3CDTF">2020-11-03T00:43:00Z</dcterms:modified>
</cp:coreProperties>
</file>