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06"/>
      </w:tblGrid>
      <w:tr w:rsidR="00AD4274" w14:paraId="4F3E0727" w14:textId="77777777">
        <w:tc>
          <w:tcPr>
            <w:tcW w:w="9406" w:type="dxa"/>
            <w:shd w:val="clear" w:color="auto" w:fill="E0651F"/>
          </w:tcPr>
          <w:p w14:paraId="3019221A" w14:textId="77777777" w:rsidR="00AD4274" w:rsidRDefault="00000000">
            <w:pPr>
              <w:spacing w:before="160" w:after="80"/>
              <w:jc w:val="center"/>
            </w:pPr>
            <w:r>
              <w:rPr>
                <w:rFonts w:eastAsia="Calibri" w:cs="Calibri"/>
                <w:b/>
                <w:color w:val="FFFFFF"/>
                <w:sz w:val="20"/>
              </w:rPr>
              <w:t>BRADFORD VTS TEACHING AIDS</w:t>
            </w:r>
          </w:p>
        </w:tc>
      </w:tr>
      <w:tr w:rsidR="00AD4274" w14:paraId="722832A6" w14:textId="77777777">
        <w:tc>
          <w:tcPr>
            <w:tcW w:w="9406" w:type="dxa"/>
            <w:shd w:val="clear" w:color="auto" w:fill="E0651F"/>
          </w:tcPr>
          <w:p w14:paraId="19A5367E" w14:textId="77777777" w:rsidR="00AD4274" w:rsidRDefault="00000000">
            <w:pPr>
              <w:spacing w:before="80" w:after="120"/>
              <w:jc w:val="center"/>
            </w:pPr>
            <w:r>
              <w:rPr>
                <w:rFonts w:eastAsia="Calibri" w:cs="Calibri"/>
                <w:b/>
                <w:color w:val="FFFFFF"/>
                <w:sz w:val="72"/>
              </w:rPr>
              <w:t>Men and Doctors</w:t>
            </w:r>
          </w:p>
        </w:tc>
      </w:tr>
      <w:tr w:rsidR="00AD4274" w14:paraId="2FC7BB26" w14:textId="77777777">
        <w:tc>
          <w:tcPr>
            <w:tcW w:w="9406" w:type="dxa"/>
            <w:shd w:val="clear" w:color="auto" w:fill="E0651F"/>
          </w:tcPr>
          <w:p w14:paraId="0B2BF0F6" w14:textId="77777777" w:rsidR="00AD4274" w:rsidRDefault="00000000">
            <w:pPr>
              <w:spacing w:before="80" w:after="200"/>
              <w:jc w:val="center"/>
            </w:pPr>
            <w:r>
              <w:rPr>
                <w:rFonts w:eastAsia="Calibri" w:cs="Calibri"/>
                <w:i/>
                <w:color w:val="FFE6C8"/>
                <w:sz w:val="24"/>
              </w:rPr>
              <w:t>Men's Health &amp; Help-Seeking Behaviour  ·  Bradford VTS  ·  May 2026</w:t>
            </w:r>
          </w:p>
        </w:tc>
      </w:tr>
    </w:tbl>
    <w:p w14:paraId="1C6379F9" w14:textId="77777777" w:rsidR="00AD4274" w:rsidRDefault="00AD4274"/>
    <w:p w14:paraId="2F4AFEC7" w14:textId="77777777" w:rsidR="00AD4274" w:rsidRDefault="00000000">
      <w:pPr>
        <w:spacing w:after="0"/>
        <w:jc w:val="center"/>
      </w:pPr>
      <w:r>
        <w:rPr>
          <w:noProof/>
        </w:rPr>
        <w:drawing>
          <wp:inline distT="0" distB="0" distL="0" distR="0" wp14:anchorId="5D1FCD15" wp14:editId="2BB7385F">
            <wp:extent cx="5062538" cy="2490788"/>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jpg"/>
                    <pic:cNvPicPr/>
                  </pic:nvPicPr>
                  <pic:blipFill rotWithShape="1">
                    <a:blip r:embed="rId8"/>
                    <a:srcRect r="-689" b="21697"/>
                    <a:stretch/>
                  </pic:blipFill>
                  <pic:spPr bwMode="auto">
                    <a:xfrm>
                      <a:off x="0" y="0"/>
                      <a:ext cx="5078221" cy="2498504"/>
                    </a:xfrm>
                    <a:prstGeom prst="rect">
                      <a:avLst/>
                    </a:prstGeom>
                    <a:ln>
                      <a:noFill/>
                    </a:ln>
                    <a:extLst>
                      <a:ext uri="{53640926-AAD7-44D8-BBD7-CCE9431645EC}">
                        <a14:shadowObscured xmlns:a14="http://schemas.microsoft.com/office/drawing/2010/main"/>
                      </a:ext>
                    </a:extLst>
                  </pic:spPr>
                </pic:pic>
              </a:graphicData>
            </a:graphic>
          </wp:inline>
        </w:drawing>
      </w:r>
    </w:p>
    <w:p w14:paraId="6B1CF068" w14:textId="77777777" w:rsidR="00AD4274" w:rsidRDefault="00000000">
      <w:pPr>
        <w:spacing w:before="40"/>
        <w:jc w:val="center"/>
      </w:pPr>
      <w:r>
        <w:rPr>
          <w:rFonts w:eastAsia="Calibri" w:cs="Calibri"/>
          <w:i/>
          <w:color w:val="646464"/>
          <w:sz w:val="18"/>
        </w:rPr>
        <w:t>A GP consultation — the gateway to better health for men.</w:t>
      </w:r>
    </w:p>
    <w:p w14:paraId="503FB6FF" w14:textId="77777777" w:rsidR="00AD4274" w:rsidRDefault="00000000">
      <w:pPr>
        <w:spacing w:before="240" w:after="80"/>
      </w:pPr>
      <w:r>
        <w:rPr>
          <w:rFonts w:eastAsia="Calibri" w:cs="Calibri"/>
          <w:b/>
          <w:color w:val="00467F"/>
          <w:sz w:val="36"/>
        </w:rPr>
        <w:t>1. Overview</w:t>
      </w:r>
    </w:p>
    <w:p w14:paraId="69163178" w14:textId="314C6C4F" w:rsidR="00AD4274" w:rsidRDefault="00000000">
      <w:pPr>
        <w:spacing w:before="40" w:after="120"/>
      </w:pPr>
      <w:r>
        <w:rPr>
          <w:rFonts w:eastAsia="Calibri" w:cs="Calibri"/>
        </w:rPr>
        <w:t>Men are significantly less likely than women to consult their GP or attend dental check-ups. This gender gap in health-seeking behaviour is well-established and has real consequences: men in England live, on average, nearly four years fewer than women, and healthy life expectancy for men has fallen by one and a half years over the last decade. In November 2025, the government published England's first-ever Men's Health Strategy — a landmark policy response to this crisis.</w:t>
      </w:r>
      <w:r w:rsidR="00927F10">
        <w:t xml:space="preserve"> </w:t>
      </w:r>
      <w:r>
        <w:rPr>
          <w:rFonts w:eastAsia="Calibri" w:cs="Calibri"/>
        </w:rPr>
        <w:t>For GP trainees, understanding why men delay or avoid seeking help is essential for delivering patient-centred care, passing the SCA, and practising proactively in the community.</w:t>
      </w:r>
    </w:p>
    <w:tbl>
      <w:tblPr>
        <w:tblStyle w:val="TableGrid"/>
        <w:tblW w:w="0" w:type="auto"/>
        <w:tblLook w:val="04A0" w:firstRow="1" w:lastRow="0" w:firstColumn="1" w:lastColumn="0" w:noHBand="0" w:noVBand="1"/>
      </w:tblPr>
      <w:tblGrid>
        <w:gridCol w:w="9406"/>
      </w:tblGrid>
      <w:tr w:rsidR="00AD4274" w14:paraId="003163D7" w14:textId="77777777">
        <w:tc>
          <w:tcPr>
            <w:tcW w:w="9406" w:type="dxa"/>
            <w:shd w:val="clear" w:color="auto" w:fill="1F5C99"/>
          </w:tcPr>
          <w:p w14:paraId="1374BADD" w14:textId="77777777" w:rsidR="00AD4274" w:rsidRDefault="00000000">
            <w:pPr>
              <w:spacing w:before="80" w:after="80"/>
            </w:pPr>
            <w:r>
              <w:rPr>
                <w:rFonts w:eastAsia="Calibri" w:cs="Calibri"/>
                <w:b/>
                <w:color w:val="FFFFFF"/>
              </w:rPr>
              <w:t>Key Facts — Men's Health in England (2025/2026)</w:t>
            </w:r>
          </w:p>
        </w:tc>
      </w:tr>
      <w:tr w:rsidR="00AD4274" w14:paraId="173C4568" w14:textId="77777777">
        <w:tc>
          <w:tcPr>
            <w:tcW w:w="9406" w:type="dxa"/>
            <w:shd w:val="clear" w:color="auto" w:fill="F9F9F9"/>
          </w:tcPr>
          <w:p w14:paraId="01CFE163" w14:textId="77777777" w:rsidR="00AD4274" w:rsidRDefault="00AD4274"/>
          <w:p w14:paraId="1F0641E0" w14:textId="77777777" w:rsidR="00AD4274" w:rsidRDefault="00000000">
            <w:pPr>
              <w:spacing w:before="40" w:after="40"/>
            </w:pPr>
            <w:r>
              <w:rPr>
                <w:rFonts w:eastAsia="Calibri" w:cs="Calibri"/>
                <w:color w:val="14143C"/>
                <w:sz w:val="21"/>
              </w:rPr>
              <w:t>Men live on average nearly 4 years fewer than women.</w:t>
            </w:r>
          </w:p>
          <w:p w14:paraId="4E19E4FC" w14:textId="77777777" w:rsidR="00AD4274" w:rsidRDefault="00000000">
            <w:pPr>
              <w:spacing w:before="40" w:after="40"/>
            </w:pPr>
            <w:r>
              <w:rPr>
                <w:rFonts w:eastAsia="Calibri" w:cs="Calibri"/>
                <w:color w:val="14143C"/>
                <w:sz w:val="21"/>
              </w:rPr>
              <w:t>Healthy life expectancy for men is just 61.5 years on average.</w:t>
            </w:r>
          </w:p>
          <w:p w14:paraId="52728175" w14:textId="77777777" w:rsidR="00AD4274" w:rsidRDefault="00000000">
            <w:pPr>
              <w:spacing w:before="40" w:after="40"/>
            </w:pPr>
            <w:r>
              <w:rPr>
                <w:rFonts w:eastAsia="Calibri" w:cs="Calibri"/>
                <w:color w:val="14143C"/>
                <w:sz w:val="21"/>
              </w:rPr>
              <w:t>Men spend over a fifth of their lives in poor health.</w:t>
            </w:r>
          </w:p>
          <w:p w14:paraId="0DDD48DD" w14:textId="77777777" w:rsidR="00AD4274" w:rsidRDefault="00000000">
            <w:pPr>
              <w:spacing w:before="40" w:after="40"/>
            </w:pPr>
            <w:r>
              <w:rPr>
                <w:rFonts w:eastAsia="Calibri" w:cs="Calibri"/>
                <w:color w:val="14143C"/>
                <w:sz w:val="21"/>
              </w:rPr>
              <w:t>36% of men died before their 75th birthday in 2024.</w:t>
            </w:r>
          </w:p>
          <w:p w14:paraId="7D40F436" w14:textId="77777777" w:rsidR="00AD4274" w:rsidRDefault="00000000">
            <w:pPr>
              <w:spacing w:before="40" w:after="40"/>
            </w:pPr>
            <w:r>
              <w:rPr>
                <w:rFonts w:eastAsia="Calibri" w:cs="Calibri"/>
                <w:color w:val="14143C"/>
                <w:sz w:val="21"/>
              </w:rPr>
              <w:t>In the most deprived areas, men die 10 years earlier than in the wealthiest areas.</w:t>
            </w:r>
          </w:p>
          <w:p w14:paraId="3FE5C915" w14:textId="77777777" w:rsidR="00AD4274" w:rsidRDefault="00000000">
            <w:pPr>
              <w:spacing w:before="40" w:after="40"/>
            </w:pPr>
            <w:r>
              <w:rPr>
                <w:rFonts w:eastAsia="Calibri" w:cs="Calibri"/>
                <w:color w:val="14143C"/>
                <w:sz w:val="21"/>
              </w:rPr>
              <w:t>Suicide remains the leading cause of death in men under 50.</w:t>
            </w:r>
          </w:p>
          <w:p w14:paraId="6D600211" w14:textId="77777777" w:rsidR="00AD4274" w:rsidRDefault="00000000">
            <w:pPr>
              <w:spacing w:before="40" w:after="40"/>
            </w:pPr>
            <w:r>
              <w:rPr>
                <w:rFonts w:eastAsia="Calibri" w:cs="Calibri"/>
                <w:color w:val="14143C"/>
                <w:sz w:val="21"/>
              </w:rPr>
              <w:t>54% of men did not seek medical help for a health concern in the last 3 years (DHSC, 2025).</w:t>
            </w:r>
          </w:p>
        </w:tc>
      </w:tr>
    </w:tbl>
    <w:p w14:paraId="7E3F6ABD" w14:textId="77777777" w:rsidR="00AD4274" w:rsidRDefault="00AD4274">
      <w:pPr>
        <w:spacing w:after="120"/>
      </w:pPr>
    </w:p>
    <w:p w14:paraId="61EECB32" w14:textId="77777777" w:rsidR="00AD4274" w:rsidRDefault="00000000">
      <w:pPr>
        <w:spacing w:before="240" w:after="80"/>
      </w:pPr>
      <w:r>
        <w:rPr>
          <w:rFonts w:eastAsia="Calibri" w:cs="Calibri"/>
          <w:b/>
          <w:color w:val="00467F"/>
          <w:sz w:val="36"/>
        </w:rPr>
        <w:lastRenderedPageBreak/>
        <w:t>2. GP Consultations: The Engagement Gap</w:t>
      </w:r>
    </w:p>
    <w:p w14:paraId="20F624CB" w14:textId="77777777" w:rsidR="00AD4274" w:rsidRDefault="00000000">
      <w:pPr>
        <w:spacing w:before="40" w:after="120"/>
      </w:pPr>
      <w:r>
        <w:rPr>
          <w:rFonts w:eastAsia="Calibri" w:cs="Calibri"/>
        </w:rPr>
        <w:t>The NHS England Men's Health Strategy (November 2025) confirms that men are consistently less likely to consult their GP than women, even when managing established chronic conditions such as cardiovascular disease. This is a structural and behavioural pattern, not simply a matter of men being healthier.</w:t>
      </w:r>
    </w:p>
    <w:p w14:paraId="1DEE3B3E" w14:textId="77777777" w:rsidR="00AD4274" w:rsidRDefault="00000000">
      <w:pPr>
        <w:spacing w:before="40" w:after="120"/>
      </w:pPr>
      <w:r>
        <w:rPr>
          <w:rFonts w:eastAsia="Calibri" w:cs="Calibri"/>
        </w:rPr>
        <w:t>Women have more 'opportunistic' contact points with primary care — through contraception, pregnancy, and maternity services — which naturally increases their frequency of GP contact. Men, by contrast, often avoid contact until symptoms become severe or a crisis occurs.</w:t>
      </w:r>
    </w:p>
    <w:p w14:paraId="5763758A" w14:textId="77777777" w:rsidR="00AD4274" w:rsidRDefault="00000000">
      <w:pPr>
        <w:spacing w:before="40" w:after="120"/>
      </w:pPr>
      <w:r>
        <w:rPr>
          <w:rFonts w:eastAsia="Calibri" w:cs="Calibri"/>
        </w:rPr>
        <w:t>Concerningly, men who die by suicide are more likely to have been in contact with primary care in the three months prior to death (43%), yet their underlying mental health was often not identified or addressed. This highlights the importance of proactive screening and safety-netting in male patients presenting with any concern.</w:t>
      </w:r>
    </w:p>
    <w:p w14:paraId="1DA11BEE" w14:textId="77777777" w:rsidR="00AD4274" w:rsidRDefault="00000000">
      <w:pPr>
        <w:spacing w:before="80" w:after="160"/>
      </w:pPr>
      <w:r>
        <w:rPr>
          <w:rFonts w:eastAsia="Calibri" w:cs="Calibri"/>
          <w:i/>
          <w:color w:val="785000"/>
          <w:sz w:val="20"/>
        </w:rPr>
        <w:t>Note: The original 1996 ONS data showing that men averaged 4 GP consultations per year vs women's 6 has been superseded. Current NHS reporting focuses on appointment volumes and engagement patterns rather than per-person annual frequency, reflecting the shift towards digital and telephone access post-pandemic. The qualitative gap — men consulting less — remains confirmed by the 2025 Men's Health Strategy.</w:t>
      </w:r>
    </w:p>
    <w:p w14:paraId="48B94969" w14:textId="77777777" w:rsidR="00AD4274" w:rsidRDefault="00000000">
      <w:pPr>
        <w:spacing w:before="240" w:after="80"/>
      </w:pPr>
      <w:r>
        <w:rPr>
          <w:rFonts w:eastAsia="Calibri" w:cs="Calibri"/>
          <w:b/>
          <w:color w:val="00467F"/>
          <w:sz w:val="36"/>
        </w:rPr>
        <w:t>3. Dental Attendance</w:t>
      </w:r>
    </w:p>
    <w:p w14:paraId="074213B8" w14:textId="77777777" w:rsidR="00AD4274" w:rsidRDefault="00000000">
      <w:pPr>
        <w:spacing w:before="40" w:after="120"/>
      </w:pPr>
      <w:r>
        <w:rPr>
          <w:rFonts w:eastAsia="Calibri" w:cs="Calibri"/>
        </w:rPr>
        <w:t>The pattern seen in general practice is mirrored in dental care. Men are consistently less likely than women to attend for regular dental check-ups, as confirmed by the NHS Business Services Authority (NHSBSA) dental statistics and the 2025 Men's Health Strategy.</w:t>
      </w:r>
    </w:p>
    <w:p w14:paraId="0CFB33C4" w14:textId="77777777" w:rsidR="00AD4274" w:rsidRDefault="00000000">
      <w:pPr>
        <w:spacing w:before="40" w:after="120"/>
      </w:pPr>
      <w:r>
        <w:rPr>
          <w:rFonts w:eastAsia="Calibri" w:cs="Calibri"/>
        </w:rPr>
        <w:t>NHS Dental Statistics England 2024/25 (NHSBSA, updated March 2026):</w:t>
      </w:r>
    </w:p>
    <w:tbl>
      <w:tblPr>
        <w:tblStyle w:val="TableGrid"/>
        <w:tblW w:w="0" w:type="auto"/>
        <w:tblLook w:val="04A0" w:firstRow="1" w:lastRow="0" w:firstColumn="1" w:lastColumn="0" w:noHBand="0" w:noVBand="1"/>
      </w:tblPr>
      <w:tblGrid>
        <w:gridCol w:w="5472"/>
        <w:gridCol w:w="2880"/>
      </w:tblGrid>
      <w:tr w:rsidR="00AD4274" w14:paraId="20B61FA4" w14:textId="77777777">
        <w:tc>
          <w:tcPr>
            <w:tcW w:w="5472" w:type="dxa"/>
            <w:shd w:val="clear" w:color="auto" w:fill="1F5C99"/>
          </w:tcPr>
          <w:p w14:paraId="1BFDA957" w14:textId="77777777" w:rsidR="00AD4274" w:rsidRDefault="00000000">
            <w:pPr>
              <w:jc w:val="center"/>
            </w:pPr>
            <w:r>
              <w:rPr>
                <w:rFonts w:eastAsia="Calibri" w:cs="Calibri"/>
                <w:b/>
                <w:color w:val="FFFFFF"/>
                <w:sz w:val="21"/>
              </w:rPr>
              <w:t>Metric</w:t>
            </w:r>
          </w:p>
        </w:tc>
        <w:tc>
          <w:tcPr>
            <w:tcW w:w="2880" w:type="dxa"/>
            <w:shd w:val="clear" w:color="auto" w:fill="1F5C99"/>
          </w:tcPr>
          <w:p w14:paraId="6D563EDA" w14:textId="77777777" w:rsidR="00AD4274" w:rsidRDefault="00000000">
            <w:pPr>
              <w:jc w:val="center"/>
            </w:pPr>
            <w:r>
              <w:rPr>
                <w:rFonts w:eastAsia="Calibri" w:cs="Calibri"/>
                <w:b/>
                <w:color w:val="FFFFFF"/>
                <w:sz w:val="21"/>
              </w:rPr>
              <w:t>Figure</w:t>
            </w:r>
          </w:p>
        </w:tc>
      </w:tr>
      <w:tr w:rsidR="00AD4274" w14:paraId="1E4C7652" w14:textId="77777777">
        <w:tc>
          <w:tcPr>
            <w:tcW w:w="5472" w:type="dxa"/>
            <w:shd w:val="clear" w:color="auto" w:fill="EAF3FB"/>
          </w:tcPr>
          <w:p w14:paraId="05E8A688" w14:textId="77777777" w:rsidR="00AD4274" w:rsidRDefault="00000000">
            <w:pPr>
              <w:jc w:val="center"/>
            </w:pPr>
            <w:r>
              <w:rPr>
                <w:rFonts w:eastAsia="Calibri" w:cs="Calibri"/>
                <w:sz w:val="21"/>
              </w:rPr>
              <w:t>Adult patients seen by NHS dentist (24 months to March 2025)</w:t>
            </w:r>
          </w:p>
        </w:tc>
        <w:tc>
          <w:tcPr>
            <w:tcW w:w="2880" w:type="dxa"/>
            <w:shd w:val="clear" w:color="auto" w:fill="EAF3FB"/>
          </w:tcPr>
          <w:p w14:paraId="49495B9D" w14:textId="77777777" w:rsidR="00AD4274" w:rsidRDefault="00000000">
            <w:pPr>
              <w:jc w:val="center"/>
            </w:pPr>
            <w:r>
              <w:rPr>
                <w:rFonts w:eastAsia="Calibri" w:cs="Calibri"/>
                <w:sz w:val="21"/>
              </w:rPr>
              <w:t>18 million</w:t>
            </w:r>
          </w:p>
        </w:tc>
      </w:tr>
      <w:tr w:rsidR="00AD4274" w14:paraId="76555C7C" w14:textId="77777777">
        <w:tc>
          <w:tcPr>
            <w:tcW w:w="5472" w:type="dxa"/>
            <w:shd w:val="clear" w:color="auto" w:fill="FFFFFF"/>
          </w:tcPr>
          <w:p w14:paraId="7663EAEC" w14:textId="77777777" w:rsidR="00AD4274" w:rsidRDefault="00000000">
            <w:pPr>
              <w:jc w:val="center"/>
            </w:pPr>
            <w:r>
              <w:rPr>
                <w:rFonts w:eastAsia="Calibri" w:cs="Calibri"/>
                <w:sz w:val="21"/>
              </w:rPr>
              <w:t>This represents what % of the adult population?</w:t>
            </w:r>
          </w:p>
        </w:tc>
        <w:tc>
          <w:tcPr>
            <w:tcW w:w="2880" w:type="dxa"/>
            <w:shd w:val="clear" w:color="auto" w:fill="FFFFFF"/>
          </w:tcPr>
          <w:p w14:paraId="72385658" w14:textId="77777777" w:rsidR="00AD4274" w:rsidRDefault="00000000">
            <w:pPr>
              <w:jc w:val="center"/>
            </w:pPr>
            <w:r>
              <w:rPr>
                <w:rFonts w:eastAsia="Calibri" w:cs="Calibri"/>
                <w:sz w:val="21"/>
              </w:rPr>
              <w:t>40%</w:t>
            </w:r>
          </w:p>
        </w:tc>
      </w:tr>
      <w:tr w:rsidR="00AD4274" w14:paraId="261E1C5F" w14:textId="77777777">
        <w:tc>
          <w:tcPr>
            <w:tcW w:w="5472" w:type="dxa"/>
            <w:shd w:val="clear" w:color="auto" w:fill="EAF3FB"/>
          </w:tcPr>
          <w:p w14:paraId="43C9FE41" w14:textId="77777777" w:rsidR="00AD4274" w:rsidRDefault="00000000">
            <w:pPr>
              <w:jc w:val="center"/>
            </w:pPr>
            <w:r>
              <w:rPr>
                <w:rFonts w:eastAsia="Calibri" w:cs="Calibri"/>
                <w:sz w:val="21"/>
              </w:rPr>
              <w:t>Child patients seen (12 months to March 2025)</w:t>
            </w:r>
          </w:p>
        </w:tc>
        <w:tc>
          <w:tcPr>
            <w:tcW w:w="2880" w:type="dxa"/>
            <w:shd w:val="clear" w:color="auto" w:fill="EAF3FB"/>
          </w:tcPr>
          <w:p w14:paraId="372BCB2C" w14:textId="77777777" w:rsidR="00AD4274" w:rsidRDefault="00000000">
            <w:pPr>
              <w:jc w:val="center"/>
            </w:pPr>
            <w:r>
              <w:rPr>
                <w:rFonts w:eastAsia="Calibri" w:cs="Calibri"/>
                <w:sz w:val="21"/>
              </w:rPr>
              <w:t>6.9 million (57% of children)</w:t>
            </w:r>
          </w:p>
        </w:tc>
      </w:tr>
      <w:tr w:rsidR="00AD4274" w14:paraId="4870805E" w14:textId="77777777">
        <w:tc>
          <w:tcPr>
            <w:tcW w:w="5472" w:type="dxa"/>
            <w:shd w:val="clear" w:color="auto" w:fill="FFFFFF"/>
          </w:tcPr>
          <w:p w14:paraId="6C3323A1" w14:textId="77777777" w:rsidR="00AD4274" w:rsidRDefault="00000000">
            <w:pPr>
              <w:jc w:val="center"/>
            </w:pPr>
            <w:r>
              <w:rPr>
                <w:rFonts w:eastAsia="Calibri" w:cs="Calibri"/>
                <w:sz w:val="21"/>
              </w:rPr>
              <w:t>Total courses of treatment (COTs) delivered 2024/25</w:t>
            </w:r>
          </w:p>
        </w:tc>
        <w:tc>
          <w:tcPr>
            <w:tcW w:w="2880" w:type="dxa"/>
            <w:shd w:val="clear" w:color="auto" w:fill="FFFFFF"/>
          </w:tcPr>
          <w:p w14:paraId="00EABD65" w14:textId="77777777" w:rsidR="00AD4274" w:rsidRDefault="00000000">
            <w:pPr>
              <w:jc w:val="center"/>
            </w:pPr>
            <w:r>
              <w:rPr>
                <w:rFonts w:eastAsia="Calibri" w:cs="Calibri"/>
                <w:sz w:val="21"/>
              </w:rPr>
              <w:t>35 million (+4% vs 2023/24)</w:t>
            </w:r>
          </w:p>
        </w:tc>
      </w:tr>
      <w:tr w:rsidR="00AD4274" w14:paraId="2EA71EE6" w14:textId="77777777">
        <w:tc>
          <w:tcPr>
            <w:tcW w:w="5472" w:type="dxa"/>
            <w:shd w:val="clear" w:color="auto" w:fill="EAF3FB"/>
          </w:tcPr>
          <w:p w14:paraId="1EF9643A" w14:textId="77777777" w:rsidR="00AD4274" w:rsidRDefault="00000000">
            <w:pPr>
              <w:jc w:val="center"/>
            </w:pPr>
            <w:r>
              <w:rPr>
                <w:rFonts w:eastAsia="Calibri" w:cs="Calibri"/>
                <w:sz w:val="21"/>
              </w:rPr>
              <w:t>Adult COTs</w:t>
            </w:r>
          </w:p>
        </w:tc>
        <w:tc>
          <w:tcPr>
            <w:tcW w:w="2880" w:type="dxa"/>
            <w:shd w:val="clear" w:color="auto" w:fill="EAF3FB"/>
          </w:tcPr>
          <w:p w14:paraId="6086CE59" w14:textId="77777777" w:rsidR="00AD4274" w:rsidRDefault="00000000">
            <w:pPr>
              <w:jc w:val="center"/>
            </w:pPr>
            <w:r>
              <w:rPr>
                <w:rFonts w:eastAsia="Calibri" w:cs="Calibri"/>
                <w:sz w:val="21"/>
              </w:rPr>
              <w:t>23 million (+2%)</w:t>
            </w:r>
          </w:p>
        </w:tc>
      </w:tr>
      <w:tr w:rsidR="00AD4274" w14:paraId="22E61D60" w14:textId="77777777">
        <w:tc>
          <w:tcPr>
            <w:tcW w:w="5472" w:type="dxa"/>
            <w:shd w:val="clear" w:color="auto" w:fill="FFFFFF"/>
          </w:tcPr>
          <w:p w14:paraId="5C592CFA" w14:textId="77777777" w:rsidR="00AD4274" w:rsidRDefault="00000000">
            <w:pPr>
              <w:jc w:val="center"/>
            </w:pPr>
            <w:r>
              <w:rPr>
                <w:rFonts w:eastAsia="Calibri" w:cs="Calibri"/>
                <w:sz w:val="21"/>
              </w:rPr>
              <w:t>Dentists in England with NHS activity</w:t>
            </w:r>
          </w:p>
        </w:tc>
        <w:tc>
          <w:tcPr>
            <w:tcW w:w="2880" w:type="dxa"/>
            <w:shd w:val="clear" w:color="auto" w:fill="FFFFFF"/>
          </w:tcPr>
          <w:p w14:paraId="641F6156" w14:textId="77777777" w:rsidR="00AD4274" w:rsidRDefault="00000000">
            <w:pPr>
              <w:jc w:val="center"/>
            </w:pPr>
            <w:r>
              <w:rPr>
                <w:rFonts w:eastAsia="Calibri" w:cs="Calibri"/>
                <w:sz w:val="21"/>
              </w:rPr>
              <w:t>24,655 (+1.4%)</w:t>
            </w:r>
          </w:p>
        </w:tc>
      </w:tr>
    </w:tbl>
    <w:p w14:paraId="7101AC63" w14:textId="77777777" w:rsidR="00AD4274" w:rsidRDefault="00AD4274">
      <w:pPr>
        <w:spacing w:after="120"/>
      </w:pPr>
    </w:p>
    <w:p w14:paraId="683F3ADD" w14:textId="77777777" w:rsidR="00AD4274" w:rsidRDefault="00000000">
      <w:pPr>
        <w:spacing w:before="40" w:after="120"/>
      </w:pPr>
      <w:r>
        <w:rPr>
          <w:rFonts w:eastAsia="Calibri" w:cs="Calibri"/>
          <w:i/>
        </w:rPr>
        <w:t>Gender-specific dental attendance data (akin to the 1995 ONS data in the original document) is no longer published in the main NHS statistical summaries. However, the DHSC Men's Health Strategy (2025) classifies dental attendance as a preventative service where men show consistently lower engagement than women. Overall NHS dental attendance remains below pre-pandemic levels for both genders.</w:t>
      </w:r>
    </w:p>
    <w:p w14:paraId="5CC21583" w14:textId="77777777" w:rsidR="00AD4274" w:rsidRDefault="00000000">
      <w:pPr>
        <w:spacing w:before="40" w:after="120"/>
      </w:pPr>
      <w:r>
        <w:rPr>
          <w:rFonts w:eastAsia="Calibri" w:cs="Calibri"/>
        </w:rPr>
        <w:t>The key clinical message remains unchanged: men are less likely to attend the dentist for a routine check-up, resulting in later presentation of dental disease, oral cancer, and other preventable conditions.</w:t>
      </w:r>
    </w:p>
    <w:p w14:paraId="546EB226" w14:textId="77777777" w:rsidR="00927F10" w:rsidRDefault="00927F10">
      <w:pPr>
        <w:rPr>
          <w:rFonts w:eastAsia="Calibri" w:cs="Calibri"/>
          <w:b/>
          <w:color w:val="00467F"/>
          <w:sz w:val="36"/>
        </w:rPr>
      </w:pPr>
      <w:r>
        <w:rPr>
          <w:rFonts w:eastAsia="Calibri" w:cs="Calibri"/>
          <w:b/>
          <w:color w:val="00467F"/>
          <w:sz w:val="36"/>
        </w:rPr>
        <w:br w:type="page"/>
      </w:r>
    </w:p>
    <w:p w14:paraId="1CC02BA4" w14:textId="2EFA53D4" w:rsidR="00AD4274" w:rsidRDefault="00000000">
      <w:pPr>
        <w:spacing w:before="240" w:after="80"/>
      </w:pPr>
      <w:r>
        <w:rPr>
          <w:rFonts w:eastAsia="Calibri" w:cs="Calibri"/>
          <w:b/>
          <w:color w:val="00467F"/>
          <w:sz w:val="36"/>
        </w:rPr>
        <w:lastRenderedPageBreak/>
        <w:t>4. Why Men Avoid Seeking Help: Barriers to Access</w:t>
      </w:r>
    </w:p>
    <w:p w14:paraId="1356FF62" w14:textId="77777777" w:rsidR="00AD4274" w:rsidRDefault="00000000">
      <w:pPr>
        <w:spacing w:before="40" w:after="120"/>
      </w:pPr>
      <w:r>
        <w:rPr>
          <w:rFonts w:eastAsia="Calibri" w:cs="Calibri"/>
        </w:rPr>
        <w:t>The DHSC Men's Health Strategy Call for Evidence (2025) collected evidence from thousands of men. Key findings: 54% of men reported a time in the last 3 years when they did not seek medical help for a concern that warranted it. The barriers identified are listed below, ranked by prevalence.</w:t>
      </w:r>
    </w:p>
    <w:tbl>
      <w:tblPr>
        <w:tblStyle w:val="TableGrid"/>
        <w:tblW w:w="0" w:type="auto"/>
        <w:jc w:val="center"/>
        <w:tblLook w:val="04A0" w:firstRow="1" w:lastRow="0" w:firstColumn="1" w:lastColumn="0" w:noHBand="0" w:noVBand="1"/>
      </w:tblPr>
      <w:tblGrid>
        <w:gridCol w:w="5708"/>
        <w:gridCol w:w="992"/>
        <w:gridCol w:w="1364"/>
      </w:tblGrid>
      <w:tr w:rsidR="00AD4274" w14:paraId="3AE68E69" w14:textId="77777777" w:rsidTr="00927F10">
        <w:trPr>
          <w:jc w:val="center"/>
        </w:trPr>
        <w:tc>
          <w:tcPr>
            <w:tcW w:w="5708" w:type="dxa"/>
            <w:shd w:val="clear" w:color="auto" w:fill="1F5C99"/>
          </w:tcPr>
          <w:p w14:paraId="0B900D0D" w14:textId="77777777" w:rsidR="00AD4274" w:rsidRDefault="00000000">
            <w:pPr>
              <w:jc w:val="center"/>
            </w:pPr>
            <w:r>
              <w:rPr>
                <w:rFonts w:eastAsia="Calibri" w:cs="Calibri"/>
                <w:b/>
                <w:color w:val="FFFFFF"/>
                <w:sz w:val="21"/>
              </w:rPr>
              <w:t>Barrier to accessing healthcare</w:t>
            </w:r>
          </w:p>
        </w:tc>
        <w:tc>
          <w:tcPr>
            <w:tcW w:w="2356" w:type="dxa"/>
            <w:gridSpan w:val="2"/>
            <w:shd w:val="clear" w:color="auto" w:fill="1F5C99"/>
          </w:tcPr>
          <w:p w14:paraId="305152E9" w14:textId="77777777" w:rsidR="00AD4274" w:rsidRDefault="00000000">
            <w:pPr>
              <w:jc w:val="center"/>
            </w:pPr>
            <w:r>
              <w:rPr>
                <w:rFonts w:eastAsia="Calibri" w:cs="Calibri"/>
                <w:b/>
                <w:color w:val="FFFFFF"/>
                <w:sz w:val="21"/>
              </w:rPr>
              <w:t>% of men reporting this</w:t>
            </w:r>
          </w:p>
        </w:tc>
      </w:tr>
      <w:tr w:rsidR="00AD4274" w14:paraId="58E693D1" w14:textId="77777777" w:rsidTr="00927F10">
        <w:trPr>
          <w:jc w:val="center"/>
        </w:trPr>
        <w:tc>
          <w:tcPr>
            <w:tcW w:w="6700" w:type="dxa"/>
            <w:gridSpan w:val="2"/>
            <w:shd w:val="clear" w:color="auto" w:fill="EAF3FB"/>
          </w:tcPr>
          <w:p w14:paraId="39F21CD9" w14:textId="77777777" w:rsidR="00AD4274" w:rsidRDefault="00000000" w:rsidP="00927F10">
            <w:pPr>
              <w:pStyle w:val="ListParagraph"/>
              <w:numPr>
                <w:ilvl w:val="0"/>
                <w:numId w:val="10"/>
              </w:numPr>
            </w:pPr>
            <w:r w:rsidRPr="00927F10">
              <w:rPr>
                <w:rFonts w:eastAsia="Calibri" w:cs="Calibri"/>
                <w:sz w:val="21"/>
              </w:rPr>
              <w:t>Limited availability of services / waiting lists</w:t>
            </w:r>
          </w:p>
        </w:tc>
        <w:tc>
          <w:tcPr>
            <w:tcW w:w="1364" w:type="dxa"/>
            <w:shd w:val="clear" w:color="auto" w:fill="EAF3FB"/>
          </w:tcPr>
          <w:p w14:paraId="18498E58" w14:textId="77777777" w:rsidR="00AD4274" w:rsidRDefault="00000000">
            <w:pPr>
              <w:jc w:val="center"/>
            </w:pPr>
            <w:r>
              <w:rPr>
                <w:rFonts w:eastAsia="Calibri" w:cs="Calibri"/>
                <w:sz w:val="21"/>
              </w:rPr>
              <w:t>43%</w:t>
            </w:r>
          </w:p>
        </w:tc>
      </w:tr>
      <w:tr w:rsidR="00AD4274" w14:paraId="1B72F234" w14:textId="77777777" w:rsidTr="00927F10">
        <w:trPr>
          <w:jc w:val="center"/>
        </w:trPr>
        <w:tc>
          <w:tcPr>
            <w:tcW w:w="6700" w:type="dxa"/>
            <w:gridSpan w:val="2"/>
            <w:shd w:val="clear" w:color="auto" w:fill="FFFFFF"/>
          </w:tcPr>
          <w:p w14:paraId="20C1AE91" w14:textId="77777777" w:rsidR="00AD4274" w:rsidRDefault="00000000" w:rsidP="00927F10">
            <w:pPr>
              <w:pStyle w:val="ListParagraph"/>
              <w:numPr>
                <w:ilvl w:val="0"/>
                <w:numId w:val="10"/>
              </w:numPr>
            </w:pPr>
            <w:r w:rsidRPr="00927F10">
              <w:rPr>
                <w:rFonts w:eastAsia="Calibri" w:cs="Calibri"/>
                <w:sz w:val="21"/>
              </w:rPr>
              <w:t>Avoiding dealing with the issue (avoidance behaviour)</w:t>
            </w:r>
          </w:p>
        </w:tc>
        <w:tc>
          <w:tcPr>
            <w:tcW w:w="1364" w:type="dxa"/>
            <w:shd w:val="clear" w:color="auto" w:fill="FFFFFF"/>
          </w:tcPr>
          <w:p w14:paraId="4152AAE5" w14:textId="77777777" w:rsidR="00AD4274" w:rsidRDefault="00000000">
            <w:pPr>
              <w:jc w:val="center"/>
            </w:pPr>
            <w:r>
              <w:rPr>
                <w:rFonts w:eastAsia="Calibri" w:cs="Calibri"/>
                <w:sz w:val="21"/>
              </w:rPr>
              <w:t>37%</w:t>
            </w:r>
          </w:p>
        </w:tc>
      </w:tr>
      <w:tr w:rsidR="00AD4274" w14:paraId="49C3BABF" w14:textId="77777777" w:rsidTr="00927F10">
        <w:trPr>
          <w:jc w:val="center"/>
        </w:trPr>
        <w:tc>
          <w:tcPr>
            <w:tcW w:w="6700" w:type="dxa"/>
            <w:gridSpan w:val="2"/>
            <w:shd w:val="clear" w:color="auto" w:fill="EAF3FB"/>
          </w:tcPr>
          <w:p w14:paraId="23C274A8" w14:textId="77777777" w:rsidR="00AD4274" w:rsidRDefault="00000000" w:rsidP="00927F10">
            <w:pPr>
              <w:pStyle w:val="ListParagraph"/>
              <w:numPr>
                <w:ilvl w:val="0"/>
                <w:numId w:val="10"/>
              </w:numPr>
            </w:pPr>
            <w:r w:rsidRPr="00927F10">
              <w:rPr>
                <w:rFonts w:eastAsia="Calibri" w:cs="Calibri"/>
                <w:sz w:val="21"/>
              </w:rPr>
              <w:t>Felt the concern did not require medical attention</w:t>
            </w:r>
          </w:p>
        </w:tc>
        <w:tc>
          <w:tcPr>
            <w:tcW w:w="1364" w:type="dxa"/>
            <w:shd w:val="clear" w:color="auto" w:fill="EAF3FB"/>
          </w:tcPr>
          <w:p w14:paraId="76021A9C" w14:textId="77777777" w:rsidR="00AD4274" w:rsidRDefault="00000000">
            <w:pPr>
              <w:jc w:val="center"/>
            </w:pPr>
            <w:r>
              <w:rPr>
                <w:rFonts w:eastAsia="Calibri" w:cs="Calibri"/>
                <w:sz w:val="21"/>
              </w:rPr>
              <w:t>29%</w:t>
            </w:r>
          </w:p>
        </w:tc>
      </w:tr>
      <w:tr w:rsidR="00AD4274" w14:paraId="5AA8E293" w14:textId="77777777" w:rsidTr="00927F10">
        <w:trPr>
          <w:jc w:val="center"/>
        </w:trPr>
        <w:tc>
          <w:tcPr>
            <w:tcW w:w="6700" w:type="dxa"/>
            <w:gridSpan w:val="2"/>
            <w:shd w:val="clear" w:color="auto" w:fill="FFFFFF"/>
          </w:tcPr>
          <w:p w14:paraId="74E016C3" w14:textId="77777777" w:rsidR="00AD4274" w:rsidRDefault="00000000" w:rsidP="00927F10">
            <w:pPr>
              <w:pStyle w:val="ListParagraph"/>
              <w:numPr>
                <w:ilvl w:val="0"/>
                <w:numId w:val="10"/>
              </w:numPr>
            </w:pPr>
            <w:r w:rsidRPr="00927F10">
              <w:rPr>
                <w:rFonts w:eastAsia="Calibri" w:cs="Calibri"/>
                <w:sz w:val="21"/>
              </w:rPr>
              <w:t>Negative previous experience with a health professional</w:t>
            </w:r>
          </w:p>
        </w:tc>
        <w:tc>
          <w:tcPr>
            <w:tcW w:w="1364" w:type="dxa"/>
            <w:shd w:val="clear" w:color="auto" w:fill="FFFFFF"/>
          </w:tcPr>
          <w:p w14:paraId="53D62DD3" w14:textId="77777777" w:rsidR="00AD4274" w:rsidRDefault="00000000">
            <w:pPr>
              <w:jc w:val="center"/>
            </w:pPr>
            <w:r>
              <w:rPr>
                <w:rFonts w:eastAsia="Calibri" w:cs="Calibri"/>
                <w:sz w:val="21"/>
              </w:rPr>
              <w:t>23%</w:t>
            </w:r>
          </w:p>
        </w:tc>
      </w:tr>
      <w:tr w:rsidR="00AD4274" w14:paraId="01F5314C" w14:textId="77777777" w:rsidTr="00927F10">
        <w:trPr>
          <w:jc w:val="center"/>
        </w:trPr>
        <w:tc>
          <w:tcPr>
            <w:tcW w:w="6700" w:type="dxa"/>
            <w:gridSpan w:val="2"/>
            <w:shd w:val="clear" w:color="auto" w:fill="EAF3FB"/>
          </w:tcPr>
          <w:p w14:paraId="1C0902F6" w14:textId="77777777" w:rsidR="00AD4274" w:rsidRDefault="00000000" w:rsidP="00927F10">
            <w:pPr>
              <w:pStyle w:val="ListParagraph"/>
              <w:numPr>
                <w:ilvl w:val="0"/>
                <w:numId w:val="10"/>
              </w:numPr>
            </w:pPr>
            <w:r w:rsidRPr="00927F10">
              <w:rPr>
                <w:rFonts w:eastAsia="Calibri" w:cs="Calibri"/>
                <w:sz w:val="21"/>
              </w:rPr>
              <w:t>Inconvenient appointment times (work conflicts)</w:t>
            </w:r>
          </w:p>
        </w:tc>
        <w:tc>
          <w:tcPr>
            <w:tcW w:w="1364" w:type="dxa"/>
            <w:shd w:val="clear" w:color="auto" w:fill="EAF3FB"/>
          </w:tcPr>
          <w:p w14:paraId="20C35DE0" w14:textId="77777777" w:rsidR="00AD4274" w:rsidRDefault="00000000">
            <w:pPr>
              <w:jc w:val="center"/>
            </w:pPr>
            <w:r>
              <w:rPr>
                <w:rFonts w:eastAsia="Calibri" w:cs="Calibri"/>
                <w:sz w:val="21"/>
              </w:rPr>
              <w:t>22%</w:t>
            </w:r>
          </w:p>
        </w:tc>
      </w:tr>
      <w:tr w:rsidR="00AD4274" w14:paraId="0D7717C6" w14:textId="77777777" w:rsidTr="00927F10">
        <w:trPr>
          <w:jc w:val="center"/>
        </w:trPr>
        <w:tc>
          <w:tcPr>
            <w:tcW w:w="6700" w:type="dxa"/>
            <w:gridSpan w:val="2"/>
            <w:shd w:val="clear" w:color="auto" w:fill="FFFFFF"/>
          </w:tcPr>
          <w:p w14:paraId="3670D8B2" w14:textId="77777777" w:rsidR="00AD4274" w:rsidRDefault="00000000" w:rsidP="00927F10">
            <w:pPr>
              <w:pStyle w:val="ListParagraph"/>
              <w:numPr>
                <w:ilvl w:val="0"/>
                <w:numId w:val="10"/>
              </w:numPr>
            </w:pPr>
            <w:r w:rsidRPr="00927F10">
              <w:rPr>
                <w:rFonts w:eastAsia="Calibri" w:cs="Calibri"/>
                <w:sz w:val="21"/>
              </w:rPr>
              <w:t>Not clear where to go or what services were available</w:t>
            </w:r>
          </w:p>
        </w:tc>
        <w:tc>
          <w:tcPr>
            <w:tcW w:w="1364" w:type="dxa"/>
            <w:shd w:val="clear" w:color="auto" w:fill="FFFFFF"/>
          </w:tcPr>
          <w:p w14:paraId="22360553" w14:textId="77777777" w:rsidR="00AD4274" w:rsidRDefault="00000000">
            <w:pPr>
              <w:jc w:val="center"/>
            </w:pPr>
            <w:r>
              <w:rPr>
                <w:rFonts w:eastAsia="Calibri" w:cs="Calibri"/>
                <w:sz w:val="21"/>
              </w:rPr>
              <w:t>19%</w:t>
            </w:r>
          </w:p>
        </w:tc>
      </w:tr>
      <w:tr w:rsidR="00AD4274" w14:paraId="401FB9D8" w14:textId="77777777" w:rsidTr="00927F10">
        <w:trPr>
          <w:jc w:val="center"/>
        </w:trPr>
        <w:tc>
          <w:tcPr>
            <w:tcW w:w="6700" w:type="dxa"/>
            <w:gridSpan w:val="2"/>
            <w:shd w:val="clear" w:color="auto" w:fill="EAF3FB"/>
          </w:tcPr>
          <w:p w14:paraId="2CD7B982" w14:textId="77777777" w:rsidR="00AD4274" w:rsidRDefault="00000000" w:rsidP="00927F10">
            <w:pPr>
              <w:pStyle w:val="ListParagraph"/>
              <w:numPr>
                <w:ilvl w:val="0"/>
                <w:numId w:val="10"/>
              </w:numPr>
            </w:pPr>
            <w:r w:rsidRPr="00927F10">
              <w:rPr>
                <w:rFonts w:eastAsia="Calibri" w:cs="Calibri"/>
                <w:sz w:val="21"/>
              </w:rPr>
              <w:t>Lack of specific services for men</w:t>
            </w:r>
          </w:p>
        </w:tc>
        <w:tc>
          <w:tcPr>
            <w:tcW w:w="1364" w:type="dxa"/>
            <w:shd w:val="clear" w:color="auto" w:fill="EAF3FB"/>
          </w:tcPr>
          <w:p w14:paraId="6AF47B01" w14:textId="77777777" w:rsidR="00AD4274" w:rsidRDefault="00000000">
            <w:pPr>
              <w:jc w:val="center"/>
            </w:pPr>
            <w:r>
              <w:rPr>
                <w:rFonts w:eastAsia="Calibri" w:cs="Calibri"/>
                <w:sz w:val="21"/>
              </w:rPr>
              <w:t>19%</w:t>
            </w:r>
          </w:p>
        </w:tc>
      </w:tr>
      <w:tr w:rsidR="00AD4274" w14:paraId="72232E4C" w14:textId="77777777" w:rsidTr="00927F10">
        <w:trPr>
          <w:jc w:val="center"/>
        </w:trPr>
        <w:tc>
          <w:tcPr>
            <w:tcW w:w="6700" w:type="dxa"/>
            <w:gridSpan w:val="2"/>
            <w:shd w:val="clear" w:color="auto" w:fill="FFFFFF"/>
          </w:tcPr>
          <w:p w14:paraId="1C295D47" w14:textId="77777777" w:rsidR="00AD4274" w:rsidRDefault="00000000" w:rsidP="00927F10">
            <w:pPr>
              <w:pStyle w:val="ListParagraph"/>
              <w:numPr>
                <w:ilvl w:val="0"/>
                <w:numId w:val="10"/>
              </w:numPr>
            </w:pPr>
            <w:r w:rsidRPr="00927F10">
              <w:rPr>
                <w:rFonts w:eastAsia="Calibri" w:cs="Calibri"/>
                <w:sz w:val="21"/>
              </w:rPr>
              <w:t>Societal expectations about how 'men like them' should behave</w:t>
            </w:r>
          </w:p>
        </w:tc>
        <w:tc>
          <w:tcPr>
            <w:tcW w:w="1364" w:type="dxa"/>
            <w:shd w:val="clear" w:color="auto" w:fill="FFFFFF"/>
          </w:tcPr>
          <w:p w14:paraId="79EC1D0B" w14:textId="77777777" w:rsidR="00AD4274" w:rsidRDefault="00000000">
            <w:pPr>
              <w:jc w:val="center"/>
            </w:pPr>
            <w:r>
              <w:rPr>
                <w:rFonts w:eastAsia="Calibri" w:cs="Calibri"/>
                <w:sz w:val="21"/>
              </w:rPr>
              <w:t>16%</w:t>
            </w:r>
          </w:p>
        </w:tc>
      </w:tr>
      <w:tr w:rsidR="00AD4274" w14:paraId="1F7B86ED" w14:textId="77777777" w:rsidTr="00927F10">
        <w:trPr>
          <w:jc w:val="center"/>
        </w:trPr>
        <w:tc>
          <w:tcPr>
            <w:tcW w:w="6700" w:type="dxa"/>
            <w:gridSpan w:val="2"/>
            <w:shd w:val="clear" w:color="auto" w:fill="EAF3FB"/>
          </w:tcPr>
          <w:p w14:paraId="4AB40AD3" w14:textId="77777777" w:rsidR="00AD4274" w:rsidRDefault="00000000" w:rsidP="00927F10">
            <w:pPr>
              <w:pStyle w:val="ListParagraph"/>
              <w:numPr>
                <w:ilvl w:val="0"/>
                <w:numId w:val="10"/>
              </w:numPr>
            </w:pPr>
            <w:r w:rsidRPr="00927F10">
              <w:rPr>
                <w:rFonts w:eastAsia="Calibri" w:cs="Calibri"/>
                <w:sz w:val="21"/>
              </w:rPr>
              <w:t>Felt uncomfortable / too personal to discuss with a doctor</w:t>
            </w:r>
          </w:p>
        </w:tc>
        <w:tc>
          <w:tcPr>
            <w:tcW w:w="1364" w:type="dxa"/>
            <w:shd w:val="clear" w:color="auto" w:fill="EAF3FB"/>
          </w:tcPr>
          <w:p w14:paraId="78102C2C" w14:textId="77777777" w:rsidR="00AD4274" w:rsidRDefault="00000000">
            <w:pPr>
              <w:jc w:val="center"/>
            </w:pPr>
            <w:r>
              <w:rPr>
                <w:rFonts w:eastAsia="Calibri" w:cs="Calibri"/>
                <w:sz w:val="21"/>
              </w:rPr>
              <w:t>16%</w:t>
            </w:r>
          </w:p>
        </w:tc>
      </w:tr>
      <w:tr w:rsidR="00AD4274" w14:paraId="77B6006D" w14:textId="77777777" w:rsidTr="00927F10">
        <w:trPr>
          <w:jc w:val="center"/>
        </w:trPr>
        <w:tc>
          <w:tcPr>
            <w:tcW w:w="6700" w:type="dxa"/>
            <w:gridSpan w:val="2"/>
            <w:shd w:val="clear" w:color="auto" w:fill="FFFFFF"/>
          </w:tcPr>
          <w:p w14:paraId="60F3FE26" w14:textId="77777777" w:rsidR="00AD4274" w:rsidRDefault="00000000" w:rsidP="00927F10">
            <w:pPr>
              <w:pStyle w:val="ListParagraph"/>
              <w:numPr>
                <w:ilvl w:val="0"/>
                <w:numId w:val="10"/>
              </w:numPr>
            </w:pPr>
            <w:r w:rsidRPr="00927F10">
              <w:rPr>
                <w:rFonts w:eastAsia="Calibri" w:cs="Calibri"/>
                <w:sz w:val="21"/>
              </w:rPr>
              <w:t>Fear of diagnosis, treatment, or mortality</w:t>
            </w:r>
          </w:p>
        </w:tc>
        <w:tc>
          <w:tcPr>
            <w:tcW w:w="1364" w:type="dxa"/>
            <w:shd w:val="clear" w:color="auto" w:fill="FFFFFF"/>
          </w:tcPr>
          <w:p w14:paraId="0B69DFA9" w14:textId="77777777" w:rsidR="00AD4274" w:rsidRDefault="00000000">
            <w:pPr>
              <w:jc w:val="center"/>
            </w:pPr>
            <w:r>
              <w:rPr>
                <w:rFonts w:eastAsia="Calibri" w:cs="Calibri"/>
                <w:sz w:val="21"/>
              </w:rPr>
              <w:t>15%</w:t>
            </w:r>
          </w:p>
        </w:tc>
      </w:tr>
      <w:tr w:rsidR="00AD4274" w14:paraId="5BAF2B68" w14:textId="77777777" w:rsidTr="00927F10">
        <w:trPr>
          <w:jc w:val="center"/>
        </w:trPr>
        <w:tc>
          <w:tcPr>
            <w:tcW w:w="6700" w:type="dxa"/>
            <w:gridSpan w:val="2"/>
            <w:shd w:val="clear" w:color="auto" w:fill="EAF3FB"/>
          </w:tcPr>
          <w:p w14:paraId="1C3B51FB" w14:textId="77777777" w:rsidR="00AD4274" w:rsidRDefault="00000000" w:rsidP="00927F10">
            <w:pPr>
              <w:pStyle w:val="ListParagraph"/>
              <w:numPr>
                <w:ilvl w:val="0"/>
                <w:numId w:val="10"/>
              </w:numPr>
            </w:pPr>
            <w:r w:rsidRPr="00927F10">
              <w:rPr>
                <w:rFonts w:eastAsia="Calibri" w:cs="Calibri"/>
                <w:sz w:val="21"/>
              </w:rPr>
              <w:t>Distrust of medical professionals or treatments</w:t>
            </w:r>
          </w:p>
        </w:tc>
        <w:tc>
          <w:tcPr>
            <w:tcW w:w="1364" w:type="dxa"/>
            <w:shd w:val="clear" w:color="auto" w:fill="EAF3FB"/>
          </w:tcPr>
          <w:p w14:paraId="2AC4D1BE" w14:textId="77777777" w:rsidR="00AD4274" w:rsidRDefault="00000000">
            <w:pPr>
              <w:jc w:val="center"/>
            </w:pPr>
            <w:r>
              <w:rPr>
                <w:rFonts w:eastAsia="Calibri" w:cs="Calibri"/>
                <w:sz w:val="21"/>
              </w:rPr>
              <w:t>15%</w:t>
            </w:r>
          </w:p>
        </w:tc>
      </w:tr>
      <w:tr w:rsidR="00AD4274" w14:paraId="05439B91" w14:textId="77777777" w:rsidTr="00927F10">
        <w:trPr>
          <w:jc w:val="center"/>
        </w:trPr>
        <w:tc>
          <w:tcPr>
            <w:tcW w:w="6700" w:type="dxa"/>
            <w:gridSpan w:val="2"/>
            <w:shd w:val="clear" w:color="auto" w:fill="FFFFFF"/>
          </w:tcPr>
          <w:p w14:paraId="6A211643" w14:textId="77777777" w:rsidR="00AD4274" w:rsidRDefault="00000000" w:rsidP="00927F10">
            <w:pPr>
              <w:pStyle w:val="ListParagraph"/>
              <w:numPr>
                <w:ilvl w:val="0"/>
                <w:numId w:val="10"/>
              </w:numPr>
            </w:pPr>
            <w:r w:rsidRPr="00927F10">
              <w:rPr>
                <w:rFonts w:eastAsia="Calibri" w:cs="Calibri"/>
                <w:sz w:val="21"/>
              </w:rPr>
              <w:t>Anxiety about medical settings</w:t>
            </w:r>
          </w:p>
        </w:tc>
        <w:tc>
          <w:tcPr>
            <w:tcW w:w="1364" w:type="dxa"/>
            <w:shd w:val="clear" w:color="auto" w:fill="FFFFFF"/>
          </w:tcPr>
          <w:p w14:paraId="125FEE3F" w14:textId="77777777" w:rsidR="00AD4274" w:rsidRDefault="00000000">
            <w:pPr>
              <w:jc w:val="center"/>
            </w:pPr>
            <w:r>
              <w:rPr>
                <w:rFonts w:eastAsia="Calibri" w:cs="Calibri"/>
                <w:sz w:val="21"/>
              </w:rPr>
              <w:t>12%</w:t>
            </w:r>
          </w:p>
        </w:tc>
      </w:tr>
      <w:tr w:rsidR="00AD4274" w14:paraId="0C83EAAA" w14:textId="77777777" w:rsidTr="00927F10">
        <w:trPr>
          <w:jc w:val="center"/>
        </w:trPr>
        <w:tc>
          <w:tcPr>
            <w:tcW w:w="6700" w:type="dxa"/>
            <w:gridSpan w:val="2"/>
            <w:shd w:val="clear" w:color="auto" w:fill="EAF3FB"/>
          </w:tcPr>
          <w:p w14:paraId="0DB3B164" w14:textId="77777777" w:rsidR="00AD4274" w:rsidRDefault="00000000" w:rsidP="00927F10">
            <w:pPr>
              <w:pStyle w:val="ListParagraph"/>
              <w:numPr>
                <w:ilvl w:val="0"/>
                <w:numId w:val="10"/>
              </w:numPr>
            </w:pPr>
            <w:r w:rsidRPr="00927F10">
              <w:rPr>
                <w:rFonts w:eastAsia="Calibri" w:cs="Calibri"/>
                <w:sz w:val="21"/>
              </w:rPr>
              <w:t>Fear of disclosing a health condition to family, friends, or employer</w:t>
            </w:r>
          </w:p>
        </w:tc>
        <w:tc>
          <w:tcPr>
            <w:tcW w:w="1364" w:type="dxa"/>
            <w:shd w:val="clear" w:color="auto" w:fill="EAF3FB"/>
          </w:tcPr>
          <w:p w14:paraId="41A90725" w14:textId="77777777" w:rsidR="00AD4274" w:rsidRDefault="00000000">
            <w:pPr>
              <w:jc w:val="center"/>
            </w:pPr>
            <w:r>
              <w:rPr>
                <w:rFonts w:eastAsia="Calibri" w:cs="Calibri"/>
                <w:sz w:val="21"/>
              </w:rPr>
              <w:t>11%</w:t>
            </w:r>
          </w:p>
        </w:tc>
      </w:tr>
      <w:tr w:rsidR="00AD4274" w14:paraId="1C75ADCD" w14:textId="77777777" w:rsidTr="00927F10">
        <w:trPr>
          <w:jc w:val="center"/>
        </w:trPr>
        <w:tc>
          <w:tcPr>
            <w:tcW w:w="6700" w:type="dxa"/>
            <w:gridSpan w:val="2"/>
            <w:shd w:val="clear" w:color="auto" w:fill="FFFFFF"/>
          </w:tcPr>
          <w:p w14:paraId="3BCE3587" w14:textId="77777777" w:rsidR="00AD4274" w:rsidRDefault="00000000" w:rsidP="00927F10">
            <w:pPr>
              <w:pStyle w:val="ListParagraph"/>
              <w:numPr>
                <w:ilvl w:val="0"/>
                <w:numId w:val="10"/>
              </w:numPr>
            </w:pPr>
            <w:r w:rsidRPr="00927F10">
              <w:rPr>
                <w:rFonts w:eastAsia="Calibri" w:cs="Calibri"/>
                <w:sz w:val="21"/>
              </w:rPr>
              <w:t>Unable to take time off work to attend appointment</w:t>
            </w:r>
          </w:p>
        </w:tc>
        <w:tc>
          <w:tcPr>
            <w:tcW w:w="1364" w:type="dxa"/>
            <w:shd w:val="clear" w:color="auto" w:fill="FFFFFF"/>
          </w:tcPr>
          <w:p w14:paraId="70E8579A" w14:textId="77777777" w:rsidR="00AD4274" w:rsidRDefault="00000000">
            <w:pPr>
              <w:jc w:val="center"/>
            </w:pPr>
            <w:r>
              <w:rPr>
                <w:rFonts w:eastAsia="Calibri" w:cs="Calibri"/>
                <w:sz w:val="21"/>
              </w:rPr>
              <w:t>11%</w:t>
            </w:r>
          </w:p>
        </w:tc>
      </w:tr>
    </w:tbl>
    <w:p w14:paraId="3AF38D8D" w14:textId="77777777" w:rsidR="00AD4274" w:rsidRPr="00927F10" w:rsidRDefault="00000000" w:rsidP="00927F10">
      <w:pPr>
        <w:spacing w:before="40" w:after="120"/>
        <w:jc w:val="center"/>
        <w:rPr>
          <w:sz w:val="18"/>
          <w:szCs w:val="18"/>
        </w:rPr>
      </w:pPr>
      <w:r w:rsidRPr="00927F10">
        <w:rPr>
          <w:rFonts w:eastAsia="Calibri" w:cs="Calibri"/>
          <w:i/>
          <w:sz w:val="18"/>
          <w:szCs w:val="18"/>
        </w:rPr>
        <w:t>Source: DHSC Men's Health Strategy for England — Call for Evidence Summary Report (November 2025). Total respondents: approximately 2,900 men sharing lived experience.</w:t>
      </w:r>
    </w:p>
    <w:p w14:paraId="2C8A1D96" w14:textId="77777777" w:rsidR="00AD4274" w:rsidRDefault="00000000">
      <w:pPr>
        <w:spacing w:before="240" w:after="80"/>
      </w:pPr>
      <w:r>
        <w:rPr>
          <w:rFonts w:eastAsia="Calibri" w:cs="Calibri"/>
          <w:b/>
          <w:color w:val="00467F"/>
          <w:sz w:val="36"/>
        </w:rPr>
        <w:t>5. Masculinity and Societal Norms</w:t>
      </w:r>
    </w:p>
    <w:p w14:paraId="499DC248" w14:textId="77777777" w:rsidR="00AD4274" w:rsidRDefault="00000000">
      <w:pPr>
        <w:spacing w:before="40" w:after="120"/>
      </w:pPr>
      <w:r>
        <w:rPr>
          <w:rFonts w:eastAsia="Calibri" w:cs="Calibri"/>
        </w:rPr>
        <w:t>The DHSC strategy identifies that cultural and gender norms play a significant role in men's health-seeking behaviour. Many men associate seeking help with weakness or vulnerability — 'being sick symbolises weakness as a man' — a pattern reinforced by traditional notions of masculinity.</w:t>
      </w:r>
    </w:p>
    <w:p w14:paraId="4433263D" w14:textId="77777777" w:rsidR="00AD4274" w:rsidRDefault="00000000">
      <w:pPr>
        <w:spacing w:before="40" w:after="120"/>
      </w:pPr>
      <w:r>
        <w:rPr>
          <w:rFonts w:eastAsia="Calibri" w:cs="Calibri"/>
        </w:rPr>
        <w:t>Men are more likely to engage in risk-taking behaviours (smoking, alcohol, drug use) and less likely to engage in preventive health activities. The strategy notes that harmful influences and conflicting societal messages about masculinity, particularly for younger men, contribute to poorer health literacy and delayed help-seeking.</w:t>
      </w:r>
    </w:p>
    <w:p w14:paraId="794EC314" w14:textId="77777777" w:rsidR="00AD4274" w:rsidRDefault="00000000">
      <w:pPr>
        <w:spacing w:before="40" w:after="120"/>
      </w:pPr>
      <w:r>
        <w:rPr>
          <w:rFonts w:eastAsia="Calibri" w:cs="Calibri"/>
        </w:rPr>
        <w:t>Importantly, men from working-class backgrounds, men in deprived areas, and men from certain ethnic groups face compounded barriers, with significantly worse health outcomes.</w:t>
      </w:r>
    </w:p>
    <w:p w14:paraId="4A5B7008" w14:textId="77777777" w:rsidR="00927F10" w:rsidRDefault="00927F10">
      <w:pPr>
        <w:rPr>
          <w:rFonts w:eastAsia="Calibri" w:cs="Calibri"/>
          <w:b/>
          <w:color w:val="00467F"/>
          <w:sz w:val="36"/>
        </w:rPr>
      </w:pPr>
      <w:r>
        <w:rPr>
          <w:rFonts w:eastAsia="Calibri" w:cs="Calibri"/>
          <w:b/>
          <w:color w:val="00467F"/>
          <w:sz w:val="36"/>
        </w:rPr>
        <w:br w:type="page"/>
      </w:r>
    </w:p>
    <w:p w14:paraId="7BBCD811" w14:textId="77777777" w:rsidR="00927F10" w:rsidRDefault="00927F10">
      <w:pPr>
        <w:rPr>
          <w:rFonts w:eastAsia="Calibri" w:cs="Calibri"/>
          <w:b/>
          <w:color w:val="00467F"/>
          <w:sz w:val="36"/>
        </w:rPr>
      </w:pPr>
      <w:r>
        <w:rPr>
          <w:rFonts w:eastAsia="Calibri" w:cs="Calibri"/>
          <w:b/>
          <w:color w:val="00467F"/>
          <w:sz w:val="36"/>
        </w:rPr>
        <w:lastRenderedPageBreak/>
        <w:br w:type="page"/>
      </w:r>
    </w:p>
    <w:p w14:paraId="5D9EDD0F" w14:textId="30E5D22D" w:rsidR="00AD4274" w:rsidRDefault="00000000">
      <w:pPr>
        <w:spacing w:before="240" w:after="80"/>
      </w:pPr>
      <w:r>
        <w:rPr>
          <w:rFonts w:eastAsia="Calibri" w:cs="Calibri"/>
          <w:b/>
          <w:color w:val="00467F"/>
          <w:sz w:val="36"/>
        </w:rPr>
        <w:lastRenderedPageBreak/>
        <w:t>6. Health Inequalities</w:t>
      </w:r>
    </w:p>
    <w:tbl>
      <w:tblPr>
        <w:tblStyle w:val="TableGrid"/>
        <w:tblW w:w="0" w:type="auto"/>
        <w:tblLook w:val="04A0" w:firstRow="1" w:lastRow="0" w:firstColumn="1" w:lastColumn="0" w:noHBand="0" w:noVBand="1"/>
      </w:tblPr>
      <w:tblGrid>
        <w:gridCol w:w="3168"/>
        <w:gridCol w:w="5184"/>
      </w:tblGrid>
      <w:tr w:rsidR="00AD4274" w14:paraId="373F27AE" w14:textId="77777777">
        <w:tc>
          <w:tcPr>
            <w:tcW w:w="3168" w:type="dxa"/>
            <w:shd w:val="clear" w:color="auto" w:fill="1F5C99"/>
          </w:tcPr>
          <w:p w14:paraId="32937FF6" w14:textId="77777777" w:rsidR="00AD4274" w:rsidRDefault="00000000">
            <w:pPr>
              <w:jc w:val="center"/>
            </w:pPr>
            <w:r>
              <w:rPr>
                <w:rFonts w:eastAsia="Calibri" w:cs="Calibri"/>
                <w:b/>
                <w:color w:val="FFFFFF"/>
                <w:sz w:val="21"/>
              </w:rPr>
              <w:t>Inequality</w:t>
            </w:r>
          </w:p>
        </w:tc>
        <w:tc>
          <w:tcPr>
            <w:tcW w:w="5184" w:type="dxa"/>
            <w:shd w:val="clear" w:color="auto" w:fill="1F5C99"/>
          </w:tcPr>
          <w:p w14:paraId="5FA0CF57" w14:textId="77777777" w:rsidR="00AD4274" w:rsidRDefault="00000000">
            <w:pPr>
              <w:jc w:val="center"/>
            </w:pPr>
            <w:r>
              <w:rPr>
                <w:rFonts w:eastAsia="Calibri" w:cs="Calibri"/>
                <w:b/>
                <w:color w:val="FFFFFF"/>
                <w:sz w:val="21"/>
              </w:rPr>
              <w:t>Evidence</w:t>
            </w:r>
          </w:p>
        </w:tc>
      </w:tr>
      <w:tr w:rsidR="00AD4274" w14:paraId="0277CA78" w14:textId="77777777">
        <w:tc>
          <w:tcPr>
            <w:tcW w:w="3168" w:type="dxa"/>
            <w:shd w:val="clear" w:color="auto" w:fill="EAF3FB"/>
          </w:tcPr>
          <w:p w14:paraId="0CE20758" w14:textId="77777777" w:rsidR="00AD4274" w:rsidRDefault="00000000">
            <w:pPr>
              <w:jc w:val="center"/>
            </w:pPr>
            <w:r>
              <w:rPr>
                <w:rFonts w:eastAsia="Calibri" w:cs="Calibri"/>
                <w:sz w:val="21"/>
              </w:rPr>
              <w:t>Deprivation</w:t>
            </w:r>
          </w:p>
        </w:tc>
        <w:tc>
          <w:tcPr>
            <w:tcW w:w="5184" w:type="dxa"/>
            <w:shd w:val="clear" w:color="auto" w:fill="EAF3FB"/>
          </w:tcPr>
          <w:p w14:paraId="5640793C" w14:textId="77777777" w:rsidR="00AD4274" w:rsidRDefault="00000000">
            <w:pPr>
              <w:jc w:val="center"/>
            </w:pPr>
            <w:r>
              <w:rPr>
                <w:rFonts w:eastAsia="Calibri" w:cs="Calibri"/>
                <w:sz w:val="21"/>
              </w:rPr>
              <w:t>Men in the most deprived areas die 10 years earlier than those in the wealthiest areas</w:t>
            </w:r>
          </w:p>
        </w:tc>
      </w:tr>
      <w:tr w:rsidR="00AD4274" w14:paraId="691793E8" w14:textId="77777777">
        <w:tc>
          <w:tcPr>
            <w:tcW w:w="3168" w:type="dxa"/>
            <w:shd w:val="clear" w:color="auto" w:fill="FFFFFF"/>
          </w:tcPr>
          <w:p w14:paraId="489EFEA3" w14:textId="77777777" w:rsidR="00AD4274" w:rsidRDefault="00000000">
            <w:pPr>
              <w:jc w:val="center"/>
            </w:pPr>
            <w:r>
              <w:rPr>
                <w:rFonts w:eastAsia="Calibri" w:cs="Calibri"/>
                <w:sz w:val="21"/>
              </w:rPr>
              <w:t>Healthy life years</w:t>
            </w:r>
          </w:p>
        </w:tc>
        <w:tc>
          <w:tcPr>
            <w:tcW w:w="5184" w:type="dxa"/>
            <w:shd w:val="clear" w:color="auto" w:fill="FFFFFF"/>
          </w:tcPr>
          <w:p w14:paraId="169B9108" w14:textId="77777777" w:rsidR="00AD4274" w:rsidRDefault="00000000">
            <w:pPr>
              <w:jc w:val="center"/>
            </w:pPr>
            <w:r>
              <w:rPr>
                <w:rFonts w:eastAsia="Calibri" w:cs="Calibri"/>
                <w:sz w:val="21"/>
              </w:rPr>
              <w:t>Men in deprived areas live ~19 fewer years in good health</w:t>
            </w:r>
          </w:p>
        </w:tc>
      </w:tr>
      <w:tr w:rsidR="00AD4274" w14:paraId="77A3DDEE" w14:textId="77777777">
        <w:tc>
          <w:tcPr>
            <w:tcW w:w="3168" w:type="dxa"/>
            <w:shd w:val="clear" w:color="auto" w:fill="EAF3FB"/>
          </w:tcPr>
          <w:p w14:paraId="4892075E" w14:textId="77777777" w:rsidR="00AD4274" w:rsidRDefault="00000000">
            <w:pPr>
              <w:jc w:val="center"/>
            </w:pPr>
            <w:r>
              <w:rPr>
                <w:rFonts w:eastAsia="Calibri" w:cs="Calibri"/>
                <w:sz w:val="21"/>
              </w:rPr>
              <w:t>Ethnicity</w:t>
            </w:r>
          </w:p>
        </w:tc>
        <w:tc>
          <w:tcPr>
            <w:tcW w:w="5184" w:type="dxa"/>
            <w:shd w:val="clear" w:color="auto" w:fill="EAF3FB"/>
          </w:tcPr>
          <w:p w14:paraId="2531840E" w14:textId="77777777" w:rsidR="00AD4274" w:rsidRDefault="00000000">
            <w:pPr>
              <w:jc w:val="center"/>
            </w:pPr>
            <w:r>
              <w:rPr>
                <w:rFonts w:eastAsia="Calibri" w:cs="Calibri"/>
                <w:sz w:val="21"/>
              </w:rPr>
              <w:t>Deaths from diabetes and heart attacks highest among South Asian men</w:t>
            </w:r>
          </w:p>
        </w:tc>
      </w:tr>
      <w:tr w:rsidR="00AD4274" w14:paraId="1E610DA4" w14:textId="77777777">
        <w:tc>
          <w:tcPr>
            <w:tcW w:w="3168" w:type="dxa"/>
            <w:shd w:val="clear" w:color="auto" w:fill="FFFFFF"/>
          </w:tcPr>
          <w:p w14:paraId="6485F349" w14:textId="77777777" w:rsidR="00AD4274" w:rsidRDefault="00000000">
            <w:pPr>
              <w:jc w:val="center"/>
            </w:pPr>
            <w:r>
              <w:rPr>
                <w:rFonts w:eastAsia="Calibri" w:cs="Calibri"/>
                <w:sz w:val="21"/>
              </w:rPr>
              <w:t>Mental health</w:t>
            </w:r>
          </w:p>
        </w:tc>
        <w:tc>
          <w:tcPr>
            <w:tcW w:w="5184" w:type="dxa"/>
            <w:shd w:val="clear" w:color="auto" w:fill="FFFFFF"/>
          </w:tcPr>
          <w:p w14:paraId="01D3333B" w14:textId="77777777" w:rsidR="00AD4274" w:rsidRDefault="00000000">
            <w:pPr>
              <w:jc w:val="center"/>
            </w:pPr>
            <w:r>
              <w:rPr>
                <w:rFonts w:eastAsia="Calibri" w:cs="Calibri"/>
                <w:sz w:val="21"/>
              </w:rPr>
              <w:t>One in eight men in England has a common mental health problem (e.g. anxiety, depression)</w:t>
            </w:r>
          </w:p>
        </w:tc>
      </w:tr>
      <w:tr w:rsidR="00AD4274" w14:paraId="3A9039E4" w14:textId="77777777">
        <w:tc>
          <w:tcPr>
            <w:tcW w:w="3168" w:type="dxa"/>
            <w:shd w:val="clear" w:color="auto" w:fill="EAF3FB"/>
          </w:tcPr>
          <w:p w14:paraId="0C5510B2" w14:textId="77777777" w:rsidR="00AD4274" w:rsidRDefault="00000000">
            <w:pPr>
              <w:jc w:val="center"/>
            </w:pPr>
            <w:r>
              <w:rPr>
                <w:rFonts w:eastAsia="Calibri" w:cs="Calibri"/>
                <w:sz w:val="21"/>
              </w:rPr>
              <w:t>Health checks</w:t>
            </w:r>
          </w:p>
        </w:tc>
        <w:tc>
          <w:tcPr>
            <w:tcW w:w="5184" w:type="dxa"/>
            <w:shd w:val="clear" w:color="auto" w:fill="EAF3FB"/>
          </w:tcPr>
          <w:p w14:paraId="366E250D" w14:textId="77777777" w:rsidR="00AD4274" w:rsidRDefault="00000000">
            <w:pPr>
              <w:jc w:val="center"/>
            </w:pPr>
            <w:r>
              <w:rPr>
                <w:rFonts w:eastAsia="Calibri" w:cs="Calibri"/>
                <w:sz w:val="21"/>
              </w:rPr>
              <w:t>Only 37% of eligible men had ever been invited for an NHS Health Check (Healthwatch, 2025)</w:t>
            </w:r>
          </w:p>
        </w:tc>
      </w:tr>
      <w:tr w:rsidR="00AD4274" w14:paraId="072B957B" w14:textId="77777777">
        <w:tc>
          <w:tcPr>
            <w:tcW w:w="3168" w:type="dxa"/>
            <w:shd w:val="clear" w:color="auto" w:fill="FFFFFF"/>
          </w:tcPr>
          <w:p w14:paraId="4A09B552" w14:textId="77777777" w:rsidR="00AD4274" w:rsidRDefault="00000000">
            <w:pPr>
              <w:jc w:val="center"/>
            </w:pPr>
            <w:r>
              <w:rPr>
                <w:rFonts w:eastAsia="Calibri" w:cs="Calibri"/>
                <w:sz w:val="21"/>
              </w:rPr>
              <w:t>Cancer red flags</w:t>
            </w:r>
          </w:p>
        </w:tc>
        <w:tc>
          <w:tcPr>
            <w:tcW w:w="5184" w:type="dxa"/>
            <w:shd w:val="clear" w:color="auto" w:fill="FFFFFF"/>
          </w:tcPr>
          <w:p w14:paraId="717DEE4B" w14:textId="77777777" w:rsidR="00AD4274" w:rsidRDefault="00000000">
            <w:pPr>
              <w:jc w:val="center"/>
            </w:pPr>
            <w:r>
              <w:rPr>
                <w:rFonts w:eastAsia="Calibri" w:cs="Calibri"/>
                <w:sz w:val="21"/>
              </w:rPr>
              <w:t>Men are 2% more likely than women to wait over 6 months before consulting a GP with symptoms (8.2% vs 6.2%)</w:t>
            </w:r>
          </w:p>
        </w:tc>
      </w:tr>
    </w:tbl>
    <w:p w14:paraId="2E124842" w14:textId="77777777" w:rsidR="00AD4274" w:rsidRDefault="00AD4274">
      <w:pPr>
        <w:spacing w:after="120"/>
      </w:pPr>
    </w:p>
    <w:tbl>
      <w:tblPr>
        <w:tblStyle w:val="TableGrid"/>
        <w:tblW w:w="0" w:type="auto"/>
        <w:tblLook w:val="04A0" w:firstRow="1" w:lastRow="0" w:firstColumn="1" w:lastColumn="0" w:noHBand="0" w:noVBand="1"/>
      </w:tblPr>
      <w:tblGrid>
        <w:gridCol w:w="9406"/>
      </w:tblGrid>
      <w:tr w:rsidR="00AD4274" w14:paraId="310BADA2" w14:textId="77777777">
        <w:tc>
          <w:tcPr>
            <w:tcW w:w="9406" w:type="dxa"/>
            <w:shd w:val="clear" w:color="auto" w:fill="2E7D32"/>
          </w:tcPr>
          <w:p w14:paraId="0E6AC4C7" w14:textId="77777777" w:rsidR="00AD4274" w:rsidRDefault="00000000">
            <w:pPr>
              <w:spacing w:before="80" w:after="80"/>
            </w:pPr>
            <w:r>
              <w:rPr>
                <w:rFonts w:eastAsia="Calibri" w:cs="Calibri"/>
                <w:b/>
                <w:color w:val="FFFFFF"/>
              </w:rPr>
              <w:t>The Men's Health Strategy for England — Key Priorities (DHSC, November 2025)</w:t>
            </w:r>
          </w:p>
        </w:tc>
      </w:tr>
      <w:tr w:rsidR="00AD4274" w14:paraId="30DC6612" w14:textId="77777777">
        <w:tc>
          <w:tcPr>
            <w:tcW w:w="9406" w:type="dxa"/>
            <w:shd w:val="clear" w:color="auto" w:fill="F9F9F9"/>
          </w:tcPr>
          <w:p w14:paraId="2810E131" w14:textId="77777777" w:rsidR="00AD4274" w:rsidRDefault="00AD4274"/>
          <w:p w14:paraId="2A9BD744" w14:textId="77777777" w:rsidR="00AD4274" w:rsidRDefault="00000000">
            <w:pPr>
              <w:spacing w:before="40" w:after="40"/>
            </w:pPr>
            <w:r>
              <w:rPr>
                <w:rFonts w:eastAsia="Calibri" w:cs="Calibri"/>
                <w:color w:val="1E1E1E"/>
                <w:sz w:val="21"/>
              </w:rPr>
              <w:t>1. Expand access to support services for men.</w:t>
            </w:r>
          </w:p>
          <w:p w14:paraId="379E039A" w14:textId="77777777" w:rsidR="00AD4274" w:rsidRDefault="00000000">
            <w:pPr>
              <w:spacing w:before="40" w:after="40"/>
            </w:pPr>
            <w:r>
              <w:rPr>
                <w:rFonts w:eastAsia="Calibri" w:cs="Calibri"/>
                <w:color w:val="1E1E1E"/>
                <w:sz w:val="21"/>
              </w:rPr>
              <w:t>2. Help men take better care of their own physical health and mental wellbeing.</w:t>
            </w:r>
          </w:p>
          <w:p w14:paraId="43FCF1C1" w14:textId="77777777" w:rsidR="00AD4274" w:rsidRDefault="00000000">
            <w:pPr>
              <w:spacing w:before="40" w:after="40"/>
            </w:pPr>
            <w:r>
              <w:rPr>
                <w:rFonts w:eastAsia="Calibri" w:cs="Calibri"/>
                <w:color w:val="1E1E1E"/>
                <w:sz w:val="21"/>
              </w:rPr>
              <w:t>3. Challenge stigma and empower every man to seek help.</w:t>
            </w:r>
          </w:p>
          <w:p w14:paraId="59D3458A" w14:textId="77777777" w:rsidR="00AD4274" w:rsidRDefault="00000000">
            <w:pPr>
              <w:spacing w:before="40" w:after="40"/>
            </w:pPr>
            <w:r>
              <w:rPr>
                <w:rFonts w:eastAsia="Calibri" w:cs="Calibri"/>
                <w:color w:val="1E1E1E"/>
                <w:sz w:val="21"/>
              </w:rPr>
              <w:t>4. Move from sickness to prevention — bring healthcare to where men are (workplaces, community).</w:t>
            </w:r>
          </w:p>
          <w:p w14:paraId="191FA377" w14:textId="77777777" w:rsidR="00AD4274" w:rsidRDefault="00000000">
            <w:pPr>
              <w:spacing w:before="40" w:after="40"/>
            </w:pPr>
            <w:r>
              <w:rPr>
                <w:rFonts w:eastAsia="Calibri" w:cs="Calibri"/>
                <w:color w:val="1E1E1E"/>
                <w:sz w:val="21"/>
              </w:rPr>
              <w:t>5. Ensure men's health is embedded in NHS commissioning, workforce planning, and digital innovation.</w:t>
            </w:r>
          </w:p>
          <w:p w14:paraId="6DCEC805" w14:textId="77777777" w:rsidR="00AD4274" w:rsidRDefault="00000000">
            <w:pPr>
              <w:spacing w:before="40" w:after="40"/>
            </w:pPr>
            <w:r>
              <w:rPr>
                <w:rFonts w:eastAsia="Calibri" w:cs="Calibri"/>
                <w:color w:val="1E1E1E"/>
                <w:sz w:val="21"/>
              </w:rPr>
              <w:t>6. Address inequalities: deprivation, ethnicity, and social exclusion.</w:t>
            </w:r>
          </w:p>
        </w:tc>
      </w:tr>
    </w:tbl>
    <w:p w14:paraId="12449CEE" w14:textId="77777777" w:rsidR="00AD4274" w:rsidRDefault="00AD4274">
      <w:pPr>
        <w:spacing w:after="120"/>
      </w:pPr>
    </w:p>
    <w:p w14:paraId="6D450883" w14:textId="77777777" w:rsidR="00AD4274" w:rsidRDefault="00000000">
      <w:pPr>
        <w:spacing w:before="240" w:after="80"/>
      </w:pPr>
      <w:r>
        <w:rPr>
          <w:rFonts w:eastAsia="Calibri" w:cs="Calibri"/>
          <w:b/>
          <w:color w:val="00467F"/>
          <w:sz w:val="36"/>
        </w:rPr>
        <w:t>7. Implications for GP Trainees</w:t>
      </w:r>
    </w:p>
    <w:tbl>
      <w:tblPr>
        <w:tblStyle w:val="TableGrid"/>
        <w:tblW w:w="0" w:type="auto"/>
        <w:tblLook w:val="04A0" w:firstRow="1" w:lastRow="0" w:firstColumn="1" w:lastColumn="0" w:noHBand="0" w:noVBand="1"/>
      </w:tblPr>
      <w:tblGrid>
        <w:gridCol w:w="9406"/>
      </w:tblGrid>
      <w:tr w:rsidR="00AD4274" w14:paraId="0435AE78" w14:textId="77777777">
        <w:tc>
          <w:tcPr>
            <w:tcW w:w="9406" w:type="dxa"/>
            <w:shd w:val="clear" w:color="auto" w:fill="0D47A1"/>
          </w:tcPr>
          <w:p w14:paraId="0C647052" w14:textId="77777777" w:rsidR="00AD4274" w:rsidRDefault="00000000">
            <w:pPr>
              <w:spacing w:before="80" w:after="80"/>
            </w:pPr>
            <w:r>
              <w:rPr>
                <w:rFonts w:eastAsia="Calibri" w:cs="Calibri"/>
                <w:b/>
                <w:color w:val="FFFFFF"/>
              </w:rPr>
              <w:t>In the Consultation — Practical Tips</w:t>
            </w:r>
          </w:p>
        </w:tc>
      </w:tr>
      <w:tr w:rsidR="00AD4274" w14:paraId="61DD168F" w14:textId="77777777">
        <w:tc>
          <w:tcPr>
            <w:tcW w:w="9406" w:type="dxa"/>
            <w:shd w:val="clear" w:color="auto" w:fill="F9F9F9"/>
          </w:tcPr>
          <w:p w14:paraId="1A72D94F" w14:textId="77777777" w:rsidR="00AD4274" w:rsidRDefault="00AD4274"/>
          <w:p w14:paraId="43076984" w14:textId="77777777" w:rsidR="00AD4274" w:rsidRDefault="00000000">
            <w:pPr>
              <w:spacing w:before="40" w:after="40"/>
            </w:pPr>
            <w:r>
              <w:rPr>
                <w:rFonts w:eastAsia="Calibri" w:cs="Calibri"/>
                <w:color w:val="1E1E1E"/>
                <w:sz w:val="21"/>
              </w:rPr>
              <w:t>Use a non-judgmental, open approach: 'Many people find it hard to come and see us — I'm glad you're here.'</w:t>
            </w:r>
          </w:p>
          <w:p w14:paraId="0E67C12D" w14:textId="77777777" w:rsidR="00AD4274" w:rsidRDefault="00000000">
            <w:pPr>
              <w:spacing w:before="40" w:after="40"/>
            </w:pPr>
            <w:r>
              <w:rPr>
                <w:rFonts w:eastAsia="Calibri" w:cs="Calibri"/>
                <w:color w:val="1E1E1E"/>
                <w:sz w:val="21"/>
              </w:rPr>
              <w:t>Avoid language that implies blame for delay: focus forward ('Let's see what we can do now').</w:t>
            </w:r>
          </w:p>
          <w:p w14:paraId="3D6A951E" w14:textId="77777777" w:rsidR="00AD4274" w:rsidRDefault="00000000">
            <w:pPr>
              <w:spacing w:before="40" w:after="40"/>
            </w:pPr>
            <w:r>
              <w:rPr>
                <w:rFonts w:eastAsia="Calibri" w:cs="Calibri"/>
                <w:color w:val="1E1E1E"/>
                <w:sz w:val="21"/>
              </w:rPr>
              <w:t>Screen proactively: if a man attends for any reason, consider brief enquiry about mental health, cardiovascular risk, alcohol, and smoking.</w:t>
            </w:r>
          </w:p>
          <w:p w14:paraId="3CE77B76" w14:textId="77777777" w:rsidR="00AD4274" w:rsidRDefault="00000000">
            <w:pPr>
              <w:spacing w:before="40" w:after="40"/>
            </w:pPr>
            <w:r>
              <w:rPr>
                <w:rFonts w:eastAsia="Calibri" w:cs="Calibri"/>
                <w:color w:val="1E1E1E"/>
                <w:sz w:val="21"/>
              </w:rPr>
              <w:t>Offer written information and signposting — men often prefer to research independently first.</w:t>
            </w:r>
          </w:p>
          <w:p w14:paraId="1778365C" w14:textId="77777777" w:rsidR="00AD4274" w:rsidRDefault="00000000">
            <w:pPr>
              <w:spacing w:before="40" w:after="40"/>
            </w:pPr>
            <w:r>
              <w:rPr>
                <w:rFonts w:eastAsia="Calibri" w:cs="Calibri"/>
                <w:color w:val="1E1E1E"/>
                <w:sz w:val="21"/>
              </w:rPr>
              <w:t>Flexible access: telephone/online appointments may reduce barriers related to work and embarrassment.</w:t>
            </w:r>
          </w:p>
          <w:p w14:paraId="79CA2EC0" w14:textId="77777777" w:rsidR="00AD4274" w:rsidRDefault="00000000">
            <w:pPr>
              <w:spacing w:before="40" w:after="40"/>
            </w:pPr>
            <w:r>
              <w:rPr>
                <w:rFonts w:eastAsia="Calibri" w:cs="Calibri"/>
                <w:color w:val="1E1E1E"/>
                <w:sz w:val="21"/>
              </w:rPr>
              <w:t>Safety-net explicitly: 'If you're worried about anything, please do come back — you won't be wasting our time.'</w:t>
            </w:r>
          </w:p>
          <w:p w14:paraId="5C7078F4" w14:textId="77777777" w:rsidR="00AD4274" w:rsidRDefault="00000000">
            <w:pPr>
              <w:spacing w:before="40" w:after="40"/>
            </w:pPr>
            <w:r>
              <w:rPr>
                <w:rFonts w:eastAsia="Calibri" w:cs="Calibri"/>
                <w:color w:val="1E1E1E"/>
                <w:sz w:val="21"/>
              </w:rPr>
              <w:t>Involve men in shared decision-making — this increases engagement and adherence.</w:t>
            </w:r>
          </w:p>
        </w:tc>
      </w:tr>
    </w:tbl>
    <w:p w14:paraId="79B757B1" w14:textId="77777777" w:rsidR="00AD4274" w:rsidRDefault="00AD4274">
      <w:pPr>
        <w:spacing w:after="120"/>
      </w:pPr>
    </w:p>
    <w:tbl>
      <w:tblPr>
        <w:tblStyle w:val="TableGrid"/>
        <w:tblW w:w="0" w:type="auto"/>
        <w:tblLook w:val="04A0" w:firstRow="1" w:lastRow="0" w:firstColumn="1" w:lastColumn="0" w:noHBand="0" w:noVBand="1"/>
      </w:tblPr>
      <w:tblGrid>
        <w:gridCol w:w="9406"/>
      </w:tblGrid>
      <w:tr w:rsidR="00AD4274" w14:paraId="2CB3566C" w14:textId="77777777">
        <w:tc>
          <w:tcPr>
            <w:tcW w:w="9406" w:type="dxa"/>
            <w:shd w:val="clear" w:color="auto" w:fill="00695C"/>
          </w:tcPr>
          <w:p w14:paraId="09AC2926" w14:textId="77777777" w:rsidR="00AD4274" w:rsidRDefault="00000000">
            <w:pPr>
              <w:spacing w:before="80" w:after="80"/>
            </w:pPr>
            <w:r>
              <w:rPr>
                <w:rFonts w:eastAsia="Calibri" w:cs="Calibri"/>
                <w:b/>
                <w:color w:val="FFFFFF"/>
              </w:rPr>
              <w:t>SCA Exam Focus</w:t>
            </w:r>
          </w:p>
        </w:tc>
      </w:tr>
      <w:tr w:rsidR="00AD4274" w14:paraId="67AA9627" w14:textId="77777777">
        <w:tc>
          <w:tcPr>
            <w:tcW w:w="9406" w:type="dxa"/>
            <w:shd w:val="clear" w:color="auto" w:fill="F9F9F9"/>
          </w:tcPr>
          <w:p w14:paraId="770728E0" w14:textId="77777777" w:rsidR="00AD4274" w:rsidRDefault="00AD4274"/>
          <w:p w14:paraId="68B809B1" w14:textId="77777777" w:rsidR="00AD4274" w:rsidRDefault="00000000">
            <w:pPr>
              <w:spacing w:before="40" w:after="40"/>
            </w:pPr>
            <w:r>
              <w:rPr>
                <w:rFonts w:eastAsia="Calibri" w:cs="Calibri"/>
                <w:color w:val="1E1E1E"/>
                <w:sz w:val="21"/>
              </w:rPr>
              <w:t>This topic appears in SCA cases involving: a man who has delayed coming to the GP; a man attending for the first time with a long-standing problem; health promotion / NHS Health Check scenarios.</w:t>
            </w:r>
          </w:p>
          <w:p w14:paraId="7758AFED" w14:textId="77777777" w:rsidR="00AD4274" w:rsidRDefault="00000000">
            <w:pPr>
              <w:spacing w:before="40" w:after="40"/>
            </w:pPr>
            <w:r>
              <w:rPr>
                <w:rFonts w:eastAsia="Calibri" w:cs="Calibri"/>
                <w:color w:val="1E1E1E"/>
                <w:sz w:val="21"/>
              </w:rPr>
              <w:lastRenderedPageBreak/>
              <w:t>Demonstrate empathy without being paternalistic.</w:t>
            </w:r>
          </w:p>
          <w:p w14:paraId="20621521" w14:textId="77777777" w:rsidR="00AD4274" w:rsidRDefault="00000000">
            <w:pPr>
              <w:spacing w:before="40" w:after="40"/>
            </w:pPr>
            <w:r>
              <w:rPr>
                <w:rFonts w:eastAsia="Calibri" w:cs="Calibri"/>
                <w:color w:val="1E1E1E"/>
                <w:sz w:val="21"/>
              </w:rPr>
              <w:t>Explore ICE (Ideas, Concerns, Expectations) and barriers to engagement.</w:t>
            </w:r>
          </w:p>
          <w:p w14:paraId="6DD15A8B" w14:textId="77777777" w:rsidR="00AD4274" w:rsidRDefault="00000000">
            <w:pPr>
              <w:spacing w:before="40" w:after="40"/>
            </w:pPr>
            <w:r>
              <w:rPr>
                <w:rFonts w:eastAsia="Calibri" w:cs="Calibri"/>
                <w:color w:val="1E1E1E"/>
                <w:sz w:val="21"/>
              </w:rPr>
              <w:t>Demonstrate that you understand the social/cultural context — avoid assumptions.</w:t>
            </w:r>
          </w:p>
          <w:p w14:paraId="138B723F" w14:textId="77777777" w:rsidR="00AD4274" w:rsidRDefault="00000000">
            <w:pPr>
              <w:spacing w:before="40" w:after="40"/>
            </w:pPr>
            <w:r>
              <w:rPr>
                <w:rFonts w:eastAsia="Calibri" w:cs="Calibri"/>
                <w:color w:val="1E1E1E"/>
                <w:sz w:val="21"/>
              </w:rPr>
              <w:t>Safety-net appropriately: specify the symptom, timeframe, and where to go.</w:t>
            </w:r>
          </w:p>
        </w:tc>
      </w:tr>
    </w:tbl>
    <w:p w14:paraId="164F4A03" w14:textId="77777777" w:rsidR="00AD4274" w:rsidRDefault="00AD4274">
      <w:pPr>
        <w:spacing w:after="120"/>
      </w:pPr>
    </w:p>
    <w:tbl>
      <w:tblPr>
        <w:tblStyle w:val="TableGrid"/>
        <w:tblW w:w="0" w:type="auto"/>
        <w:tblLook w:val="04A0" w:firstRow="1" w:lastRow="0" w:firstColumn="1" w:lastColumn="0" w:noHBand="0" w:noVBand="1"/>
      </w:tblPr>
      <w:tblGrid>
        <w:gridCol w:w="9406"/>
      </w:tblGrid>
      <w:tr w:rsidR="00AD4274" w14:paraId="25624082" w14:textId="77777777">
        <w:tc>
          <w:tcPr>
            <w:tcW w:w="9406" w:type="dxa"/>
            <w:shd w:val="clear" w:color="auto" w:fill="4527A0"/>
          </w:tcPr>
          <w:p w14:paraId="7AD70185" w14:textId="77777777" w:rsidR="00AD4274" w:rsidRDefault="00000000">
            <w:pPr>
              <w:spacing w:before="80" w:after="80"/>
            </w:pPr>
            <w:r>
              <w:rPr>
                <w:rFonts w:eastAsia="Calibri" w:cs="Calibri"/>
                <w:b/>
                <w:color w:val="FFFFFF"/>
              </w:rPr>
              <w:t>AKT Exam Hints</w:t>
            </w:r>
          </w:p>
        </w:tc>
      </w:tr>
      <w:tr w:rsidR="00AD4274" w14:paraId="3434C2BC" w14:textId="77777777">
        <w:tc>
          <w:tcPr>
            <w:tcW w:w="9406" w:type="dxa"/>
            <w:shd w:val="clear" w:color="auto" w:fill="F9F9F9"/>
          </w:tcPr>
          <w:p w14:paraId="45517200" w14:textId="77777777" w:rsidR="00AD4274" w:rsidRDefault="00AD4274"/>
          <w:p w14:paraId="608F3B5F" w14:textId="77777777" w:rsidR="00AD4274" w:rsidRDefault="00000000">
            <w:pPr>
              <w:spacing w:before="40" w:after="40"/>
            </w:pPr>
            <w:r>
              <w:rPr>
                <w:rFonts w:eastAsia="Calibri" w:cs="Calibri"/>
                <w:color w:val="1E1E1E"/>
                <w:sz w:val="21"/>
              </w:rPr>
              <w:t>Know the headline statistics from the 2025 Men's Health Strategy for England.</w:t>
            </w:r>
          </w:p>
          <w:p w14:paraId="71E58F63" w14:textId="77777777" w:rsidR="00AD4274" w:rsidRDefault="00000000">
            <w:pPr>
              <w:spacing w:before="40" w:after="40"/>
            </w:pPr>
            <w:r>
              <w:rPr>
                <w:rFonts w:eastAsia="Calibri" w:cs="Calibri"/>
                <w:color w:val="1E1E1E"/>
                <w:sz w:val="21"/>
              </w:rPr>
              <w:t>Suicide is the leading cause of death in men under 50 — likely to appear in single best answer (SBA) format.</w:t>
            </w:r>
          </w:p>
          <w:p w14:paraId="0EBACE0A" w14:textId="77777777" w:rsidR="00AD4274" w:rsidRDefault="00000000">
            <w:pPr>
              <w:spacing w:before="40" w:after="40"/>
            </w:pPr>
            <w:r>
              <w:rPr>
                <w:rFonts w:eastAsia="Calibri" w:cs="Calibri"/>
                <w:color w:val="1E1E1E"/>
                <w:sz w:val="21"/>
              </w:rPr>
              <w:t>54% of men did not seek medical help for a health concern in the last 3 years.</w:t>
            </w:r>
          </w:p>
          <w:p w14:paraId="2F7F1FE3" w14:textId="77777777" w:rsidR="00AD4274" w:rsidRDefault="00000000">
            <w:pPr>
              <w:spacing w:before="40" w:after="40"/>
            </w:pPr>
            <w:r>
              <w:rPr>
                <w:rFonts w:eastAsia="Calibri" w:cs="Calibri"/>
                <w:color w:val="1E1E1E"/>
                <w:sz w:val="21"/>
              </w:rPr>
              <w:t>Men's healthy life expectancy = 61.5 years on average; this has fallen by 1.5 years in the last decade.</w:t>
            </w:r>
          </w:p>
          <w:p w14:paraId="3AF72187" w14:textId="77777777" w:rsidR="00AD4274" w:rsidRDefault="00000000">
            <w:pPr>
              <w:spacing w:before="40" w:after="40"/>
            </w:pPr>
            <w:r>
              <w:rPr>
                <w:rFonts w:eastAsia="Calibri" w:cs="Calibri"/>
                <w:color w:val="1E1E1E"/>
                <w:sz w:val="21"/>
              </w:rPr>
              <w:t>Only 37% of eligible men had been invited for an NHS Health Check.</w:t>
            </w:r>
          </w:p>
          <w:p w14:paraId="35CE1E9F" w14:textId="77777777" w:rsidR="00AD4274" w:rsidRDefault="00000000">
            <w:pPr>
              <w:spacing w:before="40" w:after="40"/>
            </w:pPr>
            <w:r>
              <w:rPr>
                <w:rFonts w:eastAsia="Calibri" w:cs="Calibri"/>
                <w:color w:val="1E1E1E"/>
                <w:sz w:val="21"/>
              </w:rPr>
              <w:t>Top barrier: limited availability / waiting lists (43%).</w:t>
            </w:r>
          </w:p>
          <w:p w14:paraId="3F7986CA" w14:textId="77777777" w:rsidR="00AD4274" w:rsidRDefault="00000000">
            <w:pPr>
              <w:spacing w:before="40" w:after="40"/>
            </w:pPr>
            <w:r>
              <w:rPr>
                <w:rFonts w:eastAsia="Calibri" w:cs="Calibri"/>
                <w:color w:val="1E1E1E"/>
                <w:sz w:val="21"/>
              </w:rPr>
              <w:t>Know the hierarchy of barriers — avoidance, normalisation, societal norms.</w:t>
            </w:r>
          </w:p>
        </w:tc>
      </w:tr>
    </w:tbl>
    <w:p w14:paraId="671F677C" w14:textId="77777777" w:rsidR="00AD4274" w:rsidRDefault="00AD4274">
      <w:pPr>
        <w:spacing w:after="120"/>
      </w:pPr>
    </w:p>
    <w:tbl>
      <w:tblPr>
        <w:tblStyle w:val="TableGrid"/>
        <w:tblW w:w="0" w:type="auto"/>
        <w:tblLook w:val="04A0" w:firstRow="1" w:lastRow="0" w:firstColumn="1" w:lastColumn="0" w:noHBand="0" w:noVBand="1"/>
      </w:tblPr>
      <w:tblGrid>
        <w:gridCol w:w="9406"/>
      </w:tblGrid>
      <w:tr w:rsidR="00AD4274" w14:paraId="1FC8E954" w14:textId="77777777">
        <w:tc>
          <w:tcPr>
            <w:tcW w:w="9406" w:type="dxa"/>
            <w:shd w:val="clear" w:color="auto" w:fill="B71C1C"/>
          </w:tcPr>
          <w:p w14:paraId="3AD1DAEF" w14:textId="77777777" w:rsidR="00AD4274" w:rsidRDefault="00000000">
            <w:pPr>
              <w:spacing w:before="80" w:after="80"/>
            </w:pPr>
            <w:r>
              <w:rPr>
                <w:rFonts w:eastAsia="Calibri" w:cs="Calibri"/>
                <w:b/>
                <w:color w:val="FFFFFF"/>
              </w:rPr>
              <w:t>Red Flags — Do Not Miss in Male Patients</w:t>
            </w:r>
          </w:p>
        </w:tc>
      </w:tr>
      <w:tr w:rsidR="00AD4274" w14:paraId="58C734FC" w14:textId="77777777">
        <w:tc>
          <w:tcPr>
            <w:tcW w:w="9406" w:type="dxa"/>
            <w:shd w:val="clear" w:color="auto" w:fill="F9F9F9"/>
          </w:tcPr>
          <w:p w14:paraId="79AC0192" w14:textId="77777777" w:rsidR="00AD4274" w:rsidRDefault="00AD4274"/>
          <w:p w14:paraId="56C537DF" w14:textId="77777777" w:rsidR="00AD4274" w:rsidRDefault="00000000">
            <w:pPr>
              <w:spacing w:before="40" w:after="40"/>
            </w:pPr>
            <w:r>
              <w:rPr>
                <w:rFonts w:eastAsia="Calibri" w:cs="Calibri"/>
                <w:color w:val="1E1E1E"/>
                <w:sz w:val="21"/>
              </w:rPr>
              <w:t>Suicidal ideation or self-harm — men are less likely to disclose; ask directly.</w:t>
            </w:r>
          </w:p>
          <w:p w14:paraId="66FD4D56" w14:textId="77777777" w:rsidR="00AD4274" w:rsidRDefault="00000000">
            <w:pPr>
              <w:spacing w:before="40" w:after="40"/>
            </w:pPr>
            <w:r>
              <w:rPr>
                <w:rFonts w:eastAsia="Calibri" w:cs="Calibri"/>
                <w:color w:val="1E1E1E"/>
                <w:sz w:val="21"/>
              </w:rPr>
              <w:t>Cancer red flag symptoms (e.g. haematuria, rectal bleeding, dysphagia, unexplained weight loss) — men delay longer.</w:t>
            </w:r>
          </w:p>
          <w:p w14:paraId="1E8CC897" w14:textId="77777777" w:rsidR="00AD4274" w:rsidRDefault="00000000">
            <w:pPr>
              <w:spacing w:before="40" w:after="40"/>
            </w:pPr>
            <w:r>
              <w:rPr>
                <w:rFonts w:eastAsia="Calibri" w:cs="Calibri"/>
                <w:color w:val="1E1E1E"/>
                <w:sz w:val="21"/>
              </w:rPr>
              <w:t>Chest pain or cardiovascular symptoms — men less likely to act on them promptly.</w:t>
            </w:r>
          </w:p>
          <w:p w14:paraId="19F8155C" w14:textId="77777777" w:rsidR="00AD4274" w:rsidRDefault="00000000">
            <w:pPr>
              <w:spacing w:before="40" w:after="40"/>
            </w:pPr>
            <w:r>
              <w:rPr>
                <w:rFonts w:eastAsia="Calibri" w:cs="Calibri"/>
                <w:color w:val="1E1E1E"/>
                <w:sz w:val="21"/>
              </w:rPr>
              <w:t>Testicular or penile symptoms — embarrassment is a common barrier to disclosure.</w:t>
            </w:r>
          </w:p>
          <w:p w14:paraId="5D582F5B" w14:textId="77777777" w:rsidR="00AD4274" w:rsidRDefault="00000000">
            <w:pPr>
              <w:spacing w:before="40" w:after="40"/>
            </w:pPr>
            <w:r>
              <w:rPr>
                <w:rFonts w:eastAsia="Calibri" w:cs="Calibri"/>
                <w:color w:val="1E1E1E"/>
                <w:sz w:val="21"/>
              </w:rPr>
              <w:t>Alcohol misuse — normalised in male culture; use CAGE or AUDIT-C to screen.</w:t>
            </w:r>
          </w:p>
          <w:p w14:paraId="1B1D9419" w14:textId="77777777" w:rsidR="00AD4274" w:rsidRDefault="00000000">
            <w:pPr>
              <w:spacing w:before="40" w:after="40"/>
            </w:pPr>
            <w:r>
              <w:rPr>
                <w:rFonts w:eastAsia="Calibri" w:cs="Calibri"/>
                <w:color w:val="1E1E1E"/>
                <w:sz w:val="21"/>
              </w:rPr>
              <w:t>Domestic abuse (as victim) — significantly under-reported and under-recognised in male patients.</w:t>
            </w:r>
          </w:p>
        </w:tc>
      </w:tr>
    </w:tbl>
    <w:p w14:paraId="6D488056" w14:textId="77777777" w:rsidR="00AD4274" w:rsidRDefault="00AD4274">
      <w:pPr>
        <w:spacing w:after="120"/>
      </w:pPr>
    </w:p>
    <w:p w14:paraId="6B50FFF7" w14:textId="77777777" w:rsidR="00AD4274" w:rsidRDefault="00000000">
      <w:pPr>
        <w:spacing w:before="240" w:after="80"/>
      </w:pPr>
      <w:r>
        <w:rPr>
          <w:rFonts w:eastAsia="Calibri" w:cs="Calibri"/>
          <w:b/>
          <w:color w:val="00467F"/>
          <w:sz w:val="36"/>
        </w:rPr>
        <w:t>References</w:t>
      </w:r>
    </w:p>
    <w:p w14:paraId="1D78A5BD" w14:textId="77777777" w:rsidR="00AD4274" w:rsidRDefault="00000000">
      <w:pPr>
        <w:spacing w:before="40" w:after="40"/>
      </w:pPr>
      <w:r>
        <w:rPr>
          <w:rFonts w:eastAsia="Calibri" w:cs="Calibri"/>
          <w:color w:val="3C3C3C"/>
          <w:sz w:val="18"/>
        </w:rPr>
        <w:t>[1] Department of Health and Social Care / NHS England. Men's Health: A Strategic Vision for England (CP 1432). Published 19 November 2025, corrected 8 December 2025. Available at: https://www.gov.uk/government/publications/mens-health-strategy-for-england/mens-health-a-strategic-vision-for-england-accessible-version</w:t>
      </w:r>
    </w:p>
    <w:p w14:paraId="387AF2A4" w14:textId="77777777" w:rsidR="00AD4274" w:rsidRDefault="00000000">
      <w:pPr>
        <w:spacing w:before="40" w:after="40"/>
      </w:pPr>
      <w:r>
        <w:rPr>
          <w:rFonts w:eastAsia="Calibri" w:cs="Calibri"/>
          <w:color w:val="3C3C3C"/>
          <w:sz w:val="18"/>
        </w:rPr>
        <w:t>[2] DHSC. Men's Health Strategy for England — Call for Evidence Summary Report. November 2025. Available at: https://www.gov.uk/government/calls-for-evidence/mens-health-strategy-for-england-call-for-evidence/outcome/mens-health-strategy-for-england-call-for-evidence-summary-report</w:t>
      </w:r>
    </w:p>
    <w:p w14:paraId="5FBB5325" w14:textId="77777777" w:rsidR="00AD4274" w:rsidRDefault="00000000">
      <w:pPr>
        <w:spacing w:before="40" w:after="40"/>
      </w:pPr>
      <w:r>
        <w:rPr>
          <w:rFonts w:eastAsia="Calibri" w:cs="Calibri"/>
          <w:color w:val="3C3C3C"/>
          <w:sz w:val="18"/>
        </w:rPr>
        <w:t>[3] NHS Business Services Authority. Dental Statistics — England 2024/25. Published August 2025, updated 27 March 2026. Available at: https://www.nhsbsa.nhs.uk/statistical-collections/dental-england/dental-statistics-england-202425</w:t>
      </w:r>
    </w:p>
    <w:p w14:paraId="30719CEA" w14:textId="77777777" w:rsidR="00AD4274" w:rsidRDefault="00000000">
      <w:pPr>
        <w:spacing w:before="40" w:after="40"/>
      </w:pPr>
      <w:r>
        <w:rPr>
          <w:rFonts w:eastAsia="Calibri" w:cs="Calibri"/>
          <w:color w:val="3C3C3C"/>
          <w:sz w:val="18"/>
        </w:rPr>
        <w:t>[4] Healthwatch England. Men's Health: How to Improve Health Outcomes, Knowledge and Behaviours. 5 November 2025. Available at: https://www.healthwatch.co.uk</w:t>
      </w:r>
    </w:p>
    <w:p w14:paraId="119D9B1F" w14:textId="77777777" w:rsidR="00AD4274" w:rsidRDefault="00000000">
      <w:pPr>
        <w:spacing w:before="40" w:after="40"/>
      </w:pPr>
      <w:r>
        <w:rPr>
          <w:rFonts w:eastAsia="Calibri" w:cs="Calibri"/>
          <w:color w:val="3C3C3C"/>
          <w:sz w:val="18"/>
        </w:rPr>
        <w:t>[5] NHS Employers. Men's Health Guidance. 2025. Available at: https://www.nhsemployers.org/articles/mens-health-guidance</w:t>
      </w:r>
    </w:p>
    <w:p w14:paraId="6654AD21" w14:textId="77777777" w:rsidR="00AD4274" w:rsidRDefault="00000000">
      <w:pPr>
        <w:spacing w:before="40" w:after="40"/>
      </w:pPr>
      <w:r>
        <w:rPr>
          <w:rFonts w:eastAsia="Calibri" w:cs="Calibri"/>
          <w:color w:val="3C3C3C"/>
          <w:sz w:val="18"/>
        </w:rPr>
        <w:t>[6] NICE. Preventing Suicide in Community and Custodial Settings (NG105). 2018. Available at: https://www.nice.org.uk/guidance/ng105</w:t>
      </w:r>
    </w:p>
    <w:p w14:paraId="5982C605" w14:textId="16BA0E92" w:rsidR="00927F10" w:rsidRDefault="00927F10">
      <w:r>
        <w:br w:type="page"/>
      </w:r>
    </w:p>
    <w:p w14:paraId="7ACDBD65" w14:textId="77777777" w:rsidR="00AD4274" w:rsidRDefault="00AD4274"/>
    <w:tbl>
      <w:tblPr>
        <w:tblStyle w:val="TableGrid"/>
        <w:tblW w:w="0" w:type="auto"/>
        <w:tblLook w:val="04A0" w:firstRow="1" w:lastRow="0" w:firstColumn="1" w:lastColumn="0" w:noHBand="0" w:noVBand="1"/>
      </w:tblPr>
      <w:tblGrid>
        <w:gridCol w:w="9406"/>
      </w:tblGrid>
      <w:tr w:rsidR="00AD4274" w14:paraId="031DB8E5" w14:textId="77777777">
        <w:tc>
          <w:tcPr>
            <w:tcW w:w="9406" w:type="dxa"/>
            <w:shd w:val="clear" w:color="auto" w:fill="E65100"/>
          </w:tcPr>
          <w:p w14:paraId="08F39166" w14:textId="77777777" w:rsidR="00AD4274" w:rsidRDefault="00000000">
            <w:pPr>
              <w:spacing w:before="80" w:after="80"/>
            </w:pPr>
            <w:r>
              <w:rPr>
                <w:rFonts w:eastAsia="Calibri" w:cs="Calibri"/>
                <w:b/>
                <w:color w:val="FFFFFF"/>
              </w:rPr>
              <w:t>Disclaimer</w:t>
            </w:r>
          </w:p>
        </w:tc>
      </w:tr>
      <w:tr w:rsidR="00AD4274" w14:paraId="0316582B" w14:textId="77777777">
        <w:tc>
          <w:tcPr>
            <w:tcW w:w="9406" w:type="dxa"/>
            <w:shd w:val="clear" w:color="auto" w:fill="F9F9F9"/>
          </w:tcPr>
          <w:p w14:paraId="264ADD91" w14:textId="77777777" w:rsidR="00AD4274" w:rsidRDefault="00AD4274"/>
          <w:p w14:paraId="2122DC3F" w14:textId="77777777" w:rsidR="00AD4274" w:rsidRDefault="00000000">
            <w:pPr>
              <w:spacing w:before="40" w:after="40"/>
            </w:pPr>
            <w:r>
              <w:rPr>
                <w:rFonts w:eastAsia="Calibri" w:cs="Calibri"/>
                <w:color w:val="1E1E1E"/>
                <w:sz w:val="21"/>
              </w:rPr>
              <w:t>Always double check this advice and drug doses with the latest NICE/BNF guidance.</w:t>
            </w:r>
          </w:p>
          <w:p w14:paraId="51681BD3" w14:textId="77777777" w:rsidR="00AD4274" w:rsidRDefault="00000000">
            <w:pPr>
              <w:spacing w:before="40" w:after="40"/>
            </w:pPr>
            <w:r>
              <w:rPr>
                <w:rFonts w:eastAsia="Calibri" w:cs="Calibri"/>
                <w:color w:val="1E1E1E"/>
                <w:sz w:val="21"/>
              </w:rPr>
              <w:t>This document is for educational purposes only.</w:t>
            </w:r>
          </w:p>
          <w:p w14:paraId="22005DAC" w14:textId="77777777" w:rsidR="00AD4274" w:rsidRDefault="00000000">
            <w:pPr>
              <w:spacing w:before="40" w:after="40"/>
            </w:pPr>
            <w:r>
              <w:rPr>
                <w:rFonts w:eastAsia="Calibri" w:cs="Calibri"/>
                <w:color w:val="1E1E1E"/>
                <w:sz w:val="21"/>
              </w:rPr>
              <w:t>Clinical guidance is updated regularly — verify all recommendations against current NICE/BNF sources before applying in practice.</w:t>
            </w:r>
          </w:p>
        </w:tc>
      </w:tr>
    </w:tbl>
    <w:p w14:paraId="0B412471" w14:textId="77777777" w:rsidR="00AD4274" w:rsidRDefault="00AD4274">
      <w:pPr>
        <w:spacing w:after="120"/>
      </w:pPr>
    </w:p>
    <w:sectPr w:rsidR="00AD4274" w:rsidSect="00034616">
      <w:footerReference w:type="default" r:id="rId9"/>
      <w:pgSz w:w="12240" w:h="15840"/>
      <w:pgMar w:top="1020"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6F941" w14:textId="77777777" w:rsidR="0040024C" w:rsidRDefault="0040024C">
      <w:pPr>
        <w:spacing w:after="0" w:line="240" w:lineRule="auto"/>
      </w:pPr>
      <w:r>
        <w:separator/>
      </w:r>
    </w:p>
  </w:endnote>
  <w:endnote w:type="continuationSeparator" w:id="0">
    <w:p w14:paraId="549FB328" w14:textId="77777777" w:rsidR="0040024C" w:rsidRDefault="0040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D937" w14:textId="77777777" w:rsidR="00AD4274" w:rsidRDefault="00000000">
    <w:pPr>
      <w:pStyle w:val="Footer"/>
      <w:jc w:val="center"/>
    </w:pPr>
    <w:r>
      <w:rPr>
        <w:rFonts w:eastAsia="Calibri" w:cs="Calibri"/>
        <w:i/>
        <w:color w:val="646464"/>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2E14D" w14:textId="77777777" w:rsidR="0040024C" w:rsidRDefault="0040024C">
      <w:pPr>
        <w:spacing w:after="0" w:line="240" w:lineRule="auto"/>
      </w:pPr>
      <w:r>
        <w:separator/>
      </w:r>
    </w:p>
  </w:footnote>
  <w:footnote w:type="continuationSeparator" w:id="0">
    <w:p w14:paraId="3891760C" w14:textId="77777777" w:rsidR="0040024C" w:rsidRDefault="00400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E3A362A"/>
    <w:multiLevelType w:val="hybridMultilevel"/>
    <w:tmpl w:val="5674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2832070">
    <w:abstractNumId w:val="8"/>
  </w:num>
  <w:num w:numId="2" w16cid:durableId="1601141164">
    <w:abstractNumId w:val="6"/>
  </w:num>
  <w:num w:numId="3" w16cid:durableId="1296443780">
    <w:abstractNumId w:val="5"/>
  </w:num>
  <w:num w:numId="4" w16cid:durableId="2015841381">
    <w:abstractNumId w:val="4"/>
  </w:num>
  <w:num w:numId="5" w16cid:durableId="1942689458">
    <w:abstractNumId w:val="7"/>
  </w:num>
  <w:num w:numId="6" w16cid:durableId="1571042313">
    <w:abstractNumId w:val="3"/>
  </w:num>
  <w:num w:numId="7" w16cid:durableId="1083379232">
    <w:abstractNumId w:val="2"/>
  </w:num>
  <w:num w:numId="8" w16cid:durableId="249310828">
    <w:abstractNumId w:val="1"/>
  </w:num>
  <w:num w:numId="9" w16cid:durableId="2133747022">
    <w:abstractNumId w:val="0"/>
  </w:num>
  <w:num w:numId="10" w16cid:durableId="11630130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024C"/>
    <w:rsid w:val="00927F10"/>
    <w:rsid w:val="00AA1D8D"/>
    <w:rsid w:val="00AD427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B606D"/>
  <w14:defaultImageDpi w14:val="300"/>
  <w15:docId w15:val="{3C454ABD-EC15-48D5-BCCA-092ECAE0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2026-06-04T10:36:00Z</dcterms:modified>
  <cp:category/>
</cp:coreProperties>
</file>