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type="auto" w:w="0"/>
        <w:jc w:val="center"/>
        <w:tblLayout w:type="autofit"/>
        <w:tblLook w:firstColumn="1" w:firstRow="1" w:lastColumn="0" w:lastRow="0" w:noHBand="0" w:noVBand="1" w:val="04A0"/>
      </w:tblPr>
      <w:tblGrid>
        <w:gridCol w:w="10224"/>
      </w:tblGrid>
      <w:tr>
        <w:tc>
          <w:tcPr>
            <w:tcW w:type="dxa" w:w="10224"/>
            <w:shd w:fill="E87420"/>
            <w:tcMar>
              <w:top w:w="180" w:type="dxa"/>
              <w:start w:w="180" w:type="dxa"/>
              <w:bottom w:w="180" w:type="dxa"/>
              <w:end w:w="180" w:type="dxa"/>
            </w:tcMar>
            <w:tcBorders>
              <w:top w:val="nil"/>
              <w:left w:val="nil"/>
              <w:bottom w:val="nil"/>
              <w:right w:val="nil"/>
            </w:tcBorders>
          </w:tcPr>
          <w:p>
            <w:pPr>
              <w:jc w:val="center"/>
            </w:pPr>
            <w:r>
              <w:rPr>
                <w:rFonts w:ascii="Calibri" w:hAnsi="Calibri" w:eastAsia="Calibri"/>
                <w:b/>
                <w:i w:val="0"/>
                <w:color w:val="FFFFFF"/>
                <w:sz w:val="22"/>
              </w:rPr>
              <w:t>BRADFORD VTS TEACHING AIDS</w:t>
            </w:r>
          </w:p>
        </w:tc>
      </w:tr>
      <w:tr>
        <w:tc>
          <w:tcPr>
            <w:tcW w:type="dxa" w:w="10224"/>
            <w:shd w:fill="E87420"/>
            <w:tcMar>
              <w:top w:w="180" w:type="dxa"/>
              <w:start w:w="180" w:type="dxa"/>
              <w:bottom w:w="180" w:type="dxa"/>
              <w:end w:w="180" w:type="dxa"/>
            </w:tcMar>
            <w:tcBorders>
              <w:top w:val="nil"/>
              <w:left w:val="nil"/>
              <w:bottom w:val="nil"/>
              <w:right w:val="nil"/>
            </w:tcBorders>
          </w:tcPr>
          <w:p>
            <w:pPr>
              <w:jc w:val="center"/>
            </w:pPr>
            <w:r>
              <w:rPr>
                <w:rFonts w:ascii="Calibri" w:hAnsi="Calibri" w:eastAsia="Calibri"/>
                <w:b/>
                <w:i w:val="0"/>
                <w:color w:val="FFFFFF"/>
                <w:sz w:val="76"/>
              </w:rPr>
              <w:t>Antidepressant Switching Guide</w:t>
            </w:r>
          </w:p>
        </w:tc>
      </w:tr>
      <w:tr>
        <w:tc>
          <w:tcPr>
            <w:tcW w:type="dxa" w:w="10224"/>
            <w:shd w:fill="E87420"/>
            <w:tcMar>
              <w:top w:w="180" w:type="dxa"/>
              <w:start w:w="180" w:type="dxa"/>
              <w:bottom w:w="180" w:type="dxa"/>
              <w:end w:w="180" w:type="dxa"/>
            </w:tcMar>
            <w:tcBorders>
              <w:top w:val="nil"/>
              <w:left w:val="nil"/>
              <w:bottom w:val="nil"/>
              <w:right w:val="nil"/>
            </w:tcBorders>
          </w:tcPr>
          <w:p>
            <w:pPr>
              <w:jc w:val="center"/>
            </w:pPr>
            <w:r>
              <w:rPr>
                <w:rFonts w:ascii="Calibri" w:hAnsi="Calibri" w:eastAsia="Calibri"/>
                <w:b w:val="0"/>
                <w:i/>
                <w:color w:val="FFFFFF"/>
                <w:sz w:val="26"/>
              </w:rPr>
              <w:t>A practical prescribing handout · Bradford VTS · July 2026</w:t>
            </w:r>
          </w:p>
        </w:tc>
      </w:tr>
    </w:tbl>
    <w:p/>
    <w:p>
      <w:pPr>
        <w:jc w:val="center"/>
      </w:pPr>
      <w:r>
        <w:drawing>
          <wp:inline xmlns:a="http://schemas.openxmlformats.org/drawingml/2006/main" xmlns:pic="http://schemas.openxmlformats.org/drawingml/2006/picture">
            <wp:extent cx="5669280" cy="3191595"/>
            <wp:docPr id="1" name="Picture 1"/>
            <wp:cNvGraphicFramePr>
              <a:graphicFrameLocks noChangeAspect="1"/>
            </wp:cNvGraphicFramePr>
            <a:graphic>
              <a:graphicData uri="http://schemas.openxmlformats.org/drawingml/2006/picture">
                <pic:pic>
                  <pic:nvPicPr>
                    <pic:cNvPr id="0" name="mental_health_hero_2.jpeg"/>
                    <pic:cNvPicPr/>
                  </pic:nvPicPr>
                  <pic:blipFill>
                    <a:blip r:embed="rId10"/>
                    <a:stretch>
                      <a:fillRect/>
                    </a:stretch>
                  </pic:blipFill>
                  <pic:spPr>
                    <a:xfrm>
                      <a:off x="0" y="0"/>
                      <a:ext cx="5669280" cy="3191595"/>
                    </a:xfrm>
                    <a:prstGeom prst="rect"/>
                  </pic:spPr>
                </pic:pic>
              </a:graphicData>
            </a:graphic>
          </wp:inline>
        </w:drawing>
      </w:r>
    </w:p>
    <w:p>
      <w:pPr>
        <w:jc w:val="center"/>
      </w:pPr>
      <w:r>
        <w:rPr>
          <w:rFonts w:ascii="Calibri" w:hAnsi="Calibri" w:eastAsia="Calibri"/>
          <w:b w:val="0"/>
          <w:i/>
          <w:color w:val="64748B"/>
          <w:sz w:val="19"/>
        </w:rPr>
        <w:t>A safe, structured approach to switching antidepressants in UK primary care — with extra caution around MAOIs, clomipramine and fluoxetine.</w:t>
      </w:r>
    </w:p>
    <w:p/>
    <w:tbl>
      <w:tblPr>
        <w:tblW w:type="auto" w:w="0"/>
        <w:jc w:val="center"/>
        <w:tblLook w:firstColumn="1" w:firstRow="1" w:lastColumn="0" w:lastRow="0" w:noHBand="0" w:noVBand="1" w:val="04A0"/>
      </w:tblPr>
      <w:tblGrid>
        <w:gridCol w:w="10224"/>
      </w:tblGrid>
      <w:tr>
        <w:tc>
          <w:tcPr>
            <w:tcW w:type="dxa" w:w="10224"/>
            <w:shd w:fill="EAF3FA"/>
            <w:tcMar>
              <w:top w:w="150" w:type="dxa"/>
              <w:start w:w="180" w:type="dxa"/>
              <w:bottom w:w="150" w:type="dxa"/>
              <w:end w:w="180" w:type="dxa"/>
            </w:tcMar>
            <w:tcBorders>
              <w:top w:sz="8" w:val="single" w:color="2F5D8C"/>
              <w:left w:sz="24" w:val="single" w:color="2F5D8C"/>
              <w:bottom w:sz="8" w:val="single" w:color="2F5D8C"/>
              <w:right w:sz="8" w:val="single" w:color="2F5D8C"/>
            </w:tcBorders>
          </w:tcPr>
          <w:p>
            <w:r>
              <w:rPr>
                <w:rFonts w:ascii="Calibri" w:hAnsi="Calibri" w:eastAsia="Calibri"/>
                <w:b/>
                <w:i w:val="0"/>
                <w:color w:val="2F5D8C"/>
                <w:sz w:val="23"/>
              </w:rPr>
              <w:t xml:space="preserve">Clinical currency  </w:t>
            </w:r>
            <w:r>
              <w:rPr>
                <w:rFonts w:ascii="Calibri" w:hAnsi="Calibri" w:eastAsia="Calibri"/>
                <w:b w:val="0"/>
                <w:i w:val="0"/>
                <w:color w:val="334155"/>
                <w:sz w:val="20"/>
              </w:rPr>
              <w:t>Updated against NICE depression guidance NG222 (last reviewed January 2026), NICE CKS search snippets for switching, NHS Specialist Pharmacy Service switching guidance published May 2024, and BNF search result summaries accessed July 2026. NICE/BNF pages were access-limited outside the UK, so BNF-specific wording is framed as “check current BNF” rather than exhaustive dosing authority.</w:t>
            </w:r>
          </w:p>
        </w:tc>
      </w:tr>
    </w:tbl>
    <w:p/>
    <w:p>
      <w:pPr>
        <w:pStyle w:val="Heading1"/>
      </w:pPr>
      <w:r>
        <w:t>What this handout is for</w:t>
      </w:r>
    </w:p>
    <w:p>
      <w:pPr>
        <w:pStyle w:val="ListBullet"/>
      </w:pPr>
      <w:r>
        <w:rPr>
          <w:rFonts w:ascii="Calibri" w:hAnsi="Calibri" w:eastAsia="Calibri"/>
          <w:b w:val="0"/>
          <w:i w:val="0"/>
          <w:color w:val="334155"/>
          <w:sz w:val="21"/>
        </w:rPr>
        <w:t>Use this as a primary-care orientation guide, not as a substitute for local medicines optimisation advice.</w:t>
      </w:r>
    </w:p>
    <w:p>
      <w:pPr>
        <w:pStyle w:val="ListBullet"/>
      </w:pPr>
      <w:r>
        <w:rPr>
          <w:rFonts w:ascii="Calibri" w:hAnsi="Calibri" w:eastAsia="Calibri"/>
          <w:b w:val="0"/>
          <w:i w:val="0"/>
          <w:color w:val="334155"/>
          <w:sz w:val="21"/>
        </w:rPr>
        <w:t>Switching is individual: current symptoms, relapse risk, withdrawal history, overdose risk, physical comorbidity, interacting medicines, pregnancy plans and patient preference all matter.</w:t>
      </w:r>
    </w:p>
    <w:p>
      <w:pPr>
        <w:pStyle w:val="ListBullet"/>
      </w:pPr>
      <w:r>
        <w:rPr>
          <w:rFonts w:ascii="Calibri" w:hAnsi="Calibri" w:eastAsia="Calibri"/>
          <w:b w:val="0"/>
          <w:i w:val="0"/>
          <w:color w:val="334155"/>
          <w:sz w:val="21"/>
        </w:rPr>
        <w:t>Complex switches — especially any monoamine oxidase inhibitor (MAOI), moclobemide, clomipramine, high-dose combinations, bipolar disorder or high suicide risk — need specialist advice.</w:t>
      </w:r>
    </w:p>
    <w:p>
      <w:pPr>
        <w:pStyle w:val="ListBullet"/>
      </w:pPr>
      <w:r>
        <w:rPr>
          <w:rFonts w:ascii="Calibri" w:hAnsi="Calibri" w:eastAsia="Calibri"/>
          <w:b w:val="0"/>
          <w:i w:val="0"/>
          <w:color w:val="334155"/>
          <w:sz w:val="21"/>
        </w:rPr>
        <w:t>The older Maudsley 9th edition matrix has been replaced here by a simpler, safer modern framework aligned to SPS/NICE principles.</w:t>
      </w:r>
    </w:p>
    <w:p>
      <w:pPr>
        <w:pStyle w:val="Heading2"/>
      </w:pPr>
      <w:r>
        <w:t>The safe switching sequence</w:t>
      </w:r>
    </w:p>
    <w:tbl>
      <w:tblPr>
        <w:tblW w:type="auto" w:w="0"/>
        <w:jc w:val="center"/>
        <w:tblLook w:firstColumn="1" w:firstRow="1" w:lastColumn="0" w:lastRow="0" w:noHBand="0" w:noVBand="1" w:val="04A0"/>
      </w:tblPr>
      <w:tblGrid>
        <w:gridCol w:w="2045"/>
        <w:gridCol w:w="2045"/>
        <w:gridCol w:w="2045"/>
        <w:gridCol w:w="2045"/>
        <w:gridCol w:w="2045"/>
      </w:tblGrid>
      <w:tr>
        <w:tc>
          <w:tcPr>
            <w:tcW w:type="dxa" w:w="2045"/>
            <w:shd w:fill="E6FFFB"/>
            <w:tcMar>
              <w:top w:w="150" w:type="dxa"/>
              <w:start w:w="100" w:type="dxa"/>
              <w:bottom w:w="150" w:type="dxa"/>
              <w:end w:w="100" w:type="dxa"/>
            </w:tcMar>
            <w:tcBorders>
              <w:top w:sz="6" w:val="single" w:color="0F766E"/>
              <w:left w:sz="6" w:val="single" w:color="0F766E"/>
              <w:bottom w:sz="6" w:val="single" w:color="0F766E"/>
              <w:right w:sz="6" w:val="single" w:color="0F766E"/>
            </w:tcBorders>
          </w:tcPr>
          <w:p>
            <w:pPr>
              <w:jc w:val="center"/>
            </w:pPr>
            <w:r>
              <w:rPr>
                <w:rFonts w:ascii="Calibri" w:hAnsi="Calibri" w:eastAsia="Calibri"/>
                <w:b/>
                <w:i w:val="0"/>
                <w:color w:val="334155"/>
                <w:sz w:val="19"/>
              </w:rPr>
              <w:t>1. Confirm reason</w:t>
            </w:r>
          </w:p>
        </w:tc>
        <w:tc>
          <w:tcPr>
            <w:tcW w:type="dxa" w:w="2045"/>
            <w:shd w:fill="F3E8FF"/>
            <w:tcMar>
              <w:top w:w="150" w:type="dxa"/>
              <w:start w:w="100" w:type="dxa"/>
              <w:bottom w:w="150" w:type="dxa"/>
              <w:end w:w="100" w:type="dxa"/>
            </w:tcMar>
            <w:tcBorders>
              <w:top w:sz="6" w:val="single" w:color="0F766E"/>
              <w:left w:sz="6" w:val="single" w:color="0F766E"/>
              <w:bottom w:sz="6" w:val="single" w:color="0F766E"/>
              <w:right w:sz="6" w:val="single" w:color="0F766E"/>
            </w:tcBorders>
          </w:tcPr>
          <w:p>
            <w:pPr>
              <w:jc w:val="center"/>
            </w:pPr>
            <w:r>
              <w:rPr>
                <w:rFonts w:ascii="Calibri" w:hAnsi="Calibri" w:eastAsia="Calibri"/>
                <w:b/>
                <w:i w:val="0"/>
                <w:color w:val="334155"/>
                <w:sz w:val="19"/>
              </w:rPr>
              <w:t>2. Check risks</w:t>
            </w:r>
          </w:p>
        </w:tc>
        <w:tc>
          <w:tcPr>
            <w:tcW w:type="dxa" w:w="2045"/>
            <w:shd w:fill="E6FFFB"/>
            <w:tcMar>
              <w:top w:w="150" w:type="dxa"/>
              <w:start w:w="100" w:type="dxa"/>
              <w:bottom w:w="150" w:type="dxa"/>
              <w:end w:w="100" w:type="dxa"/>
            </w:tcMar>
            <w:tcBorders>
              <w:top w:sz="6" w:val="single" w:color="0F766E"/>
              <w:left w:sz="6" w:val="single" w:color="0F766E"/>
              <w:bottom w:sz="6" w:val="single" w:color="0F766E"/>
              <w:right w:sz="6" w:val="single" w:color="0F766E"/>
            </w:tcBorders>
          </w:tcPr>
          <w:p>
            <w:pPr>
              <w:jc w:val="center"/>
            </w:pPr>
            <w:r>
              <w:rPr>
                <w:rFonts w:ascii="Calibri" w:hAnsi="Calibri" w:eastAsia="Calibri"/>
                <w:b/>
                <w:i w:val="0"/>
                <w:color w:val="334155"/>
                <w:sz w:val="19"/>
              </w:rPr>
              <w:t>3. Choose strategy</w:t>
            </w:r>
          </w:p>
        </w:tc>
        <w:tc>
          <w:tcPr>
            <w:tcW w:type="dxa" w:w="2045"/>
            <w:shd w:fill="F3E8FF"/>
            <w:tcMar>
              <w:top w:w="150" w:type="dxa"/>
              <w:start w:w="100" w:type="dxa"/>
              <w:bottom w:w="150" w:type="dxa"/>
              <w:end w:w="100" w:type="dxa"/>
            </w:tcMar>
            <w:tcBorders>
              <w:top w:sz="6" w:val="single" w:color="0F766E"/>
              <w:left w:sz="6" w:val="single" w:color="0F766E"/>
              <w:bottom w:sz="6" w:val="single" w:color="0F766E"/>
              <w:right w:sz="6" w:val="single" w:color="0F766E"/>
            </w:tcBorders>
          </w:tcPr>
          <w:p>
            <w:pPr>
              <w:jc w:val="center"/>
            </w:pPr>
            <w:r>
              <w:rPr>
                <w:rFonts w:ascii="Calibri" w:hAnsi="Calibri" w:eastAsia="Calibri"/>
                <w:b/>
                <w:i w:val="0"/>
                <w:color w:val="334155"/>
                <w:sz w:val="19"/>
              </w:rPr>
              <w:t>4. Agree plan</w:t>
            </w:r>
          </w:p>
        </w:tc>
        <w:tc>
          <w:tcPr>
            <w:tcW w:type="dxa" w:w="2045"/>
            <w:shd w:fill="E6FFFB"/>
            <w:tcMar>
              <w:top w:w="150" w:type="dxa"/>
              <w:start w:w="100" w:type="dxa"/>
              <w:bottom w:w="150" w:type="dxa"/>
              <w:end w:w="100" w:type="dxa"/>
            </w:tcMar>
            <w:tcBorders>
              <w:top w:sz="6" w:val="single" w:color="0F766E"/>
              <w:left w:sz="6" w:val="single" w:color="0F766E"/>
              <w:bottom w:sz="6" w:val="single" w:color="0F766E"/>
              <w:right w:sz="6" w:val="single" w:color="0F766E"/>
            </w:tcBorders>
          </w:tcPr>
          <w:p>
            <w:pPr>
              <w:jc w:val="center"/>
            </w:pPr>
            <w:r>
              <w:rPr>
                <w:rFonts w:ascii="Calibri" w:hAnsi="Calibri" w:eastAsia="Calibri"/>
                <w:b/>
                <w:i w:val="0"/>
                <w:color w:val="334155"/>
                <w:sz w:val="19"/>
              </w:rPr>
              <w:t>5. Monitor early</w:t>
            </w:r>
          </w:p>
        </w:tc>
      </w:tr>
    </w:tbl>
    <w:p/>
    <w:tbl>
      <w:tblPr>
        <w:tblW w:type="auto" w:w="0"/>
        <w:jc w:val="center"/>
        <w:tblLook w:firstColumn="1" w:firstRow="1" w:lastColumn="0" w:lastRow="0" w:noHBand="0" w:noVBand="1" w:val="04A0"/>
      </w:tblPr>
      <w:tblGrid>
        <w:gridCol w:w="10224"/>
      </w:tblGrid>
      <w:tr>
        <w:tc>
          <w:tcPr>
            <w:tcW w:type="dxa" w:w="10224"/>
            <w:shd w:fill="E6FFFB"/>
            <w:tcMar>
              <w:top w:w="150" w:type="dxa"/>
              <w:start w:w="180" w:type="dxa"/>
              <w:bottom w:w="150" w:type="dxa"/>
              <w:end w:w="180" w:type="dxa"/>
            </w:tcMar>
            <w:tcBorders>
              <w:top w:sz="8" w:val="single" w:color="0F766E"/>
              <w:left w:sz="24" w:val="single" w:color="0F766E"/>
              <w:bottom w:sz="8" w:val="single" w:color="0F766E"/>
              <w:right w:sz="8" w:val="single" w:color="0F766E"/>
            </w:tcBorders>
          </w:tcPr>
          <w:p>
            <w:r>
              <w:rPr>
                <w:rFonts w:ascii="Calibri" w:hAnsi="Calibri" w:eastAsia="Calibri"/>
                <w:b/>
                <w:i w:val="0"/>
                <w:color w:val="0F766E"/>
                <w:sz w:val="23"/>
              </w:rPr>
              <w:t xml:space="preserve">SCA consultation tip  </w:t>
            </w:r>
            <w:r>
              <w:rPr>
                <w:rFonts w:ascii="Calibri" w:hAnsi="Calibri" w:eastAsia="Calibri"/>
                <w:b w:val="0"/>
                <w:i w:val="0"/>
                <w:color w:val="334155"/>
                <w:sz w:val="20"/>
              </w:rPr>
              <w:t>Try: “There are a few safe ways to change antidepressants. I want us to choose the one that gives you the best chance of benefit while keeping withdrawal and interaction risks low.”</w:t>
            </w:r>
          </w:p>
        </w:tc>
      </w:tr>
    </w:tbl>
    <w:p/>
    <w:tbl>
      <w:tblPr>
        <w:tblW w:type="auto" w:w="0"/>
        <w:jc w:val="center"/>
        <w:tblLook w:firstColumn="1" w:firstRow="1" w:lastColumn="0" w:lastRow="0" w:noHBand="0" w:noVBand="1" w:val="04A0"/>
      </w:tblPr>
      <w:tblGrid>
        <w:gridCol w:w="10224"/>
      </w:tblGrid>
      <w:tr>
        <w:tc>
          <w:tcPr>
            <w:tcW w:type="dxa" w:w="10224"/>
            <w:shd w:fill="F3E8FF"/>
            <w:tcMar>
              <w:top w:w="150" w:type="dxa"/>
              <w:start w:w="180" w:type="dxa"/>
              <w:bottom w:w="150" w:type="dxa"/>
              <w:end w:w="180" w:type="dxa"/>
            </w:tcMar>
            <w:tcBorders>
              <w:top w:sz="8" w:val="single" w:color="6D28D9"/>
              <w:left w:sz="24" w:val="single" w:color="6D28D9"/>
              <w:bottom w:sz="8" w:val="single" w:color="6D28D9"/>
              <w:right w:sz="8" w:val="single" w:color="6D28D9"/>
            </w:tcBorders>
          </w:tcPr>
          <w:p>
            <w:r>
              <w:rPr>
                <w:rFonts w:ascii="Calibri" w:hAnsi="Calibri" w:eastAsia="Calibri"/>
                <w:b/>
                <w:i w:val="0"/>
                <w:color w:val="6D28D9"/>
                <w:sz w:val="23"/>
              </w:rPr>
              <w:t xml:space="preserve">AKT exam tip  </w:t>
            </w:r>
            <w:r>
              <w:rPr>
                <w:rFonts w:ascii="Calibri" w:hAnsi="Calibri" w:eastAsia="Calibri"/>
                <w:b w:val="0"/>
                <w:i w:val="0"/>
                <w:color w:val="334155"/>
                <w:sz w:val="20"/>
              </w:rPr>
              <w:t>Fluoxetine is the exam favourite because it has a long half-life and active metabolite. It can still interact 5–6 weeks after stopping, especially when switching to MAOIs or medicines metabolised by CYP2D6.</w:t>
            </w:r>
          </w:p>
        </w:tc>
      </w:tr>
    </w:tbl>
    <w:p/>
    <w:p>
      <w:pPr>
        <w:pStyle w:val="Heading1"/>
      </w:pPr>
      <w:r>
        <w:t>Five switching strategies</w:t>
      </w:r>
    </w:p>
    <w:tbl>
      <w:tblPr>
        <w:tblStyle w:val="TableGrid"/>
        <w:tblW w:type="auto" w:w="0"/>
        <w:jc w:val="center"/>
        <w:tblLook w:firstColumn="1" w:firstRow="1" w:lastColumn="0" w:lastRow="0" w:noHBand="0" w:noVBand="1" w:val="04A0"/>
      </w:tblPr>
      <w:tblGrid>
        <w:gridCol w:w="2556"/>
        <w:gridCol w:w="2556"/>
        <w:gridCol w:w="2556"/>
        <w:gridCol w:w="2556"/>
      </w:tblGrid>
      <w:tr>
        <w:trPr>
          <w:tblHeader w:val="true"/>
        </w:trPr>
        <w:tc>
          <w:tcPr>
            <w:tcW w:type="dxa" w:w="2556"/>
            <w:shd w:fill="2F5D8C"/>
            <w:tcMar>
              <w:top w:w="100" w:type="dxa"/>
              <w:start w:w="100" w:type="dxa"/>
              <w:bottom w:w="100" w:type="dxa"/>
              <w:end w:w="100" w:type="dxa"/>
            </w:tcMar>
          </w:tcPr>
          <w:p>
            <w:pPr>
              <w:jc w:val="center"/>
            </w:pPr>
            <w:r>
              <w:rPr>
                <w:rFonts w:ascii="Calibri" w:hAnsi="Calibri" w:eastAsia="Calibri"/>
                <w:b/>
                <w:i w:val="0"/>
                <w:color w:val="FFFFFF"/>
                <w:sz w:val="19"/>
              </w:rPr>
              <w:t>Strategy</w:t>
            </w:r>
          </w:p>
        </w:tc>
        <w:tc>
          <w:tcPr>
            <w:tcW w:type="dxa" w:w="2556"/>
            <w:shd w:fill="2F5D8C"/>
            <w:tcMar>
              <w:top w:w="100" w:type="dxa"/>
              <w:start w:w="100" w:type="dxa"/>
              <w:bottom w:w="100" w:type="dxa"/>
              <w:end w:w="100" w:type="dxa"/>
            </w:tcMar>
          </w:tcPr>
          <w:p>
            <w:pPr>
              <w:jc w:val="center"/>
            </w:pPr>
            <w:r>
              <w:rPr>
                <w:rFonts w:ascii="Calibri" w:hAnsi="Calibri" w:eastAsia="Calibri"/>
                <w:b/>
                <w:i w:val="0"/>
                <w:color w:val="FFFFFF"/>
                <w:sz w:val="19"/>
              </w:rPr>
              <w:t>What it means</w:t>
            </w:r>
          </w:p>
        </w:tc>
        <w:tc>
          <w:tcPr>
            <w:tcW w:type="dxa" w:w="2556"/>
            <w:shd w:fill="2F5D8C"/>
            <w:tcMar>
              <w:top w:w="100" w:type="dxa"/>
              <w:start w:w="100" w:type="dxa"/>
              <w:bottom w:w="100" w:type="dxa"/>
              <w:end w:w="100" w:type="dxa"/>
            </w:tcMar>
          </w:tcPr>
          <w:p>
            <w:pPr>
              <w:jc w:val="center"/>
            </w:pPr>
            <w:r>
              <w:rPr>
                <w:rFonts w:ascii="Calibri" w:hAnsi="Calibri" w:eastAsia="Calibri"/>
                <w:b/>
                <w:i w:val="0"/>
                <w:color w:val="FFFFFF"/>
                <w:sz w:val="19"/>
              </w:rPr>
              <w:t>When it is usually considered</w:t>
            </w:r>
          </w:p>
        </w:tc>
        <w:tc>
          <w:tcPr>
            <w:tcW w:type="dxa" w:w="2556"/>
            <w:shd w:fill="2F5D8C"/>
            <w:tcMar>
              <w:top w:w="100" w:type="dxa"/>
              <w:start w:w="100" w:type="dxa"/>
              <w:bottom w:w="100" w:type="dxa"/>
              <w:end w:w="100" w:type="dxa"/>
            </w:tcMar>
          </w:tcPr>
          <w:p>
            <w:pPr>
              <w:jc w:val="center"/>
            </w:pPr>
            <w:r>
              <w:rPr>
                <w:rFonts w:ascii="Calibri" w:hAnsi="Calibri" w:eastAsia="Calibri"/>
                <w:b/>
                <w:i w:val="0"/>
                <w:color w:val="FFFFFF"/>
                <w:sz w:val="19"/>
              </w:rPr>
              <w:t>Main risk</w:t>
            </w:r>
          </w:p>
        </w:tc>
      </w:tr>
      <w:tr>
        <w:tc>
          <w:tcPr>
            <w:tcW w:type="dxa" w:w="2556"/>
            <w:tcMar>
              <w:top w:w="80" w:type="dxa"/>
              <w:start w:w="90" w:type="dxa"/>
              <w:bottom w:w="80" w:type="dxa"/>
              <w:end w:w="90" w:type="dxa"/>
            </w:tcMar>
            <w:shd w:fill="F8FAFC"/>
          </w:tcPr>
          <w:p>
            <w:r>
              <w:rPr>
                <w:rFonts w:ascii="Calibri" w:hAnsi="Calibri" w:eastAsia="Calibri"/>
                <w:b w:val="0"/>
                <w:i w:val="0"/>
                <w:color w:val="334155"/>
                <w:sz w:val="18"/>
              </w:rPr>
              <w:t>Direct switch</w:t>
            </w:r>
          </w:p>
        </w:tc>
        <w:tc>
          <w:tcPr>
            <w:tcW w:type="dxa" w:w="2556"/>
            <w:tcMar>
              <w:top w:w="80" w:type="dxa"/>
              <w:start w:w="90" w:type="dxa"/>
              <w:bottom w:w="80" w:type="dxa"/>
              <w:end w:w="90" w:type="dxa"/>
            </w:tcMar>
            <w:shd w:fill="F8FAFC"/>
          </w:tcPr>
          <w:p>
            <w:r>
              <w:rPr>
                <w:rFonts w:ascii="Calibri" w:hAnsi="Calibri" w:eastAsia="Calibri"/>
                <w:b w:val="0"/>
                <w:i w:val="0"/>
                <w:color w:val="334155"/>
                <w:sz w:val="18"/>
              </w:rPr>
              <w:t>Stop first antidepressant; start second the next day.</w:t>
            </w:r>
          </w:p>
        </w:tc>
        <w:tc>
          <w:tcPr>
            <w:tcW w:type="dxa" w:w="2556"/>
            <w:tcMar>
              <w:top w:w="80" w:type="dxa"/>
              <w:start w:w="90" w:type="dxa"/>
              <w:bottom w:w="80" w:type="dxa"/>
              <w:end w:w="90" w:type="dxa"/>
            </w:tcMar>
            <w:shd w:fill="F8FAFC"/>
          </w:tcPr>
          <w:p>
            <w:r>
              <w:rPr>
                <w:rFonts w:ascii="Calibri" w:hAnsi="Calibri" w:eastAsia="Calibri"/>
                <w:b w:val="0"/>
                <w:i w:val="0"/>
                <w:color w:val="334155"/>
                <w:sz w:val="18"/>
              </w:rPr>
              <w:t>Some SSRI-to-SSRI or SSRI-to-SNRI switches, except fluoxetine caveats.</w:t>
            </w:r>
          </w:p>
        </w:tc>
        <w:tc>
          <w:tcPr>
            <w:tcW w:type="dxa" w:w="2556"/>
            <w:tcMar>
              <w:top w:w="80" w:type="dxa"/>
              <w:start w:w="90" w:type="dxa"/>
              <w:bottom w:w="80" w:type="dxa"/>
              <w:end w:w="90" w:type="dxa"/>
            </w:tcMar>
            <w:shd w:fill="F8FAFC"/>
          </w:tcPr>
          <w:p>
            <w:r>
              <w:rPr>
                <w:rFonts w:ascii="Calibri" w:hAnsi="Calibri" w:eastAsia="Calibri"/>
                <w:b w:val="0"/>
                <w:i w:val="0"/>
                <w:color w:val="334155"/>
                <w:sz w:val="18"/>
              </w:rPr>
              <w:t>Withdrawal or interaction if chosen poorly.</w:t>
            </w:r>
          </w:p>
        </w:tc>
      </w:tr>
      <w:tr>
        <w:tc>
          <w:tcPr>
            <w:tcW w:type="dxa" w:w="2556"/>
            <w:tcMar>
              <w:top w:w="80" w:type="dxa"/>
              <w:start w:w="90" w:type="dxa"/>
              <w:bottom w:w="80" w:type="dxa"/>
              <w:end w:w="90" w:type="dxa"/>
            </w:tcMar>
          </w:tcPr>
          <w:p>
            <w:r>
              <w:rPr>
                <w:rFonts w:ascii="Calibri" w:hAnsi="Calibri" w:eastAsia="Calibri"/>
                <w:b w:val="0"/>
                <w:i w:val="0"/>
                <w:color w:val="334155"/>
                <w:sz w:val="18"/>
              </w:rPr>
              <w:t>Cross-taper</w:t>
            </w:r>
          </w:p>
        </w:tc>
        <w:tc>
          <w:tcPr>
            <w:tcW w:type="dxa" w:w="2556"/>
            <w:tcMar>
              <w:top w:w="80" w:type="dxa"/>
              <w:start w:w="90" w:type="dxa"/>
              <w:bottom w:w="80" w:type="dxa"/>
              <w:end w:w="90" w:type="dxa"/>
            </w:tcMar>
          </w:tcPr>
          <w:p>
            <w:r>
              <w:rPr>
                <w:rFonts w:ascii="Calibri" w:hAnsi="Calibri" w:eastAsia="Calibri"/>
                <w:b w:val="0"/>
                <w:i w:val="0"/>
                <w:color w:val="334155"/>
                <w:sz w:val="18"/>
              </w:rPr>
              <w:t>Reduce first medicine while starting second at low dose, commonly over 2–4 weeks.</w:t>
            </w:r>
          </w:p>
        </w:tc>
        <w:tc>
          <w:tcPr>
            <w:tcW w:type="dxa" w:w="2556"/>
            <w:tcMar>
              <w:top w:w="80" w:type="dxa"/>
              <w:start w:w="90" w:type="dxa"/>
              <w:bottom w:w="80" w:type="dxa"/>
              <w:end w:w="90" w:type="dxa"/>
            </w:tcMar>
          </w:tcPr>
          <w:p>
            <w:r>
              <w:rPr>
                <w:rFonts w:ascii="Calibri" w:hAnsi="Calibri" w:eastAsia="Calibri"/>
                <w:b w:val="0"/>
                <w:i w:val="0"/>
                <w:color w:val="334155"/>
                <w:sz w:val="18"/>
              </w:rPr>
              <w:t>Some switches to mirtazapine, trazodone or non-clomipramine TCAs with caution.</w:t>
            </w:r>
          </w:p>
        </w:tc>
        <w:tc>
          <w:tcPr>
            <w:tcW w:type="dxa" w:w="2556"/>
            <w:tcMar>
              <w:top w:w="80" w:type="dxa"/>
              <w:start w:w="90" w:type="dxa"/>
              <w:bottom w:w="80" w:type="dxa"/>
              <w:end w:w="90" w:type="dxa"/>
            </w:tcMar>
          </w:tcPr>
          <w:p>
            <w:r>
              <w:rPr>
                <w:rFonts w:ascii="Calibri" w:hAnsi="Calibri" w:eastAsia="Calibri"/>
                <w:b w:val="0"/>
                <w:i w:val="0"/>
                <w:color w:val="334155"/>
                <w:sz w:val="18"/>
              </w:rPr>
              <w:t>Serotonin syndrome; additive adverse effects.</w:t>
            </w:r>
          </w:p>
        </w:tc>
      </w:tr>
      <w:tr>
        <w:tc>
          <w:tcPr>
            <w:tcW w:type="dxa" w:w="2556"/>
            <w:tcMar>
              <w:top w:w="80" w:type="dxa"/>
              <w:start w:w="90" w:type="dxa"/>
              <w:bottom w:w="80" w:type="dxa"/>
              <w:end w:w="90" w:type="dxa"/>
            </w:tcMar>
            <w:shd w:fill="F8FAFC"/>
          </w:tcPr>
          <w:p>
            <w:r>
              <w:rPr>
                <w:rFonts w:ascii="Calibri" w:hAnsi="Calibri" w:eastAsia="Calibri"/>
                <w:b w:val="0"/>
                <w:i w:val="0"/>
                <w:color w:val="334155"/>
                <w:sz w:val="18"/>
              </w:rPr>
              <w:t>Taper, stop and switch</w:t>
            </w:r>
          </w:p>
        </w:tc>
        <w:tc>
          <w:tcPr>
            <w:tcW w:type="dxa" w:w="2556"/>
            <w:tcMar>
              <w:top w:w="80" w:type="dxa"/>
              <w:start w:w="90" w:type="dxa"/>
              <w:bottom w:w="80" w:type="dxa"/>
              <w:end w:w="90" w:type="dxa"/>
            </w:tcMar>
            <w:shd w:fill="F8FAFC"/>
          </w:tcPr>
          <w:p>
            <w:r>
              <w:rPr>
                <w:rFonts w:ascii="Calibri" w:hAnsi="Calibri" w:eastAsia="Calibri"/>
                <w:b w:val="0"/>
                <w:i w:val="0"/>
                <w:color w:val="334155"/>
                <w:sz w:val="18"/>
              </w:rPr>
              <w:t>Gradually reduce first medicine; start second after stopping.</w:t>
            </w:r>
          </w:p>
        </w:tc>
        <w:tc>
          <w:tcPr>
            <w:tcW w:type="dxa" w:w="2556"/>
            <w:tcMar>
              <w:top w:w="80" w:type="dxa"/>
              <w:start w:w="90" w:type="dxa"/>
              <w:bottom w:w="80" w:type="dxa"/>
              <w:end w:w="90" w:type="dxa"/>
            </w:tcMar>
            <w:shd w:fill="F8FAFC"/>
          </w:tcPr>
          <w:p>
            <w:r>
              <w:rPr>
                <w:rFonts w:ascii="Calibri" w:hAnsi="Calibri" w:eastAsia="Calibri"/>
                <w:b w:val="0"/>
                <w:i w:val="0"/>
                <w:color w:val="334155"/>
                <w:sz w:val="18"/>
              </w:rPr>
              <w:t>When reducing withdrawal risk but no washout is usually needed.</w:t>
            </w:r>
          </w:p>
        </w:tc>
        <w:tc>
          <w:tcPr>
            <w:tcW w:type="dxa" w:w="2556"/>
            <w:tcMar>
              <w:top w:w="80" w:type="dxa"/>
              <w:start w:w="90" w:type="dxa"/>
              <w:bottom w:w="80" w:type="dxa"/>
              <w:end w:w="90" w:type="dxa"/>
            </w:tcMar>
            <w:shd w:fill="F8FAFC"/>
          </w:tcPr>
          <w:p>
            <w:r>
              <w:rPr>
                <w:rFonts w:ascii="Calibri" w:hAnsi="Calibri" w:eastAsia="Calibri"/>
                <w:b w:val="0"/>
                <w:i w:val="0"/>
                <w:color w:val="334155"/>
                <w:sz w:val="18"/>
              </w:rPr>
              <w:t>Relapse during taper; withdrawal.</w:t>
            </w:r>
          </w:p>
        </w:tc>
      </w:tr>
      <w:tr>
        <w:tc>
          <w:tcPr>
            <w:tcW w:type="dxa" w:w="2556"/>
            <w:tcMar>
              <w:top w:w="80" w:type="dxa"/>
              <w:start w:w="90" w:type="dxa"/>
              <w:bottom w:w="80" w:type="dxa"/>
              <w:end w:w="90" w:type="dxa"/>
            </w:tcMar>
          </w:tcPr>
          <w:p>
            <w:r>
              <w:rPr>
                <w:rFonts w:ascii="Calibri" w:hAnsi="Calibri" w:eastAsia="Calibri"/>
                <w:b w:val="0"/>
                <w:i w:val="0"/>
                <w:color w:val="334155"/>
                <w:sz w:val="18"/>
              </w:rPr>
              <w:t>Taper, washout and switch</w:t>
            </w:r>
          </w:p>
        </w:tc>
        <w:tc>
          <w:tcPr>
            <w:tcW w:type="dxa" w:w="2556"/>
            <w:tcMar>
              <w:top w:w="80" w:type="dxa"/>
              <w:start w:w="90" w:type="dxa"/>
              <w:bottom w:w="80" w:type="dxa"/>
              <w:end w:w="90" w:type="dxa"/>
            </w:tcMar>
          </w:tcPr>
          <w:p>
            <w:r>
              <w:rPr>
                <w:rFonts w:ascii="Calibri" w:hAnsi="Calibri" w:eastAsia="Calibri"/>
                <w:b w:val="0"/>
                <w:i w:val="0"/>
                <w:color w:val="334155"/>
                <w:sz w:val="18"/>
              </w:rPr>
              <w:t>Reduce, stop, wait, then start new medicine.</w:t>
            </w:r>
          </w:p>
        </w:tc>
        <w:tc>
          <w:tcPr>
            <w:tcW w:type="dxa" w:w="2556"/>
            <w:tcMar>
              <w:top w:w="80" w:type="dxa"/>
              <w:start w:w="90" w:type="dxa"/>
              <w:bottom w:w="80" w:type="dxa"/>
              <w:end w:w="90" w:type="dxa"/>
            </w:tcMar>
          </w:tcPr>
          <w:p>
            <w:r>
              <w:rPr>
                <w:rFonts w:ascii="Calibri" w:hAnsi="Calibri" w:eastAsia="Calibri"/>
                <w:b w:val="0"/>
                <w:i w:val="0"/>
                <w:color w:val="334155"/>
                <w:sz w:val="18"/>
              </w:rPr>
              <w:t>Needed where interactions are clinically important.</w:t>
            </w:r>
          </w:p>
        </w:tc>
        <w:tc>
          <w:tcPr>
            <w:tcW w:type="dxa" w:w="2556"/>
            <w:tcMar>
              <w:top w:w="80" w:type="dxa"/>
              <w:start w:w="90" w:type="dxa"/>
              <w:bottom w:w="80" w:type="dxa"/>
              <w:end w:w="90" w:type="dxa"/>
            </w:tcMar>
          </w:tcPr>
          <w:p>
            <w:r>
              <w:rPr>
                <w:rFonts w:ascii="Calibri" w:hAnsi="Calibri" w:eastAsia="Calibri"/>
                <w:b w:val="0"/>
                <w:i w:val="0"/>
                <w:color w:val="334155"/>
                <w:sz w:val="18"/>
              </w:rPr>
              <w:t>Untreated gap; relapse.</w:t>
            </w:r>
          </w:p>
        </w:tc>
      </w:tr>
      <w:tr>
        <w:tc>
          <w:tcPr>
            <w:tcW w:type="dxa" w:w="2556"/>
            <w:tcMar>
              <w:top w:w="80" w:type="dxa"/>
              <w:start w:w="90" w:type="dxa"/>
              <w:bottom w:w="80" w:type="dxa"/>
              <w:end w:w="90" w:type="dxa"/>
            </w:tcMar>
            <w:shd w:fill="F8FAFC"/>
          </w:tcPr>
          <w:p>
            <w:r>
              <w:rPr>
                <w:rFonts w:ascii="Calibri" w:hAnsi="Calibri" w:eastAsia="Calibri"/>
                <w:b w:val="0"/>
                <w:i w:val="0"/>
                <w:color w:val="334155"/>
                <w:sz w:val="18"/>
              </w:rPr>
              <w:t>Stop, washout and switch</w:t>
            </w:r>
          </w:p>
        </w:tc>
        <w:tc>
          <w:tcPr>
            <w:tcW w:type="dxa" w:w="2556"/>
            <w:tcMar>
              <w:top w:w="80" w:type="dxa"/>
              <w:start w:w="90" w:type="dxa"/>
              <w:bottom w:w="80" w:type="dxa"/>
              <w:end w:w="90" w:type="dxa"/>
            </w:tcMar>
            <w:shd w:fill="F8FAFC"/>
          </w:tcPr>
          <w:p>
            <w:r>
              <w:rPr>
                <w:rFonts w:ascii="Calibri" w:hAnsi="Calibri" w:eastAsia="Calibri"/>
                <w:b w:val="0"/>
                <w:i w:val="0"/>
                <w:color w:val="334155"/>
                <w:sz w:val="18"/>
              </w:rPr>
              <w:t>Stop first medicine and wait before starting second.</w:t>
            </w:r>
          </w:p>
        </w:tc>
        <w:tc>
          <w:tcPr>
            <w:tcW w:type="dxa" w:w="2556"/>
            <w:tcMar>
              <w:top w:w="80" w:type="dxa"/>
              <w:start w:w="90" w:type="dxa"/>
              <w:bottom w:w="80" w:type="dxa"/>
              <w:end w:w="90" w:type="dxa"/>
            </w:tcMar>
            <w:shd w:fill="F8FAFC"/>
          </w:tcPr>
          <w:p>
            <w:r>
              <w:rPr>
                <w:rFonts w:ascii="Calibri" w:hAnsi="Calibri" w:eastAsia="Calibri"/>
                <w:b w:val="0"/>
                <w:i w:val="0"/>
                <w:color w:val="334155"/>
                <w:sz w:val="18"/>
              </w:rPr>
              <w:t>Sometimes used when urgent safety issue or MAOI risk.</w:t>
            </w:r>
          </w:p>
        </w:tc>
        <w:tc>
          <w:tcPr>
            <w:tcW w:type="dxa" w:w="2556"/>
            <w:tcMar>
              <w:top w:w="80" w:type="dxa"/>
              <w:start w:w="90" w:type="dxa"/>
              <w:bottom w:w="80" w:type="dxa"/>
              <w:end w:w="90" w:type="dxa"/>
            </w:tcMar>
            <w:shd w:fill="F8FAFC"/>
          </w:tcPr>
          <w:p>
            <w:r>
              <w:rPr>
                <w:rFonts w:ascii="Calibri" w:hAnsi="Calibri" w:eastAsia="Calibri"/>
                <w:b w:val="0"/>
                <w:i w:val="0"/>
                <w:color w:val="334155"/>
                <w:sz w:val="18"/>
              </w:rPr>
              <w:t>Withdrawal and relapse; needs close review.</w:t>
            </w:r>
          </w:p>
        </w:tc>
      </w:tr>
    </w:tbl>
    <w:p/>
    <w:tbl>
      <w:tblPr>
        <w:tblW w:type="auto" w:w="0"/>
        <w:jc w:val="center"/>
        <w:tblLook w:firstColumn="1" w:firstRow="1" w:lastColumn="0" w:lastRow="0" w:noHBand="0" w:noVBand="1" w:val="04A0"/>
      </w:tblPr>
      <w:tblGrid>
        <w:gridCol w:w="10224"/>
      </w:tblGrid>
      <w:tr>
        <w:tc>
          <w:tcPr>
            <w:tcW w:type="dxa" w:w="10224"/>
            <w:shd w:fill="FFF7ED"/>
            <w:tcMar>
              <w:top w:w="150" w:type="dxa"/>
              <w:start w:w="180" w:type="dxa"/>
              <w:bottom w:w="150" w:type="dxa"/>
              <w:end w:w="180" w:type="dxa"/>
            </w:tcMar>
            <w:tcBorders>
              <w:top w:sz="8" w:val="single" w:color="B45309"/>
              <w:left w:sz="24" w:val="single" w:color="B45309"/>
              <w:bottom w:sz="8" w:val="single" w:color="B45309"/>
              <w:right w:sz="8" w:val="single" w:color="B45309"/>
            </w:tcBorders>
          </w:tcPr>
          <w:p>
            <w:r>
              <w:rPr>
                <w:rFonts w:ascii="Calibri" w:hAnsi="Calibri" w:eastAsia="Calibri"/>
                <w:b/>
                <w:i w:val="0"/>
                <w:color w:val="B45309"/>
                <w:sz w:val="23"/>
              </w:rPr>
              <w:t xml:space="preserve">Pitfall  </w:t>
            </w:r>
            <w:r>
              <w:rPr>
                <w:rFonts w:ascii="Calibri" w:hAnsi="Calibri" w:eastAsia="Calibri"/>
                <w:b w:val="0"/>
                <w:i w:val="0"/>
                <w:color w:val="334155"/>
                <w:sz w:val="20"/>
              </w:rPr>
              <w:t>Do not use a historical switching table as a recipe. SPS guidance is drug-pair specific and emphasises person-centred planning, monitoring and specialist advice for high-risk switches.</w:t>
            </w:r>
          </w:p>
        </w:tc>
      </w:tr>
    </w:tbl>
    <w:p/>
    <w:p>
      <w:pPr>
        <w:pStyle w:val="Heading1"/>
      </w:pPr>
      <w:r>
        <w:t>High-yield switching rules</w:t>
      </w:r>
    </w:p>
    <w:tbl>
      <w:tblPr>
        <w:tblStyle w:val="TableGrid"/>
        <w:tblW w:type="auto" w:w="0"/>
        <w:jc w:val="center"/>
        <w:tblLook w:firstColumn="1" w:firstRow="1" w:lastColumn="0" w:lastRow="0" w:noHBand="0" w:noVBand="1" w:val="04A0"/>
      </w:tblPr>
      <w:tblGrid>
        <w:gridCol w:w="5112"/>
        <w:gridCol w:w="5112"/>
      </w:tblGrid>
      <w:tr>
        <w:trPr>
          <w:tblHeader w:val="true"/>
        </w:trPr>
        <w:tc>
          <w:tcPr>
            <w:tcW w:type="dxa" w:w="5112"/>
            <w:shd w:fill="2F5D8C"/>
            <w:tcMar>
              <w:top w:w="100" w:type="dxa"/>
              <w:start w:w="100" w:type="dxa"/>
              <w:bottom w:w="100" w:type="dxa"/>
              <w:end w:w="100" w:type="dxa"/>
            </w:tcMar>
          </w:tcPr>
          <w:p>
            <w:pPr>
              <w:jc w:val="center"/>
            </w:pPr>
            <w:r>
              <w:rPr>
                <w:rFonts w:ascii="Calibri" w:hAnsi="Calibri" w:eastAsia="Calibri"/>
                <w:b/>
                <w:i w:val="0"/>
                <w:color w:val="FFFFFF"/>
                <w:sz w:val="19"/>
              </w:rPr>
              <w:t>Switch area</w:t>
            </w:r>
          </w:p>
        </w:tc>
        <w:tc>
          <w:tcPr>
            <w:tcW w:type="dxa" w:w="5112"/>
            <w:shd w:fill="2F5D8C"/>
            <w:tcMar>
              <w:top w:w="100" w:type="dxa"/>
              <w:start w:w="100" w:type="dxa"/>
              <w:bottom w:w="100" w:type="dxa"/>
              <w:end w:w="100" w:type="dxa"/>
            </w:tcMar>
          </w:tcPr>
          <w:p>
            <w:pPr>
              <w:jc w:val="center"/>
            </w:pPr>
            <w:r>
              <w:rPr>
                <w:rFonts w:ascii="Calibri" w:hAnsi="Calibri" w:eastAsia="Calibri"/>
                <w:b/>
                <w:i w:val="0"/>
                <w:color w:val="FFFFFF"/>
                <w:sz w:val="19"/>
              </w:rPr>
              <w:t>Modern practical rule</w:t>
            </w:r>
          </w:p>
        </w:tc>
      </w:tr>
      <w:tr>
        <w:tc>
          <w:tcPr>
            <w:tcW w:type="dxa" w:w="5112"/>
            <w:tcMar>
              <w:top w:w="80" w:type="dxa"/>
              <w:start w:w="90" w:type="dxa"/>
              <w:bottom w:w="80" w:type="dxa"/>
              <w:end w:w="90" w:type="dxa"/>
            </w:tcMar>
            <w:shd w:fill="F8FAFC"/>
          </w:tcPr>
          <w:p>
            <w:r>
              <w:rPr>
                <w:rFonts w:ascii="Calibri" w:hAnsi="Calibri" w:eastAsia="Calibri"/>
                <w:b w:val="0"/>
                <w:i w:val="0"/>
                <w:color w:val="334155"/>
                <w:sz w:val="18"/>
              </w:rPr>
              <w:t>Most SSRIs → another SSRI</w:t>
            </w:r>
          </w:p>
        </w:tc>
        <w:tc>
          <w:tcPr>
            <w:tcW w:type="dxa" w:w="5112"/>
            <w:tcMar>
              <w:top w:w="80" w:type="dxa"/>
              <w:start w:w="90" w:type="dxa"/>
              <w:bottom w:w="80" w:type="dxa"/>
              <w:end w:w="90" w:type="dxa"/>
            </w:tcMar>
            <w:shd w:fill="F8FAFC"/>
          </w:tcPr>
          <w:p>
            <w:r>
              <w:rPr>
                <w:rFonts w:ascii="Calibri" w:hAnsi="Calibri" w:eastAsia="Calibri"/>
                <w:b w:val="0"/>
                <w:i w:val="0"/>
                <w:color w:val="334155"/>
                <w:sz w:val="18"/>
              </w:rPr>
              <w:t>A direct switch is often possible, but assess withdrawal risk. Fluoxetine usually needs taper to 20 mg then 4–7 days before a low-dose SSRI.</w:t>
            </w:r>
          </w:p>
        </w:tc>
      </w:tr>
      <w:tr>
        <w:tc>
          <w:tcPr>
            <w:tcW w:type="dxa" w:w="5112"/>
            <w:tcMar>
              <w:top w:w="80" w:type="dxa"/>
              <w:start w:w="90" w:type="dxa"/>
              <w:bottom w:w="80" w:type="dxa"/>
              <w:end w:w="90" w:type="dxa"/>
            </w:tcMar>
          </w:tcPr>
          <w:p>
            <w:r>
              <w:rPr>
                <w:rFonts w:ascii="Calibri" w:hAnsi="Calibri" w:eastAsia="Calibri"/>
                <w:b w:val="0"/>
                <w:i w:val="0"/>
                <w:color w:val="334155"/>
                <w:sz w:val="18"/>
              </w:rPr>
              <w:t>Fluoxetine → MAOI</w:t>
            </w:r>
          </w:p>
        </w:tc>
        <w:tc>
          <w:tcPr>
            <w:tcW w:type="dxa" w:w="5112"/>
            <w:tcMar>
              <w:top w:w="80" w:type="dxa"/>
              <w:start w:w="90" w:type="dxa"/>
              <w:bottom w:w="80" w:type="dxa"/>
              <w:end w:w="90" w:type="dxa"/>
            </w:tcMar>
          </w:tcPr>
          <w:p>
            <w:r>
              <w:rPr>
                <w:rFonts w:ascii="Calibri" w:hAnsi="Calibri" w:eastAsia="Calibri"/>
                <w:b w:val="0"/>
                <w:i w:val="0"/>
                <w:color w:val="334155"/>
                <w:sz w:val="18"/>
              </w:rPr>
              <w:t>High-risk: wait 5–6 weeks after stopping fluoxetine before starting an MAOI; specialist advice.</w:t>
            </w:r>
          </w:p>
        </w:tc>
      </w:tr>
      <w:tr>
        <w:tc>
          <w:tcPr>
            <w:tcW w:type="dxa" w:w="5112"/>
            <w:tcMar>
              <w:top w:w="80" w:type="dxa"/>
              <w:start w:w="90" w:type="dxa"/>
              <w:bottom w:w="80" w:type="dxa"/>
              <w:end w:w="90" w:type="dxa"/>
            </w:tcMar>
            <w:shd w:fill="F8FAFC"/>
          </w:tcPr>
          <w:p>
            <w:r>
              <w:rPr>
                <w:rFonts w:ascii="Calibri" w:hAnsi="Calibri" w:eastAsia="Calibri"/>
                <w:b w:val="0"/>
                <w:i w:val="0"/>
                <w:color w:val="334155"/>
                <w:sz w:val="18"/>
              </w:rPr>
              <w:t>Other SSRIs → MAOI</w:t>
            </w:r>
          </w:p>
        </w:tc>
        <w:tc>
          <w:tcPr>
            <w:tcW w:type="dxa" w:w="5112"/>
            <w:tcMar>
              <w:top w:w="80" w:type="dxa"/>
              <w:start w:w="90" w:type="dxa"/>
              <w:bottom w:w="80" w:type="dxa"/>
              <w:end w:w="90" w:type="dxa"/>
            </w:tcMar>
            <w:shd w:fill="F8FAFC"/>
          </w:tcPr>
          <w:p>
            <w:r>
              <w:rPr>
                <w:rFonts w:ascii="Calibri" w:hAnsi="Calibri" w:eastAsia="Calibri"/>
                <w:b w:val="0"/>
                <w:i w:val="0"/>
                <w:color w:val="334155"/>
                <w:sz w:val="18"/>
              </w:rPr>
              <w:t>Usually taper, stop and wait 7–14 days before MAOI; specialist advice.</w:t>
            </w:r>
          </w:p>
        </w:tc>
      </w:tr>
      <w:tr>
        <w:tc>
          <w:tcPr>
            <w:tcW w:type="dxa" w:w="5112"/>
            <w:tcMar>
              <w:top w:w="80" w:type="dxa"/>
              <w:start w:w="90" w:type="dxa"/>
              <w:bottom w:w="80" w:type="dxa"/>
              <w:end w:w="90" w:type="dxa"/>
            </w:tcMar>
          </w:tcPr>
          <w:p>
            <w:r>
              <w:rPr>
                <w:rFonts w:ascii="Calibri" w:hAnsi="Calibri" w:eastAsia="Calibri"/>
                <w:b w:val="0"/>
                <w:i w:val="0"/>
                <w:color w:val="334155"/>
                <w:sz w:val="18"/>
              </w:rPr>
              <w:t>SSRI → moclobemide</w:t>
            </w:r>
          </w:p>
        </w:tc>
        <w:tc>
          <w:tcPr>
            <w:tcW w:type="dxa" w:w="5112"/>
            <w:tcMar>
              <w:top w:w="80" w:type="dxa"/>
              <w:start w:w="90" w:type="dxa"/>
              <w:bottom w:w="80" w:type="dxa"/>
              <w:end w:w="90" w:type="dxa"/>
            </w:tcMar>
          </w:tcPr>
          <w:p>
            <w:r>
              <w:rPr>
                <w:rFonts w:ascii="Calibri" w:hAnsi="Calibri" w:eastAsia="Calibri"/>
                <w:b w:val="0"/>
                <w:i w:val="0"/>
                <w:color w:val="334155"/>
                <w:sz w:val="18"/>
              </w:rPr>
              <w:t>Cross-taper is not recommended. Washout: generally 7 days; sertraline may need 7–13 days; fluoxetine 5–6 weeks.</w:t>
            </w:r>
          </w:p>
        </w:tc>
      </w:tr>
      <w:tr>
        <w:tc>
          <w:tcPr>
            <w:tcW w:type="dxa" w:w="5112"/>
            <w:tcMar>
              <w:top w:w="80" w:type="dxa"/>
              <w:start w:w="90" w:type="dxa"/>
              <w:bottom w:w="80" w:type="dxa"/>
              <w:end w:w="90" w:type="dxa"/>
            </w:tcMar>
            <w:shd w:fill="F8FAFC"/>
          </w:tcPr>
          <w:p>
            <w:r>
              <w:rPr>
                <w:rFonts w:ascii="Calibri" w:hAnsi="Calibri" w:eastAsia="Calibri"/>
                <w:b w:val="0"/>
                <w:i w:val="0"/>
                <w:color w:val="334155"/>
                <w:sz w:val="18"/>
              </w:rPr>
              <w:t>SSRI → clomipramine</w:t>
            </w:r>
          </w:p>
        </w:tc>
        <w:tc>
          <w:tcPr>
            <w:tcW w:type="dxa" w:w="5112"/>
            <w:tcMar>
              <w:top w:w="80" w:type="dxa"/>
              <w:start w:w="90" w:type="dxa"/>
              <w:bottom w:w="80" w:type="dxa"/>
              <w:end w:w="90" w:type="dxa"/>
            </w:tcMar>
            <w:shd w:fill="F8FAFC"/>
          </w:tcPr>
          <w:p>
            <w:r>
              <w:rPr>
                <w:rFonts w:ascii="Calibri" w:hAnsi="Calibri" w:eastAsia="Calibri"/>
                <w:b w:val="0"/>
                <w:i w:val="0"/>
                <w:color w:val="334155"/>
                <w:sz w:val="18"/>
              </w:rPr>
              <w:t>Do not cross-taper unless specialist advice is in place. Clomipramine is strongly serotonergic and raises serotonin syndrome risk.</w:t>
            </w:r>
          </w:p>
        </w:tc>
      </w:tr>
      <w:tr>
        <w:tc>
          <w:tcPr>
            <w:tcW w:type="dxa" w:w="5112"/>
            <w:tcMar>
              <w:top w:w="80" w:type="dxa"/>
              <w:start w:w="90" w:type="dxa"/>
              <w:bottom w:w="80" w:type="dxa"/>
              <w:end w:w="90" w:type="dxa"/>
            </w:tcMar>
          </w:tcPr>
          <w:p>
            <w:r>
              <w:rPr>
                <w:rFonts w:ascii="Calibri" w:hAnsi="Calibri" w:eastAsia="Calibri"/>
                <w:b w:val="0"/>
                <w:i w:val="0"/>
                <w:color w:val="334155"/>
                <w:sz w:val="18"/>
              </w:rPr>
              <w:t>SSRI → mirtazapine or trazodone</w:t>
            </w:r>
          </w:p>
        </w:tc>
        <w:tc>
          <w:tcPr>
            <w:tcW w:type="dxa" w:w="5112"/>
            <w:tcMar>
              <w:top w:w="80" w:type="dxa"/>
              <w:start w:w="90" w:type="dxa"/>
              <w:bottom w:w="80" w:type="dxa"/>
              <w:end w:w="90" w:type="dxa"/>
            </w:tcMar>
          </w:tcPr>
          <w:p>
            <w:r>
              <w:rPr>
                <w:rFonts w:ascii="Calibri" w:hAnsi="Calibri" w:eastAsia="Calibri"/>
                <w:b w:val="0"/>
                <w:i w:val="0"/>
                <w:color w:val="334155"/>
                <w:sz w:val="18"/>
              </w:rPr>
              <w:t>Cross-taper over 2–4 weeks can often be used cautiously; be extra cautious after fluoxetine or interacting SSRIs.</w:t>
            </w:r>
          </w:p>
        </w:tc>
      </w:tr>
      <w:tr>
        <w:tc>
          <w:tcPr>
            <w:tcW w:type="dxa" w:w="5112"/>
            <w:tcMar>
              <w:top w:w="80" w:type="dxa"/>
              <w:start w:w="90" w:type="dxa"/>
              <w:bottom w:w="80" w:type="dxa"/>
              <w:end w:w="90" w:type="dxa"/>
            </w:tcMar>
            <w:shd w:fill="F8FAFC"/>
          </w:tcPr>
          <w:p>
            <w:r>
              <w:rPr>
                <w:rFonts w:ascii="Calibri" w:hAnsi="Calibri" w:eastAsia="Calibri"/>
                <w:b w:val="0"/>
                <w:i w:val="0"/>
                <w:color w:val="334155"/>
                <w:sz w:val="18"/>
              </w:rPr>
              <w:t>SSRI → TCA other than clomipramine</w:t>
            </w:r>
          </w:p>
        </w:tc>
        <w:tc>
          <w:tcPr>
            <w:tcW w:type="dxa" w:w="5112"/>
            <w:tcMar>
              <w:top w:w="80" w:type="dxa"/>
              <w:start w:w="90" w:type="dxa"/>
              <w:bottom w:w="80" w:type="dxa"/>
              <w:end w:w="90" w:type="dxa"/>
            </w:tcMar>
            <w:shd w:fill="F8FAFC"/>
          </w:tcPr>
          <w:p>
            <w:r>
              <w:rPr>
                <w:rFonts w:ascii="Calibri" w:hAnsi="Calibri" w:eastAsia="Calibri"/>
                <w:b w:val="0"/>
                <w:i w:val="0"/>
                <w:color w:val="334155"/>
                <w:sz w:val="18"/>
              </w:rPr>
              <w:t>Cross-taper may be possible at low TCA dose over 2–4 weeks; fluoxetine/paroxetine/fluvoxamine need extra caution.</w:t>
            </w:r>
          </w:p>
        </w:tc>
      </w:tr>
      <w:tr>
        <w:tc>
          <w:tcPr>
            <w:tcW w:type="dxa" w:w="5112"/>
            <w:tcMar>
              <w:top w:w="80" w:type="dxa"/>
              <w:start w:w="90" w:type="dxa"/>
              <w:bottom w:w="80" w:type="dxa"/>
              <w:end w:w="90" w:type="dxa"/>
            </w:tcMar>
          </w:tcPr>
          <w:p>
            <w:r>
              <w:rPr>
                <w:rFonts w:ascii="Calibri" w:hAnsi="Calibri" w:eastAsia="Calibri"/>
                <w:b w:val="0"/>
                <w:i w:val="0"/>
                <w:color w:val="334155"/>
                <w:sz w:val="18"/>
              </w:rPr>
              <w:t>Dosulepin</w:t>
            </w:r>
          </w:p>
        </w:tc>
        <w:tc>
          <w:tcPr>
            <w:tcW w:type="dxa" w:w="5112"/>
            <w:tcMar>
              <w:top w:w="80" w:type="dxa"/>
              <w:start w:w="90" w:type="dxa"/>
              <w:bottom w:w="80" w:type="dxa"/>
              <w:end w:w="90" w:type="dxa"/>
            </w:tcMar>
          </w:tcPr>
          <w:p>
            <w:r>
              <w:rPr>
                <w:rFonts w:ascii="Calibri" w:hAnsi="Calibri" w:eastAsia="Calibri"/>
                <w:b w:val="0"/>
                <w:i w:val="0"/>
                <w:color w:val="334155"/>
                <w:sz w:val="18"/>
              </w:rPr>
              <w:t>Do not initiate or switch to dosulepin in routine primary care; specialist advice because of cardiac risk and toxicity in overdose.</w:t>
            </w:r>
          </w:p>
        </w:tc>
      </w:tr>
      <w:tr>
        <w:tc>
          <w:tcPr>
            <w:tcW w:type="dxa" w:w="5112"/>
            <w:tcMar>
              <w:top w:w="80" w:type="dxa"/>
              <w:start w:w="90" w:type="dxa"/>
              <w:bottom w:w="80" w:type="dxa"/>
              <w:end w:w="90" w:type="dxa"/>
            </w:tcMar>
            <w:shd w:fill="F8FAFC"/>
          </w:tcPr>
          <w:p>
            <w:r>
              <w:rPr>
                <w:rFonts w:ascii="Calibri" w:hAnsi="Calibri" w:eastAsia="Calibri"/>
                <w:b w:val="0"/>
                <w:i w:val="0"/>
                <w:color w:val="334155"/>
                <w:sz w:val="18"/>
              </w:rPr>
              <w:t>MAOI/moclobemide switches</w:t>
            </w:r>
          </w:p>
        </w:tc>
        <w:tc>
          <w:tcPr>
            <w:tcW w:type="dxa" w:w="5112"/>
            <w:tcMar>
              <w:top w:w="80" w:type="dxa"/>
              <w:start w:w="90" w:type="dxa"/>
              <w:bottom w:w="80" w:type="dxa"/>
              <w:end w:w="90" w:type="dxa"/>
            </w:tcMar>
            <w:shd w:fill="F8FAFC"/>
          </w:tcPr>
          <w:p>
            <w:r>
              <w:rPr>
                <w:rFonts w:ascii="Calibri" w:hAnsi="Calibri" w:eastAsia="Calibri"/>
                <w:b w:val="0"/>
                <w:i w:val="0"/>
                <w:color w:val="334155"/>
                <w:sz w:val="18"/>
              </w:rPr>
              <w:t>Treat as complex. Follow current specialist/SPS advice, check current BNF, and document the washout.</w:t>
            </w:r>
          </w:p>
        </w:tc>
      </w:tr>
    </w:tbl>
    <w:p/>
    <w:tbl>
      <w:tblPr>
        <w:tblW w:type="auto" w:w="0"/>
        <w:jc w:val="center"/>
        <w:tblLook w:firstColumn="1" w:firstRow="1" w:lastColumn="0" w:lastRow="0" w:noHBand="0" w:noVBand="1" w:val="04A0"/>
      </w:tblPr>
      <w:tblGrid>
        <w:gridCol w:w="10224"/>
      </w:tblGrid>
      <w:tr>
        <w:tc>
          <w:tcPr>
            <w:tcW w:type="dxa" w:w="10224"/>
            <w:shd w:fill="FEE2E2"/>
            <w:tcMar>
              <w:top w:w="150" w:type="dxa"/>
              <w:start w:w="180" w:type="dxa"/>
              <w:bottom w:w="150" w:type="dxa"/>
              <w:end w:w="180" w:type="dxa"/>
            </w:tcMar>
            <w:tcBorders>
              <w:top w:sz="8" w:val="single" w:color="B91C1C"/>
              <w:left w:sz="24" w:val="single" w:color="B91C1C"/>
              <w:bottom w:sz="8" w:val="single" w:color="B91C1C"/>
              <w:right w:sz="8" w:val="single" w:color="B91C1C"/>
            </w:tcBorders>
          </w:tcPr>
          <w:p>
            <w:r>
              <w:rPr>
                <w:rFonts w:ascii="Calibri" w:hAnsi="Calibri" w:eastAsia="Calibri"/>
                <w:b/>
                <w:i w:val="0"/>
                <w:color w:val="B91C1C"/>
                <w:sz w:val="23"/>
              </w:rPr>
              <w:t xml:space="preserve">Red flag  </w:t>
            </w:r>
            <w:r>
              <w:rPr>
                <w:rFonts w:ascii="Calibri" w:hAnsi="Calibri" w:eastAsia="Calibri"/>
                <w:b w:val="0"/>
                <w:i w:val="0"/>
                <w:color w:val="334155"/>
                <w:sz w:val="20"/>
              </w:rPr>
              <w:t>Suspected serotonin syndrome — agitation, tremor, clonus, sweating, diarrhoea, fever, hyperreflexia or confusion — is urgent. Stop serotonergic escalation and seek same-day specialist or emergency advice depending on severity.</w:t>
            </w:r>
          </w:p>
        </w:tc>
      </w:tr>
    </w:tbl>
    <w:p/>
    <w:p>
      <w:pPr>
        <w:pStyle w:val="Heading1"/>
      </w:pPr>
      <w:r>
        <w:t>Monitoring after the switch</w:t>
      </w:r>
    </w:p>
    <w:p>
      <w:pPr>
        <w:pStyle w:val="ListBullet"/>
      </w:pPr>
      <w:r>
        <w:rPr>
          <w:rFonts w:ascii="Calibri" w:hAnsi="Calibri" w:eastAsia="Calibri"/>
          <w:b w:val="0"/>
          <w:i w:val="0"/>
          <w:color w:val="334155"/>
          <w:sz w:val="21"/>
        </w:rPr>
        <w:t>Agree review within 1–2 weeks for higher-risk switches, earlier if suicide risk, young adult, severe depression, bipolar features or significant adverse effects.</w:t>
      </w:r>
    </w:p>
    <w:p>
      <w:pPr>
        <w:pStyle w:val="ListBullet"/>
      </w:pPr>
      <w:r>
        <w:rPr>
          <w:rFonts w:ascii="Calibri" w:hAnsi="Calibri" w:eastAsia="Calibri"/>
          <w:b w:val="0"/>
          <w:i w:val="0"/>
          <w:color w:val="334155"/>
          <w:sz w:val="21"/>
        </w:rPr>
        <w:t>Warn about withdrawal symptoms: dizziness, electric-shock sensations, flu-like symptoms, insomnia, nausea, anxiety and vivid dreams.</w:t>
      </w:r>
    </w:p>
    <w:p>
      <w:pPr>
        <w:pStyle w:val="ListBullet"/>
      </w:pPr>
      <w:r>
        <w:rPr>
          <w:rFonts w:ascii="Calibri" w:hAnsi="Calibri" w:eastAsia="Calibri"/>
          <w:b w:val="0"/>
          <w:i w:val="0"/>
          <w:color w:val="334155"/>
          <w:sz w:val="21"/>
        </w:rPr>
        <w:t>Distinguish withdrawal from relapse by timing: withdrawal often starts within days of dose reduction and can improve rapidly if the dose is reinstated.</w:t>
      </w:r>
    </w:p>
    <w:p>
      <w:pPr>
        <w:pStyle w:val="ListBullet"/>
      </w:pPr>
      <w:r>
        <w:rPr>
          <w:rFonts w:ascii="Calibri" w:hAnsi="Calibri" w:eastAsia="Calibri"/>
          <w:b w:val="0"/>
          <w:i w:val="0"/>
          <w:color w:val="334155"/>
          <w:sz w:val="21"/>
        </w:rPr>
        <w:t>Assess adherence without blame: “Lots of people miss doses when side effects or doubts appear — how has it been for you?”</w:t>
      </w:r>
    </w:p>
    <w:p>
      <w:pPr>
        <w:pStyle w:val="ListBullet"/>
      </w:pPr>
      <w:r>
        <w:rPr>
          <w:rFonts w:ascii="Calibri" w:hAnsi="Calibri" w:eastAsia="Calibri"/>
          <w:b w:val="0"/>
          <w:i w:val="0"/>
          <w:color w:val="334155"/>
          <w:sz w:val="21"/>
        </w:rPr>
        <w:t>Document the exact plan: current dose, taper steps, start date for new drug, washout days, review date and safety-netting.</w:t>
      </w:r>
    </w:p>
    <w:tbl>
      <w:tblPr>
        <w:tblW w:type="auto" w:w="0"/>
        <w:jc w:val="center"/>
        <w:tblLook w:firstColumn="1" w:firstRow="1" w:lastColumn="0" w:lastRow="0" w:noHBand="0" w:noVBand="1" w:val="04A0"/>
      </w:tblPr>
      <w:tblGrid>
        <w:gridCol w:w="10224"/>
      </w:tblGrid>
      <w:tr>
        <w:tc>
          <w:tcPr>
            <w:tcW w:type="dxa" w:w="10224"/>
            <w:shd w:fill="E6FFFB"/>
            <w:tcMar>
              <w:top w:w="150" w:type="dxa"/>
              <w:start w:w="180" w:type="dxa"/>
              <w:bottom w:w="150" w:type="dxa"/>
              <w:end w:w="180" w:type="dxa"/>
            </w:tcMar>
            <w:tcBorders>
              <w:top w:sz="8" w:val="single" w:color="0F766E"/>
              <w:left w:sz="24" w:val="single" w:color="0F766E"/>
              <w:bottom w:sz="8" w:val="single" w:color="0F766E"/>
              <w:right w:sz="8" w:val="single" w:color="0F766E"/>
            </w:tcBorders>
          </w:tcPr>
          <w:p>
            <w:r>
              <w:rPr>
                <w:rFonts w:ascii="Calibri" w:hAnsi="Calibri" w:eastAsia="Calibri"/>
                <w:b/>
                <w:i w:val="0"/>
                <w:color w:val="0F766E"/>
                <w:sz w:val="23"/>
              </w:rPr>
              <w:t xml:space="preserve">SCA phrase bank  </w:t>
            </w:r>
            <w:r>
              <w:rPr>
                <w:rFonts w:ascii="Calibri" w:hAnsi="Calibri" w:eastAsia="Calibri"/>
                <w:b w:val="0"/>
                <w:i w:val="0"/>
                <w:color w:val="334155"/>
                <w:sz w:val="20"/>
              </w:rPr>
              <w:t>“If you feel worse, I do not want you battling on alone. Please contact us urgently if you feel unsafe, unusually agitated, very restless, or have thoughts of harming yourself.”</w:t>
            </w:r>
          </w:p>
        </w:tc>
      </w:tr>
    </w:tbl>
    <w:p/>
    <w:p>
      <w:pPr>
        <w:pStyle w:val="Heading2"/>
      </w:pPr>
      <w:r>
        <w:t>Guidance checked for this July 2026 revision</w:t>
      </w:r>
    </w:p>
    <w:p>
      <w:pPr>
        <w:pStyle w:val="ListBullet"/>
      </w:pPr>
      <w:r>
        <w:rPr>
          <w:rFonts w:ascii="Calibri" w:hAnsi="Calibri" w:eastAsia="Calibri"/>
          <w:b w:val="0"/>
          <w:i w:val="0"/>
          <w:color w:val="475569"/>
          <w:sz w:val="18"/>
        </w:rPr>
        <w:t>NICE NG222 Depression in adults: treatment and management — last reviewed 30 January 2026.</w:t>
      </w:r>
    </w:p>
    <w:p>
      <w:pPr>
        <w:pStyle w:val="ListBullet"/>
      </w:pPr>
      <w:r>
        <w:rPr>
          <w:rFonts w:ascii="Calibri" w:hAnsi="Calibri" w:eastAsia="Calibri"/>
          <w:b w:val="0"/>
          <w:i w:val="0"/>
          <w:color w:val="475569"/>
          <w:sz w:val="18"/>
        </w:rPr>
        <w:t>NICE CKS Depression switching antidepressants — search result accessed July 2026; page access limited by UK location controls.</w:t>
      </w:r>
    </w:p>
    <w:p>
      <w:pPr>
        <w:pStyle w:val="ListBullet"/>
      </w:pPr>
      <w:r>
        <w:rPr>
          <w:rFonts w:ascii="Calibri" w:hAnsi="Calibri" w:eastAsia="Calibri"/>
          <w:b w:val="0"/>
          <w:i w:val="0"/>
          <w:color w:val="475569"/>
          <w:sz w:val="18"/>
        </w:rPr>
        <w:t>NHS Specialist Pharmacy Service: Switching strategies for antidepressants — published 22 May 2024.</w:t>
      </w:r>
    </w:p>
    <w:p>
      <w:pPr>
        <w:pStyle w:val="ListBullet"/>
      </w:pPr>
      <w:r>
        <w:rPr>
          <w:rFonts w:ascii="Calibri" w:hAnsi="Calibri" w:eastAsia="Calibri"/>
          <w:b w:val="0"/>
          <w:i w:val="0"/>
          <w:color w:val="475569"/>
          <w:sz w:val="18"/>
        </w:rPr>
        <w:t>NHS Specialist Pharmacy Service: SSRIs to other antidepressants — switching in adults, accessed July 2026.</w:t>
      </w:r>
    </w:p>
    <w:p>
      <w:pPr>
        <w:pStyle w:val="ListBullet"/>
      </w:pPr>
      <w:r>
        <w:rPr>
          <w:rFonts w:ascii="Calibri" w:hAnsi="Calibri" w:eastAsia="Calibri"/>
          <w:b w:val="0"/>
          <w:i w:val="0"/>
          <w:color w:val="475569"/>
          <w:sz w:val="18"/>
        </w:rPr>
        <w:t>BNF treatment summary: Antidepressant drugs — search result accessed July 2026; BNF page access limited by UK location controls.</w:t>
      </w:r>
    </w:p>
    <w:p>
      <w:pPr>
        <w:pStyle w:val="ListBullet"/>
      </w:pPr>
      <w:r>
        <w:rPr>
          <w:rFonts w:ascii="Calibri" w:hAnsi="Calibri" w:eastAsia="Calibri"/>
          <w:b w:val="0"/>
          <w:i w:val="0"/>
          <w:color w:val="475569"/>
          <w:sz w:val="18"/>
        </w:rPr>
        <w:t>Maudsley Prescribing Guidelines / Maudsley Deprescribing Guidelines — current editions identified by search July 2026; use local licensed access for full tables.</w:t>
      </w:r>
    </w:p>
    <w:tbl>
      <w:tblPr>
        <w:tblW w:type="auto" w:w="0"/>
        <w:jc w:val="center"/>
        <w:tblLook w:firstColumn="1" w:firstRow="1" w:lastColumn="0" w:lastRow="0" w:noHBand="0" w:noVBand="1" w:val="04A0"/>
      </w:tblPr>
      <w:tblGrid>
        <w:gridCol w:w="10224"/>
      </w:tblGrid>
      <w:tr>
        <w:tc>
          <w:tcPr>
            <w:tcW w:type="dxa" w:w="10224"/>
            <w:shd w:fill="FEE2E2"/>
            <w:tcMar>
              <w:top w:w="150" w:type="dxa"/>
              <w:start w:w="180" w:type="dxa"/>
              <w:bottom w:w="150" w:type="dxa"/>
              <w:end w:w="180" w:type="dxa"/>
            </w:tcMar>
            <w:tcBorders>
              <w:top w:sz="8" w:val="single" w:color="B91C1C"/>
              <w:left w:sz="24" w:val="single" w:color="B91C1C"/>
              <w:bottom w:sz="8" w:val="single" w:color="B91C1C"/>
              <w:right w:sz="8" w:val="single" w:color="B91C1C"/>
            </w:tcBorders>
          </w:tcPr>
          <w:p>
            <w:r>
              <w:rPr>
                <w:rFonts w:ascii="Calibri" w:hAnsi="Calibri" w:eastAsia="Calibri"/>
                <w:b/>
                <w:i w:val="0"/>
                <w:color w:val="B91C1C"/>
                <w:sz w:val="23"/>
              </w:rPr>
              <w:t xml:space="preserve">Final safety note  </w:t>
            </w:r>
            <w:r>
              <w:rPr>
                <w:rFonts w:ascii="Calibri" w:hAnsi="Calibri" w:eastAsia="Calibri"/>
                <w:b w:val="0"/>
                <w:i w:val="0"/>
                <w:color w:val="334155"/>
                <w:sz w:val="20"/>
              </w:rPr>
              <w:t>Always double check this advice and drug doses with the latest NICE/BNF guidance. This document is for educational purposes only.</w:t>
            </w:r>
          </w:p>
        </w:tc>
      </w:tr>
    </w:tbl>
    <w:p/>
    <w:sectPr w:rsidR="00FC693F" w:rsidRPr="0006063C" w:rsidSect="00034616">
      <w:footerReference w:type="default" r:id="rId9"/>
      <w:pgSz w:w="12240" w:h="15840"/>
      <w:pgMar w:top="792" w:right="1008" w:bottom="936" w:left="1008"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Pr>
    <w:r/>
    <w:r>
      <w:rPr>
        <w:rFonts w:ascii="Calibri" w:hAnsi="Calibri" w:eastAsia="Calibri"/>
        <w:b w:val="0"/>
        <w:i w:val="0"/>
        <w:color w:val="64748B"/>
        <w:sz w:val="17"/>
      </w:rPr>
      <w:t>A free resource provided by www.bradfordvts.co.uk, Dr Ramesh Mehay, revised July 2026</w:t>
    </w:r>
  </w:p>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20" w:line="259" w:lineRule="auto"/>
    </w:pPr>
    <w:rPr>
      <w:rFonts w:ascii="Calibri" w:hAnsi="Calibri" w:eastAsia="Calibri"/>
      <w:sz w:val="21"/>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280" w:after="120"/>
      <w:outlineLvl w:val="0"/>
    </w:pPr>
    <w:rPr>
      <w:rFonts w:asciiTheme="majorHAnsi" w:eastAsiaTheme="majorEastAsia" w:hAnsiTheme="majorHAnsi" w:cstheme="majorBidi" w:ascii="Calibri" w:hAnsi="Calibri" w:eastAsia="Calibri"/>
      <w:b/>
      <w:bCs/>
      <w:color w:val="2F5D8C"/>
      <w:sz w:val="40"/>
      <w:szCs w:val="28"/>
    </w:rPr>
  </w:style>
  <w:style w:type="paragraph" w:styleId="Heading2">
    <w:name w:val="heading 2"/>
    <w:basedOn w:val="Normal"/>
    <w:next w:val="Normal"/>
    <w:link w:val="Heading2Char"/>
    <w:uiPriority w:val="9"/>
    <w:unhideWhenUsed/>
    <w:qFormat/>
    <w:rsid w:val="00FC693F"/>
    <w:pPr>
      <w:keepNext/>
      <w:keepLines/>
      <w:spacing w:before="280" w:after="120"/>
      <w:outlineLvl w:val="1"/>
    </w:pPr>
    <w:rPr>
      <w:rFonts w:asciiTheme="majorHAnsi" w:eastAsiaTheme="majorEastAsia" w:hAnsiTheme="majorHAnsi" w:cstheme="majorBidi" w:ascii="Calibri" w:hAnsi="Calibri" w:eastAsia="Calibri"/>
      <w:b/>
      <w:bCs/>
      <w:color w:val="0F766E"/>
      <w:sz w:val="30"/>
      <w:szCs w:val="26"/>
    </w:rPr>
  </w:style>
  <w:style w:type="paragraph" w:styleId="Heading3">
    <w:name w:val="heading 3"/>
    <w:basedOn w:val="Normal"/>
    <w:next w:val="Normal"/>
    <w:link w:val="Heading3Char"/>
    <w:uiPriority w:val="9"/>
    <w:unhideWhenUsed/>
    <w:qFormat/>
    <w:rsid w:val="00FC693F"/>
    <w:pPr>
      <w:keepNext/>
      <w:keepLines/>
      <w:spacing w:before="280" w:after="120"/>
      <w:outlineLvl w:val="2"/>
    </w:pPr>
    <w:rPr>
      <w:rFonts w:asciiTheme="majorHAnsi" w:eastAsiaTheme="majorEastAsia" w:hAnsiTheme="majorHAnsi" w:cstheme="majorBidi" w:ascii="Calibri" w:hAnsi="Calibri" w:eastAsia="Calibri"/>
      <w:b/>
      <w:bCs/>
      <w:color w:val="334155"/>
      <w:sz w:val="24"/>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line="259" w:lineRule="auto"/>
    </w:pPr>
    <w:rPr>
      <w:rFonts w:ascii="Calibri" w:hAnsi="Calibri" w:eastAsia="Calibri"/>
      <w:sz w:val="21"/>
    </w:r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 Id="rId10"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2013-12-23T23:15:00Z</dcterms:created>
  <dcterms:modified xsi:type="dcterms:W3CDTF">2013-12-23T23:15:00Z</dcterms:modified>
  <cp:category/>
</cp:coreProperties>
</file>