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D890" w14:textId="5B2B06CE" w:rsidR="00654FE3" w:rsidRDefault="00000000">
      <w:pPr>
        <w:pBdr>
          <w:bottom w:val="single" w:sz="18" w:space="4" w:color="E8620C"/>
        </w:pBdr>
        <w:shd w:val="clear" w:color="auto" w:fill="1C2B35"/>
        <w:spacing w:line="260" w:lineRule="auto"/>
      </w:pPr>
      <w:r>
        <w:rPr>
          <w:b/>
          <w:bCs/>
          <w:color w:val="14B8A6"/>
        </w:rPr>
        <w:t>BRADFORD VTS</w:t>
      </w:r>
      <w:r>
        <w:rPr>
          <w:b/>
          <w:bCs/>
          <w:color w:val="FFFFFF"/>
        </w:rPr>
        <w:t xml:space="preserve">   |   Antidepressant Switching Table</w:t>
      </w:r>
      <w:r w:rsidR="00C01306">
        <w:rPr>
          <w:b/>
          <w:bCs/>
          <w:color w:val="FFFFFF"/>
        </w:rPr>
        <w:t xml:space="preserve"> July 2026</w:t>
      </w:r>
    </w:p>
    <w:p w14:paraId="3EE2E3D0" w14:textId="37A8E72D" w:rsidR="00654FE3" w:rsidRPr="00C01306" w:rsidRDefault="00654FE3">
      <w:pPr>
        <w:spacing w:after="120"/>
        <w:rPr>
          <w:sz w:val="2"/>
          <w:szCs w:val="2"/>
        </w:rPr>
      </w:pPr>
    </w:p>
    <w:tbl>
      <w:tblPr>
        <w:tblW w:w="15448" w:type="dxa"/>
        <w:tblBorders>
          <w:top w:val="single" w:sz="2" w:space="0" w:color="C9D1D8"/>
          <w:left w:val="single" w:sz="2" w:space="0" w:color="C9D1D8"/>
          <w:bottom w:val="single" w:sz="2" w:space="0" w:color="C9D1D8"/>
          <w:right w:val="single" w:sz="2" w:space="0" w:color="C9D1D8"/>
          <w:insideH w:val="single" w:sz="2" w:space="0" w:color="C9D1D8"/>
          <w:insideV w:val="single" w:sz="2" w:space="0" w:color="C9D1D8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1606"/>
        <w:gridCol w:w="1606"/>
        <w:gridCol w:w="1607"/>
        <w:gridCol w:w="1606"/>
        <w:gridCol w:w="1607"/>
        <w:gridCol w:w="1606"/>
        <w:gridCol w:w="1607"/>
        <w:gridCol w:w="1606"/>
        <w:gridCol w:w="1607"/>
      </w:tblGrid>
      <w:tr w:rsidR="00654FE3" w14:paraId="4AD8DE33" w14:textId="77777777" w:rsidTr="00C01306">
        <w:tblPrEx>
          <w:tblCellMar>
            <w:top w:w="0" w:type="dxa"/>
            <w:bottom w:w="0" w:type="dxa"/>
          </w:tblCellMar>
        </w:tblPrEx>
        <w:trPr>
          <w:trHeight w:val="553"/>
          <w:tblHeader/>
        </w:trPr>
        <w:tc>
          <w:tcPr>
            <w:tcW w:w="990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214A69AC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 xml:space="preserve">FROM </w:t>
            </w:r>
            <w:proofErr w:type="gramStart"/>
            <w:r>
              <w:rPr>
                <w:b/>
                <w:bCs/>
                <w:color w:val="FFFFFF"/>
                <w:sz w:val="14"/>
                <w:szCs w:val="14"/>
              </w:rPr>
              <w:t>↓  /</w:t>
            </w:r>
            <w:proofErr w:type="gramEnd"/>
            <w:r>
              <w:rPr>
                <w:b/>
                <w:bCs/>
                <w:color w:val="FFFFFF"/>
                <w:sz w:val="14"/>
                <w:szCs w:val="14"/>
              </w:rPr>
              <w:t xml:space="preserve">  TO →</w:t>
            </w:r>
          </w:p>
        </w:tc>
        <w:tc>
          <w:tcPr>
            <w:tcW w:w="1606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3EC4AD6C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MAOI</w:t>
            </w:r>
            <w:r>
              <w:rPr>
                <w:color w:val="FFFFFF"/>
                <w:sz w:val="12"/>
                <w:szCs w:val="12"/>
              </w:rPr>
              <w:br/>
              <w:t xml:space="preserve"> (hydrazine</w:t>
            </w:r>
            <w:r>
              <w:rPr>
                <w:color w:val="9FE9DF"/>
                <w:sz w:val="12"/>
                <w:szCs w:val="12"/>
              </w:rPr>
              <w:br/>
              <w:t xml:space="preserve"> &amp; non-hydrazine)</w:t>
            </w:r>
          </w:p>
        </w:tc>
        <w:tc>
          <w:tcPr>
            <w:tcW w:w="1606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1A3DDC15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Tricyclics</w:t>
            </w:r>
          </w:p>
        </w:tc>
        <w:tc>
          <w:tcPr>
            <w:tcW w:w="1607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5230CEEB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Citalopram /</w:t>
            </w:r>
            <w:r>
              <w:rPr>
                <w:color w:val="9FE9DF"/>
                <w:sz w:val="12"/>
                <w:szCs w:val="12"/>
              </w:rPr>
              <w:br/>
              <w:t>Escitalopram</w:t>
            </w:r>
          </w:p>
        </w:tc>
        <w:tc>
          <w:tcPr>
            <w:tcW w:w="1606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357EFD8A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Fluoxetine</w:t>
            </w:r>
          </w:p>
        </w:tc>
        <w:tc>
          <w:tcPr>
            <w:tcW w:w="1607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63D16DC0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Paroxetine</w:t>
            </w:r>
          </w:p>
        </w:tc>
        <w:tc>
          <w:tcPr>
            <w:tcW w:w="1606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746C37B0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Sertraline</w:t>
            </w:r>
          </w:p>
        </w:tc>
        <w:tc>
          <w:tcPr>
            <w:tcW w:w="1607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76A14C14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Trazodone</w:t>
            </w:r>
          </w:p>
        </w:tc>
        <w:tc>
          <w:tcPr>
            <w:tcW w:w="1606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24F07FE5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SNRI</w:t>
            </w:r>
            <w:r>
              <w:rPr>
                <w:color w:val="9FE9DF"/>
                <w:sz w:val="12"/>
                <w:szCs w:val="12"/>
              </w:rPr>
              <w:br/>
              <w:t>(venlafaxine /</w:t>
            </w:r>
            <w:r>
              <w:rPr>
                <w:color w:val="9FE9DF"/>
                <w:sz w:val="12"/>
                <w:szCs w:val="12"/>
              </w:rPr>
              <w:br/>
              <w:t>duloxetine)</w:t>
            </w:r>
          </w:p>
        </w:tc>
        <w:tc>
          <w:tcPr>
            <w:tcW w:w="1607" w:type="dxa"/>
            <w:shd w:val="clear" w:color="auto" w:fill="1C2B35"/>
            <w:tcMar>
              <w:top w:w="60" w:type="dxa"/>
              <w:left w:w="50" w:type="dxa"/>
              <w:bottom w:w="60" w:type="dxa"/>
              <w:right w:w="50" w:type="dxa"/>
            </w:tcMar>
            <w:vAlign w:val="center"/>
          </w:tcPr>
          <w:p w14:paraId="39674BEF" w14:textId="77777777" w:rsidR="00654FE3" w:rsidRDefault="00000000">
            <w:pPr>
              <w:spacing w:line="230" w:lineRule="auto"/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Mirtazapine</w:t>
            </w:r>
          </w:p>
        </w:tc>
      </w:tr>
      <w:tr w:rsidR="00654FE3" w14:paraId="5A696A4E" w14:textId="77777777" w:rsidTr="00C01306">
        <w:tblPrEx>
          <w:tblCellMar>
            <w:top w:w="0" w:type="dxa"/>
            <w:bottom w:w="0" w:type="dxa"/>
          </w:tblCellMar>
        </w:tblPrEx>
        <w:trPr>
          <w:trHeight w:val="1022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7CD12437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MAOI</w:t>
            </w:r>
            <w:r>
              <w:rPr>
                <w:color w:val="5A6672"/>
                <w:sz w:val="12"/>
                <w:szCs w:val="12"/>
              </w:rPr>
              <w:br/>
              <w:t>(from)</w:t>
            </w:r>
          </w:p>
        </w:tc>
        <w:tc>
          <w:tcPr>
            <w:tcW w:w="1606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E673C13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5978ACE5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Taper, washout &amp; switch. Wait 14 days before starting low-dose TCA (21 days if to clomipramine/imipramine).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58DC11C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Taper, washout &amp; switch. Wait 14 days before starting SSRI.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A360293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Taper, washout &amp; switch. Wait 14 days before fluoxetine.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50D8C1A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Taper, washout &amp; switch. Wait 14 days before paroxetine.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3C4C552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Taper, washout &amp; switch. Wait 14 days before sertraline.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ED2A8A4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Taper, washout &amp; switch. Wait 14 days before trazodone.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29C6ADB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Taper, washout &amp; switch. Wait 14 days before the SNRI.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5BC0DC7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Taper, washout &amp; switch. Wait 14 days before mirtazapine.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</w:tr>
      <w:tr w:rsidR="00654FE3" w14:paraId="45A244DB" w14:textId="77777777" w:rsidTr="00C01306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1920091B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Tricyclics</w:t>
            </w:r>
            <w:r>
              <w:rPr>
                <w:color w:val="5A6672"/>
                <w:sz w:val="12"/>
                <w:szCs w:val="12"/>
              </w:rPr>
              <w:br/>
              <w:t>(from)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D0A1152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 &amp; stop; wait 14 days (21 days from clomipramine/imipramine) before low-dose MAOI.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6475FB1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 xml:space="preserve">Cross-taper cautiously over 2–4 weeks. </w:t>
            </w:r>
            <w:r>
              <w:rPr>
                <w:color w:val="1F5FBF"/>
                <w:sz w:val="15"/>
                <w:szCs w:val="15"/>
              </w:rPr>
              <w:t>Direct switch to another TCA is normally possible (except from clomipramine).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B2EC82A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over 2–4 weeks (halve TCA, add SSRI, then stop TCA over 5–7 days). From clomipramine: taper &amp; stop, start SSRI next day.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CC1DC4F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over 2–4 weeks. Caution: fluoxetine inhibits CYP2D6 → risk of raised TCA levels.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42D8FA7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over 2–4 weeks. Caution: paroxetine inhibits CYP2D6 → risk of raised TCA levels.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2ECC20D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over 2–4 weeks (halve TCA, add sertraline, then stop TCA).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FDD3207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 (halve TCA, add trazodone, then stop TCA).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13D5376C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 with low-dose SNRI. From clomipramine: taper &amp; stop, start SNRI next day.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5BBEDE4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</w:tr>
      <w:tr w:rsidR="00654FE3" w14:paraId="3717C98E" w14:textId="77777777" w:rsidTr="00C01306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7D38574D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Citalopram /</w:t>
            </w:r>
            <w:r>
              <w:rPr>
                <w:color w:val="5A6672"/>
                <w:sz w:val="12"/>
                <w:szCs w:val="12"/>
              </w:rPr>
              <w:br/>
              <w:t>Escitalopram (from)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57A2BB1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 &amp; stop; wait 7–14 days before MAOI.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AEB15EA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 with low-dose TCA.</w:t>
            </w:r>
          </w:p>
        </w:tc>
        <w:tc>
          <w:tcPr>
            <w:tcW w:w="1607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57B4B282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A3112D9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fluoxetine 10 mg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57ACDEB4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paroxetine next day).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1DE8915C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sertraline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E1D3476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1727BFE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to an SNRI is normally possible (stop, start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00B931E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</w:tr>
      <w:tr w:rsidR="00654FE3" w14:paraId="61F41D3A" w14:textId="77777777" w:rsidTr="00C01306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269C1664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Fluoxetine</w:t>
            </w:r>
            <w:r>
              <w:rPr>
                <w:color w:val="5A6672"/>
                <w:sz w:val="12"/>
                <w:szCs w:val="12"/>
              </w:rPr>
              <w:br/>
              <w:t>(from – long t½)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D13D0F2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 xml:space="preserve">Taper &amp; stop; </w:t>
            </w:r>
            <w:r>
              <w:rPr>
                <w:color w:val="1F5FBF"/>
                <w:sz w:val="15"/>
                <w:szCs w:val="15"/>
              </w:rPr>
              <w:t>wait 5–6 weeks</w:t>
            </w:r>
            <w:r>
              <w:rPr>
                <w:sz w:val="15"/>
                <w:szCs w:val="15"/>
              </w:rPr>
              <w:t xml:space="preserve"> before MAOI/moclobemide.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C43ACDC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Taper to 20 mg, stop, wait 4–7 days, then low-dose TCA. Caution: CYP2D6 inhibition → raised TCA levels. Clomipramine: wait 14–21 days.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1B4B1857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Taper to 20 mg, stop, wait 4–7 days, then start citalopram/escitalopram at low dose.</w:t>
            </w:r>
          </w:p>
        </w:tc>
        <w:tc>
          <w:tcPr>
            <w:tcW w:w="1606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AF17FB9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DBDA5F1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 xml:space="preserve">Stop fluoxetine, </w:t>
            </w:r>
            <w:r>
              <w:rPr>
                <w:color w:val="1F5FBF"/>
                <w:sz w:val="15"/>
                <w:szCs w:val="15"/>
              </w:rPr>
              <w:t>wait 4–7 days,</w:t>
            </w:r>
            <w:r>
              <w:rPr>
                <w:sz w:val="15"/>
                <w:szCs w:val="15"/>
              </w:rPr>
              <w:t xml:space="preserve"> then start paroxetine 10 mg/day.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F93B7D6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 xml:space="preserve">Stop fluoxetine, </w:t>
            </w:r>
            <w:r>
              <w:rPr>
                <w:color w:val="1F5FBF"/>
                <w:sz w:val="15"/>
                <w:szCs w:val="15"/>
              </w:rPr>
              <w:t>wait 4–7 days,</w:t>
            </w:r>
            <w:r>
              <w:rPr>
                <w:sz w:val="15"/>
                <w:szCs w:val="15"/>
              </w:rPr>
              <w:t xml:space="preserve"> then start sertraline 25 mg/day.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10069CE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Taper to 20 mg, stop, wait 4–7 days, then low-dose trazodone. Caution: CYP2D6 inhibition.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7E7CE3E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 xml:space="preserve">Stop fluoxetine, </w:t>
            </w:r>
            <w:r>
              <w:rPr>
                <w:color w:val="1F5FBF"/>
                <w:sz w:val="15"/>
                <w:szCs w:val="15"/>
              </w:rPr>
              <w:t>wait 4–7 days,</w:t>
            </w:r>
            <w:r>
              <w:rPr>
                <w:sz w:val="15"/>
                <w:szCs w:val="15"/>
              </w:rPr>
              <w:t xml:space="preserve"> then start the SNRI at low dose. Caution: CYP2D6 inhibition (venlafaxine/duloxetine).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2DFE22A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cautiously. Note fluoxetine may still interact 5–6 weeks after stopping.</w:t>
            </w:r>
          </w:p>
        </w:tc>
      </w:tr>
      <w:tr w:rsidR="00654FE3" w14:paraId="2CB99CCB" w14:textId="77777777" w:rsidTr="00C01306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6D122E36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Paroxetine</w:t>
            </w:r>
            <w:r>
              <w:rPr>
                <w:color w:val="5A6672"/>
                <w:sz w:val="12"/>
                <w:szCs w:val="12"/>
              </w:rPr>
              <w:br/>
              <w:t>(from)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D83ACEC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 &amp; stop; wait 7–14 days before MAOI.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F8DDBBB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over 2–4 weeks with low-dose TCA (taper paroxetine to 10 mg, add TCA, stop after 4–7 days). Caution: CYP2D6.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0339AD5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citalopram/escitalopram next day).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6C7A7A2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fluoxetine next day).</w:t>
            </w:r>
          </w:p>
        </w:tc>
        <w:tc>
          <w:tcPr>
            <w:tcW w:w="1607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476CBEA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C79B697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sertraline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45E6598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 Caution: paroxetine inhibits CYP2D6 → raised trazodone levels.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46C4E8A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to an SNRI normally possible. Caution: CYP2D6 → raised venlafaxine/duloxetine levels.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A0DC132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</w:tr>
      <w:tr w:rsidR="00654FE3" w14:paraId="565446C7" w14:textId="77777777" w:rsidTr="00C0130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67C0D45C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Sertraline</w:t>
            </w:r>
            <w:r>
              <w:rPr>
                <w:color w:val="5A6672"/>
                <w:sz w:val="12"/>
                <w:szCs w:val="12"/>
              </w:rPr>
              <w:br/>
              <w:t>(from)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B9FCB99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 &amp; stop; wait 7–14 days before MAOI (7–13 days before moclobemide).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C52A849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 with low-dose TCA.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A0EF487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citalopram/escitalopram next day).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AC7AA32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fluoxetine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8D92120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paroxetine next day).</w:t>
            </w:r>
          </w:p>
        </w:tc>
        <w:tc>
          <w:tcPr>
            <w:tcW w:w="1606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CD87DE7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862C003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F6D1CAA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to an SNRI is normally possible (stop, start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7F17CFA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</w:tr>
      <w:tr w:rsidR="00654FE3" w14:paraId="732906AB" w14:textId="77777777" w:rsidTr="00C01306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7A2C36D4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Trazodone</w:t>
            </w:r>
            <w:r>
              <w:rPr>
                <w:color w:val="5A6672"/>
                <w:sz w:val="12"/>
                <w:szCs w:val="12"/>
              </w:rPr>
              <w:br/>
              <w:t>(from)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D404A7F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 &amp; stop; wait 7–14 days before MAOI.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67697C4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 with low-dose TCA.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EA92BCB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B01F2AB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 Caution: fluoxetine inhibits CYP2D6 → raised trazodone levels.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14C787DB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 Caution: paroxetine inhibits CYP2D6.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5B3883E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7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137E8865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843444F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7A07EB0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</w:tr>
      <w:tr w:rsidR="00654FE3" w14:paraId="58B5E0A8" w14:textId="77777777" w:rsidTr="00C01306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07F1BB12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SNRI</w:t>
            </w:r>
            <w:r>
              <w:rPr>
                <w:color w:val="5A6672"/>
                <w:sz w:val="12"/>
                <w:szCs w:val="12"/>
              </w:rPr>
              <w:br/>
              <w:t>venlafaxine / duloxetine (from)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5FA25936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 &amp; stop; wait 7–14 days before MAOI (duloxetine 5–14 days).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24544E1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 with low-dose TCA. To clomipramine: taper &amp; stop, start next day.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6706AE4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to an SSRI is normally possible (stop, start next day).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1C1901D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fluoxetine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9C24F7F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paroxetine next day).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E70A65D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normally possible (stop, start sertraline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32AB057E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6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5FE8617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Direct switch to the other SNRI is normally possible (stop, start next day).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06B1FF5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</w:tr>
      <w:tr w:rsidR="00654FE3" w14:paraId="25D4BCD6" w14:textId="77777777" w:rsidTr="00C01306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990" w:type="dxa"/>
            <w:shd w:val="clear" w:color="auto" w:fill="E6F5F3"/>
            <w:tcMar>
              <w:top w:w="40" w:type="dxa"/>
              <w:left w:w="60" w:type="dxa"/>
              <w:bottom w:w="40" w:type="dxa"/>
              <w:right w:w="40" w:type="dxa"/>
            </w:tcMar>
            <w:vAlign w:val="center"/>
          </w:tcPr>
          <w:p w14:paraId="5478612D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4"/>
                <w:szCs w:val="14"/>
              </w:rPr>
              <w:t>Mirtazapine</w:t>
            </w:r>
            <w:r>
              <w:rPr>
                <w:color w:val="5A6672"/>
                <w:sz w:val="12"/>
                <w:szCs w:val="12"/>
              </w:rPr>
              <w:br/>
              <w:t>(from)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934D484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Taper &amp; stop; wait 7–14 days before MAOI. </w:t>
            </w:r>
            <w:r>
              <w:rPr>
                <w:b/>
                <w:bCs/>
                <w:color w:val="1F5FBF"/>
                <w:sz w:val="15"/>
                <w:szCs w:val="15"/>
              </w:rPr>
              <w:t>Specialist advice.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6AC98545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500AA68B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3A413B6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08951891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5ADC3848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7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4D68188B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6" w:type="dxa"/>
            <w:shd w:val="clear" w:color="auto" w:fill="FFFFFF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2D826609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Cross-taper cautiously over 2–4 weeks.</w:t>
            </w:r>
          </w:p>
        </w:tc>
        <w:tc>
          <w:tcPr>
            <w:tcW w:w="1607" w:type="dxa"/>
            <w:shd w:val="clear" w:color="auto" w:fill="F0F2F4"/>
            <w:tcMar>
              <w:top w:w="40" w:type="dxa"/>
              <w:left w:w="55" w:type="dxa"/>
              <w:bottom w:w="40" w:type="dxa"/>
              <w:right w:w="55" w:type="dxa"/>
            </w:tcMar>
            <w:vAlign w:val="center"/>
          </w:tcPr>
          <w:p w14:paraId="7E91436E" w14:textId="77777777" w:rsidR="00654FE3" w:rsidRDefault="00000000">
            <w:pPr>
              <w:spacing w:line="230" w:lineRule="auto"/>
            </w:pPr>
            <w:r>
              <w:rPr>
                <w:sz w:val="15"/>
                <w:szCs w:val="15"/>
              </w:rPr>
              <w:t>—</w:t>
            </w:r>
          </w:p>
        </w:tc>
      </w:tr>
    </w:tbl>
    <w:p w14:paraId="7B26FD8F" w14:textId="4A2A45CD" w:rsidR="00C01306" w:rsidRPr="00C01306" w:rsidRDefault="00C01306" w:rsidP="00C01306">
      <w:pPr>
        <w:spacing w:before="60" w:after="20"/>
        <w:rPr>
          <w:color w:val="EE0000"/>
        </w:rPr>
      </w:pPr>
      <w:r w:rsidRPr="00C01306">
        <w:rPr>
          <w:i/>
          <w:iCs/>
          <w:color w:val="EE0000"/>
          <w:sz w:val="15"/>
          <w:szCs w:val="15"/>
        </w:rPr>
        <w:lastRenderedPageBreak/>
        <w:t xml:space="preserve">Table above - </w:t>
      </w:r>
      <w:r w:rsidRPr="00C01306">
        <w:rPr>
          <w:i/>
          <w:iCs/>
          <w:color w:val="EE0000"/>
          <w:sz w:val="15"/>
          <w:szCs w:val="15"/>
        </w:rPr>
        <w:t>verified against NHS Specialist Pharmacy Service (SPS) antidepressant switching guidance and NICE NG222 / NG215. Aligned with current Maudsley Prescribing Guidelines practice (15th ed.).</w:t>
      </w:r>
    </w:p>
    <w:p w14:paraId="6D5D2A8B" w14:textId="65B9832F" w:rsidR="00654FE3" w:rsidRDefault="00000000">
      <w:pPr>
        <w:spacing w:before="200" w:after="60"/>
      </w:pPr>
      <w:r>
        <w:rPr>
          <w:b/>
          <w:bCs/>
        </w:rPr>
        <w:t>Stopping / tapering an antidepressant</w:t>
      </w:r>
    </w:p>
    <w:p w14:paraId="2A35F74E" w14:textId="77777777" w:rsidR="00654FE3" w:rsidRDefault="00000000">
      <w:pPr>
        <w:spacing w:after="100"/>
      </w:pPr>
      <w:r>
        <w:rPr>
          <w:i/>
          <w:iCs/>
          <w:color w:val="1F5FBF"/>
          <w:sz w:val="15"/>
          <w:szCs w:val="15"/>
        </w:rPr>
        <w:t>The whole “Stopping” row from the original table has been replaced. Fixed “reduce over 4 weeks” / “at 20 mg just stop” advice no longer reflects UK guidance.</w:t>
      </w:r>
    </w:p>
    <w:tbl>
      <w:tblPr>
        <w:tblW w:w="15448" w:type="dxa"/>
        <w:tblBorders>
          <w:top w:val="single" w:sz="2" w:space="0" w:color="C9D1D8"/>
          <w:left w:val="single" w:sz="2" w:space="0" w:color="C9D1D8"/>
          <w:bottom w:val="single" w:sz="2" w:space="0" w:color="C9D1D8"/>
          <w:right w:val="single" w:sz="2" w:space="0" w:color="C9D1D8"/>
          <w:insideH w:val="single" w:sz="2" w:space="0" w:color="C9D1D8"/>
          <w:insideV w:val="single" w:sz="2" w:space="0" w:color="C9D1D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13448"/>
      </w:tblGrid>
      <w:tr w:rsidR="00654FE3" w14:paraId="1E99404A" w14:textId="77777777" w:rsidTr="00C0130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1C2B35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35D38E2" w14:textId="77777777" w:rsidR="00654FE3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5"/>
                <w:szCs w:val="15"/>
              </w:rPr>
              <w:t>Drug</w:t>
            </w:r>
          </w:p>
        </w:tc>
        <w:tc>
          <w:tcPr>
            <w:tcW w:w="13448" w:type="dxa"/>
            <w:shd w:val="clear" w:color="auto" w:fill="1C2B35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A5C363A" w14:textId="77777777" w:rsidR="00654FE3" w:rsidRDefault="00000000">
            <w:pPr>
              <w:spacing w:line="230" w:lineRule="auto"/>
            </w:pPr>
            <w:r>
              <w:rPr>
                <w:b/>
                <w:bCs/>
                <w:color w:val="FFFFFF"/>
                <w:sz w:val="15"/>
                <w:szCs w:val="15"/>
              </w:rPr>
              <w:t>Stopping / tapering (NICE NG222 &amp; NG215, 2022)</w:t>
            </w:r>
          </w:p>
        </w:tc>
      </w:tr>
      <w:tr w:rsidR="00654FE3" w14:paraId="402DCF7D" w14:textId="77777777" w:rsidTr="00C0130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E6F5F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8441BF7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5"/>
                <w:szCs w:val="15"/>
              </w:rPr>
              <w:t>General principle</w:t>
            </w:r>
          </w:p>
        </w:tc>
        <w:tc>
          <w:tcPr>
            <w:tcW w:w="13448" w:type="dxa"/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7F1BEB3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Reduce the dose in stages (taper). Agree speed and duration with the patient. Each reduction should be to a proportion of the current dose (e.g. hyperbolic tapering). Ensure withdrawal symptoms are resolved or tolerable before the next reduction. Withdrawal may take weeks or months; some people need slower tapers over longer periods.</w:t>
            </w:r>
          </w:p>
        </w:tc>
      </w:tr>
      <w:tr w:rsidR="00654FE3" w14:paraId="0BA8D765" w14:textId="77777777" w:rsidTr="00C0130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E6F5F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87DCEEB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5"/>
                <w:szCs w:val="15"/>
              </w:rPr>
              <w:t>All SSRIs / SNRIs / TCAs / mirtazapine / trazodone</w:t>
            </w:r>
          </w:p>
        </w:tc>
        <w:tc>
          <w:tcPr>
            <w:tcW w:w="13448" w:type="dxa"/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B54FAC3" w14:textId="77777777" w:rsidR="00654FE3" w:rsidRDefault="00000000">
            <w:pPr>
              <w:spacing w:line="230" w:lineRule="auto"/>
              <w:rPr>
                <w:color w:val="1F5FBF"/>
                <w:sz w:val="15"/>
                <w:szCs w:val="15"/>
              </w:rPr>
            </w:pPr>
            <w:r>
              <w:rPr>
                <w:color w:val="1F5FBF"/>
                <w:sz w:val="15"/>
                <w:szCs w:val="15"/>
              </w:rPr>
              <w:t>Taper gradually rather than stopping over a fixed 4 weeks. Consider a faster reduction only if there are serious or intolerable adverse effects. Monitor for withdrawal symptoms and for return of depressive symptoms.</w:t>
            </w:r>
          </w:p>
          <w:p w14:paraId="06250CEB" w14:textId="77777777" w:rsidR="00C01306" w:rsidRDefault="00C01306" w:rsidP="00C01306">
            <w:pPr>
              <w:pStyle w:val="ListParagraph"/>
              <w:numPr>
                <w:ilvl w:val="0"/>
                <w:numId w:val="1"/>
              </w:numPr>
              <w:spacing w:after="50"/>
            </w:pPr>
            <w:r>
              <w:rPr>
                <w:b/>
                <w:bCs/>
                <w:color w:val="1F5FBF"/>
                <w:sz w:val="16"/>
                <w:szCs w:val="16"/>
              </w:rPr>
              <w:t xml:space="preserve">SSRI–SSRI simplified. </w:t>
            </w:r>
            <w:r>
              <w:rPr>
                <w:sz w:val="16"/>
                <w:szCs w:val="16"/>
              </w:rPr>
              <w:t>Between SSRIs a direct switch (stop one, start the next day) is normally possible — except from fluoxetine (taper to 20 mg, stop, wait 4–7 days).</w:t>
            </w:r>
          </w:p>
          <w:p w14:paraId="4D77E569" w14:textId="6954E298" w:rsidR="00C01306" w:rsidRDefault="00C01306" w:rsidP="00C01306">
            <w:pPr>
              <w:pStyle w:val="ListParagraph"/>
              <w:numPr>
                <w:ilvl w:val="0"/>
                <w:numId w:val="1"/>
              </w:numPr>
              <w:spacing w:after="50"/>
            </w:pPr>
            <w:r>
              <w:rPr>
                <w:b/>
                <w:bCs/>
                <w:color w:val="1F5FBF"/>
                <w:sz w:val="16"/>
                <w:szCs w:val="16"/>
              </w:rPr>
              <w:t xml:space="preserve">SSRI→SNRI simplified. </w:t>
            </w:r>
            <w:r>
              <w:rPr>
                <w:sz w:val="16"/>
                <w:szCs w:val="16"/>
              </w:rPr>
              <w:t>A direct switch to an SNRI is normally possible from any SSRI except fluoxetine, with a CYP2D6 caution from paroxetine and fluoxetine.</w:t>
            </w:r>
          </w:p>
        </w:tc>
      </w:tr>
      <w:tr w:rsidR="00654FE3" w14:paraId="0FEA9AEE" w14:textId="77777777" w:rsidTr="00C0130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E6F5F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75C06E5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5"/>
                <w:szCs w:val="15"/>
              </w:rPr>
              <w:t>Fluoxetine</w:t>
            </w:r>
          </w:p>
        </w:tc>
        <w:tc>
          <w:tcPr>
            <w:tcW w:w="13448" w:type="dxa"/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0816ACA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 xml:space="preserve">Because of its long half-life, withdrawal effects are usually milder; a slower final taper may still be needed. Do </w:t>
            </w:r>
            <w:r>
              <w:rPr>
                <w:b/>
                <w:bCs/>
                <w:color w:val="1F5FBF"/>
                <w:sz w:val="15"/>
                <w:szCs w:val="15"/>
              </w:rPr>
              <w:t>not</w:t>
            </w:r>
            <w:r>
              <w:rPr>
                <w:color w:val="1F5FBF"/>
                <w:sz w:val="15"/>
                <w:szCs w:val="15"/>
              </w:rPr>
              <w:t xml:space="preserve"> simply stop from 20 mg — taper and agree the plan with the patient (supersedes older “at 20 mg just stop” advice).</w:t>
            </w:r>
          </w:p>
        </w:tc>
      </w:tr>
      <w:tr w:rsidR="00654FE3" w14:paraId="6CA798AE" w14:textId="77777777" w:rsidTr="00C01306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E6F5F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646643E" w14:textId="77777777" w:rsidR="00654FE3" w:rsidRDefault="00000000">
            <w:pPr>
              <w:spacing w:line="230" w:lineRule="auto"/>
            </w:pPr>
            <w:r>
              <w:rPr>
                <w:b/>
                <w:bCs/>
                <w:sz w:val="15"/>
                <w:szCs w:val="15"/>
              </w:rPr>
              <w:t>Paroxetine &amp; venlafaxine</w:t>
            </w:r>
          </w:p>
        </w:tc>
        <w:tc>
          <w:tcPr>
            <w:tcW w:w="13448" w:type="dxa"/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58078D0" w14:textId="77777777" w:rsidR="00654FE3" w:rsidRDefault="00000000">
            <w:pPr>
              <w:spacing w:line="230" w:lineRule="auto"/>
            </w:pPr>
            <w:r>
              <w:rPr>
                <w:color w:val="1F5FBF"/>
                <w:sz w:val="15"/>
                <w:szCs w:val="15"/>
              </w:rPr>
              <w:t>Associated with more frequent/severe withdrawal — taper more slowly and over a longer period; tapering strips or liquid formulations may help small final reductions.</w:t>
            </w:r>
          </w:p>
        </w:tc>
      </w:tr>
    </w:tbl>
    <w:p w14:paraId="74257318" w14:textId="29A77F25" w:rsidR="00654FE3" w:rsidRDefault="00654FE3" w:rsidP="00C01306">
      <w:pPr>
        <w:spacing w:before="220" w:after="60"/>
      </w:pPr>
    </w:p>
    <w:p w14:paraId="5BBD4A6A" w14:textId="0BA898FB" w:rsidR="00654FE3" w:rsidRDefault="00000000">
      <w:pPr>
        <w:spacing w:before="180" w:after="40"/>
      </w:pPr>
      <w:r>
        <w:rPr>
          <w:b/>
          <w:bCs/>
          <w:sz w:val="16"/>
          <w:szCs w:val="16"/>
        </w:rPr>
        <w:t>Sources</w:t>
      </w:r>
    </w:p>
    <w:p w14:paraId="07DCB787" w14:textId="77777777" w:rsidR="00654FE3" w:rsidRDefault="00000000">
      <w:pPr>
        <w:pStyle w:val="ListParagraph"/>
        <w:numPr>
          <w:ilvl w:val="0"/>
          <w:numId w:val="1"/>
        </w:numPr>
        <w:spacing w:after="30"/>
      </w:pPr>
      <w:r>
        <w:rPr>
          <w:color w:val="5A6672"/>
          <w:sz w:val="14"/>
          <w:szCs w:val="14"/>
        </w:rPr>
        <w:t>NHS Specialist Pharmacy Service — SSRIs / TCAs / SNRIs / MAOI / trazodone / mirtazapine to other antidepressants: switching in adults (sps.nhs.uk, last updated 2024–2025).</w:t>
      </w:r>
    </w:p>
    <w:p w14:paraId="3979628D" w14:textId="77777777" w:rsidR="00654FE3" w:rsidRDefault="00000000">
      <w:pPr>
        <w:pStyle w:val="ListParagraph"/>
        <w:numPr>
          <w:ilvl w:val="0"/>
          <w:numId w:val="1"/>
        </w:numPr>
        <w:spacing w:after="30"/>
      </w:pPr>
      <w:r>
        <w:rPr>
          <w:color w:val="5A6672"/>
          <w:sz w:val="14"/>
          <w:szCs w:val="14"/>
        </w:rPr>
        <w:t>NICE NG222 Depression in adults: treatment and management (2022) — switching and stopping recommendations 1.4.12–1.4.16.</w:t>
      </w:r>
    </w:p>
    <w:p w14:paraId="00C69105" w14:textId="77777777" w:rsidR="00654FE3" w:rsidRDefault="00000000">
      <w:pPr>
        <w:pStyle w:val="ListParagraph"/>
        <w:numPr>
          <w:ilvl w:val="0"/>
          <w:numId w:val="1"/>
        </w:numPr>
        <w:spacing w:after="30"/>
      </w:pPr>
      <w:r>
        <w:rPr>
          <w:color w:val="5A6672"/>
          <w:sz w:val="14"/>
          <w:szCs w:val="14"/>
        </w:rPr>
        <w:t>NICE NG215 Medicines associated with dependence or withdrawal symptoms (2022) — safe withdrawal.</w:t>
      </w:r>
    </w:p>
    <w:p w14:paraId="5CB61F77" w14:textId="77777777" w:rsidR="00654FE3" w:rsidRDefault="00000000">
      <w:pPr>
        <w:pStyle w:val="ListParagraph"/>
        <w:numPr>
          <w:ilvl w:val="0"/>
          <w:numId w:val="1"/>
        </w:numPr>
        <w:spacing w:after="30"/>
      </w:pPr>
      <w:r>
        <w:rPr>
          <w:color w:val="5A6672"/>
          <w:sz w:val="14"/>
          <w:szCs w:val="14"/>
        </w:rPr>
        <w:t>NICE CKS Depression — Scenario: Switching antidepressants.</w:t>
      </w:r>
    </w:p>
    <w:p w14:paraId="51E21057" w14:textId="77777777" w:rsidR="00654FE3" w:rsidRDefault="00000000">
      <w:pPr>
        <w:pStyle w:val="ListParagraph"/>
        <w:numPr>
          <w:ilvl w:val="0"/>
          <w:numId w:val="1"/>
        </w:numPr>
        <w:spacing w:after="30"/>
      </w:pPr>
      <w:r>
        <w:rPr>
          <w:color w:val="5A6672"/>
          <w:sz w:val="14"/>
          <w:szCs w:val="14"/>
        </w:rPr>
        <w:t>NHS England — Items which should not routinely be prescribed (dosulepin).</w:t>
      </w:r>
    </w:p>
    <w:p w14:paraId="6899C56D" w14:textId="77777777" w:rsidR="00654FE3" w:rsidRDefault="00000000">
      <w:pPr>
        <w:pBdr>
          <w:top w:val="single" w:sz="8" w:space="6" w:color="E8620C"/>
        </w:pBdr>
        <w:spacing w:before="140"/>
      </w:pPr>
      <w:r>
        <w:rPr>
          <w:b/>
          <w:bCs/>
          <w:color w:val="E8620C"/>
          <w:sz w:val="15"/>
          <w:szCs w:val="15"/>
        </w:rPr>
        <w:t xml:space="preserve">SAFETY: </w:t>
      </w:r>
      <w:r>
        <w:rPr>
          <w:i/>
          <w:iCs/>
          <w:color w:val="5A6672"/>
          <w:sz w:val="14"/>
          <w:szCs w:val="14"/>
        </w:rPr>
        <w:t>This is a teaching aid, not a substitute for individualised prescribing decisions. Doses, washout periods and interactions must be checked against the SPS pages, NICE CKS and the BNF for each patient. Have a pharmacist colleague sign off before distribution.</w:t>
      </w:r>
    </w:p>
    <w:p w14:paraId="6E37CF0C" w14:textId="77777777" w:rsidR="00654FE3" w:rsidRDefault="00000000">
      <w:pPr>
        <w:spacing w:before="40"/>
      </w:pPr>
      <w:r>
        <w:rPr>
          <w:color w:val="14B8A6"/>
          <w:sz w:val="13"/>
          <w:szCs w:val="13"/>
        </w:rPr>
        <w:t>Bradford VTS — free GP training resources — bradfordvts.co.uk</w:t>
      </w:r>
    </w:p>
    <w:sectPr w:rsidR="00654FE3" w:rsidSect="00C01306">
      <w:pgSz w:w="16838" w:h="11906"/>
      <w:pgMar w:top="620" w:right="6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charset w:val="00"/>
    <w:family w:val="auto"/>
    <w:pitch w:val="variable"/>
    <w:sig w:usb0="20000007" w:usb1="00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C353C"/>
    <w:multiLevelType w:val="hybridMultilevel"/>
    <w:tmpl w:val="E30E4204"/>
    <w:lvl w:ilvl="0" w:tplc="13DE6E74">
      <w:start w:val="1"/>
      <w:numFmt w:val="bullet"/>
      <w:lvlText w:val="●"/>
      <w:lvlJc w:val="left"/>
      <w:pPr>
        <w:ind w:left="720" w:hanging="360"/>
      </w:pPr>
    </w:lvl>
    <w:lvl w:ilvl="1" w:tplc="FA60BE5A">
      <w:start w:val="1"/>
      <w:numFmt w:val="bullet"/>
      <w:lvlText w:val="○"/>
      <w:lvlJc w:val="left"/>
      <w:pPr>
        <w:ind w:left="1440" w:hanging="360"/>
      </w:pPr>
    </w:lvl>
    <w:lvl w:ilvl="2" w:tplc="3DFA1C88">
      <w:start w:val="1"/>
      <w:numFmt w:val="bullet"/>
      <w:lvlText w:val="■"/>
      <w:lvlJc w:val="left"/>
      <w:pPr>
        <w:ind w:left="2160" w:hanging="360"/>
      </w:pPr>
    </w:lvl>
    <w:lvl w:ilvl="3" w:tplc="0EDC9082">
      <w:start w:val="1"/>
      <w:numFmt w:val="bullet"/>
      <w:lvlText w:val="●"/>
      <w:lvlJc w:val="left"/>
      <w:pPr>
        <w:ind w:left="2880" w:hanging="360"/>
      </w:pPr>
    </w:lvl>
    <w:lvl w:ilvl="4" w:tplc="6E10E248">
      <w:start w:val="1"/>
      <w:numFmt w:val="bullet"/>
      <w:lvlText w:val="○"/>
      <w:lvlJc w:val="left"/>
      <w:pPr>
        <w:ind w:left="3600" w:hanging="360"/>
      </w:pPr>
    </w:lvl>
    <w:lvl w:ilvl="5" w:tplc="5F76AA7E">
      <w:start w:val="1"/>
      <w:numFmt w:val="bullet"/>
      <w:lvlText w:val="■"/>
      <w:lvlJc w:val="left"/>
      <w:pPr>
        <w:ind w:left="4320" w:hanging="360"/>
      </w:pPr>
    </w:lvl>
    <w:lvl w:ilvl="6" w:tplc="4CF4A99E">
      <w:start w:val="1"/>
      <w:numFmt w:val="bullet"/>
      <w:lvlText w:val="●"/>
      <w:lvlJc w:val="left"/>
      <w:pPr>
        <w:ind w:left="5040" w:hanging="360"/>
      </w:pPr>
    </w:lvl>
    <w:lvl w:ilvl="7" w:tplc="BA38921A">
      <w:start w:val="1"/>
      <w:numFmt w:val="bullet"/>
      <w:lvlText w:val="●"/>
      <w:lvlJc w:val="left"/>
      <w:pPr>
        <w:ind w:left="5760" w:hanging="360"/>
      </w:pPr>
    </w:lvl>
    <w:lvl w:ilvl="8" w:tplc="67C437B4">
      <w:start w:val="1"/>
      <w:numFmt w:val="bullet"/>
      <w:lvlText w:val="●"/>
      <w:lvlJc w:val="left"/>
      <w:pPr>
        <w:ind w:left="6480" w:hanging="360"/>
      </w:pPr>
    </w:lvl>
  </w:abstractNum>
  <w:num w:numId="1" w16cid:durableId="5489593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E3"/>
    <w:rsid w:val="00654FE3"/>
    <w:rsid w:val="008C229E"/>
    <w:rsid w:val="00C0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2D0DA"/>
  <w15:docId w15:val="{752D254E-C113-44D3-A213-13CCB950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="Barlow" w:hAnsi="Barlow" w:cs="Barlow"/>
        <w:color w:val="1C2B35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1270</Words>
  <Characters>7130</Characters>
  <Application>Microsoft Office Word</Application>
  <DocSecurity>0</DocSecurity>
  <Lines>548</Lines>
  <Paragraphs>127</Paragraphs>
  <ScaleCrop>false</ScaleCrop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Antidepressant Switching Table (2026 update)</dc:title>
  <dc:creator>Bradford VTS</dc:creator>
  <cp:lastModifiedBy>Ramesh Mehay</cp:lastModifiedBy>
  <cp:revision>3</cp:revision>
  <dcterms:created xsi:type="dcterms:W3CDTF">2026-07-06T15:54:00Z</dcterms:created>
  <dcterms:modified xsi:type="dcterms:W3CDTF">2026-07-06T16:34:00Z</dcterms:modified>
</cp:coreProperties>
</file>