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p>
    <w:tbl>
      <w:tblPr>
        <w:tblW w:type="dxa" w:w="6200"/>
        <w:jc w:val="center"/>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6200"/>
      </w:tblGrid>
      <w:tr>
        <w:tc>
          <w:tcPr>
            <w:tcW w:type="dxa" w:w="6200"/>
            <w:shd w:fill="0E5C5B" w:val="clear"/>
            <w:tcMar>
              <w:top w:type="dxa" w:w="170"/>
              <w:left w:type="dxa" w:w="200"/>
              <w:bottom w:type="dxa" w:w="170"/>
              <w:right w:type="dxa" w:w="200"/>
            </w:tcMar>
            <w:vAlign w:val="center"/>
          </w:tcPr>
          <w:p>
            <w:pPr>
              <w:spacing w:after="0"/>
              <w:jc w:val="center"/>
            </w:pPr>
            <w:r>
              <w:rPr>
                <w:rFonts w:ascii="Arial" w:cs="Arial" w:eastAsia="Arial" w:hAnsi="Arial"/>
                <w:b/>
                <w:bCs/>
                <w:i w:val="false"/>
                <w:iCs w:val="false"/>
                <w:color w:val="FFFFFF"/>
                <w:sz w:val="28"/>
                <w:szCs w:val="28"/>
              </w:rPr>
              <w:t xml:space="preserve">BRADFORD VTS TEACHING AIDS</w:t>
            </w:r>
          </w:p>
        </w:tc>
      </w:tr>
    </w:tbl>
    <w:p>
      <w:pPr>
        <w:spacing w:after="260" w:before="180"/>
        <w:jc w:val="center"/>
      </w:pPr>
      <w:r>
        <w:rPr>
          <w:rFonts w:ascii="Arial" w:cs="Arial" w:eastAsia="Arial" w:hAnsi="Arial"/>
          <w:b/>
          <w:bCs/>
          <w:i w:val="false"/>
          <w:iCs w:val="false"/>
          <w:color w:val="B07410"/>
          <w:sz w:val="21"/>
          <w:szCs w:val="21"/>
        </w:rPr>
        <w:t xml:space="preserve">Date: July 2026</w:t>
      </w:r>
    </w:p>
    <w:p>
      <w:pPr>
        <w:spacing w:after="60"/>
        <w:jc w:val="center"/>
      </w:pPr>
      <w:r>
        <w:rPr>
          <w:rFonts w:ascii="Arial" w:cs="Arial" w:eastAsia="Arial" w:hAnsi="Arial"/>
          <w:b/>
          <w:bCs/>
          <w:i w:val="false"/>
          <w:iCs w:val="false"/>
          <w:color w:val="0E5C5B"/>
          <w:sz w:val="76"/>
          <w:szCs w:val="76"/>
        </w:rPr>
        <w:t xml:space="preserve">“Mini-Counselling”</w:t>
      </w:r>
    </w:p>
    <w:p>
      <w:pPr>
        <w:spacing w:after="260"/>
        <w:jc w:val="center"/>
      </w:pPr>
      <w:r>
        <w:rPr>
          <w:rFonts w:ascii="Arial" w:cs="Arial" w:eastAsia="Arial" w:hAnsi="Arial"/>
          <w:b/>
          <w:bCs/>
          <w:i w:val="false"/>
          <w:iCs w:val="false"/>
          <w:color w:val="0A4342"/>
          <w:sz w:val="52"/>
          <w:szCs w:val="52"/>
        </w:rPr>
        <w:t xml:space="preserve">Tips for GPs</w:t>
      </w:r>
    </w:p>
    <w:p>
      <w:pPr>
        <w:pBdr>
          <w:bottom w:val="single" w:color="B07410" w:sz="20" w:space="1"/>
        </w:pBdr>
        <w:spacing w:after="300"/>
        <w:ind w:left="2600" w:right="2600"/>
      </w:pPr>
    </w:p>
    <w:p>
      <w:pPr>
        <w:spacing w:after="500" w:line="320"/>
        <w:ind w:left="900" w:right="900"/>
        <w:jc w:val="center"/>
      </w:pPr>
      <w:r>
        <w:rPr>
          <w:rFonts w:ascii="Arial" w:cs="Arial" w:eastAsia="Arial" w:hAnsi="Arial"/>
          <w:b w:val="false"/>
          <w:bCs w:val="false"/>
          <w:i/>
          <w:iCs/>
          <w:color w:val="5B6B6A"/>
          <w:sz w:val="25"/>
          <w:szCs w:val="25"/>
        </w:rPr>
        <w:t xml:space="preserve">Practical counselling skills for the everyday consultation — problem solving, goal setting, the three-stage helping model, and how to really listen.</w:t>
      </w:r>
    </w:p>
    <w:tbl>
      <w:tblPr>
        <w:tblW w:type="dxa" w:w="5200"/>
        <w:jc w:val="center"/>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200"/>
      </w:tblGrid>
      <w:tr>
        <w:tc>
          <w:tcPr>
            <w:tcW w:type="dxa" w:w="5200"/>
            <w:tcBorders>
              <w:top w:val="single" w:color="0E5C5B" w:sz="12"/>
              <w:left w:val="none" w:color="FFFFFF" w:sz="0"/>
              <w:bottom w:val="single" w:color="0E5C5B" w:sz="12"/>
              <w:right w:val="none" w:color="FFFFFF" w:sz="0"/>
            </w:tcBorders>
            <w:shd w:fill="F1F7F6" w:val="clear"/>
            <w:tcMar>
              <w:top w:type="dxa" w:w="180"/>
              <w:left w:type="dxa" w:w="260"/>
              <w:bottom w:type="dxa" w:w="180"/>
              <w:right w:type="dxa" w:w="260"/>
            </w:tcMar>
          </w:tcPr>
          <w:p>
            <w:pPr>
              <w:spacing w:after="70"/>
              <w:jc w:val="center"/>
            </w:pPr>
            <w:r>
              <w:rPr>
                <w:rFonts w:ascii="Arial" w:cs="Arial" w:eastAsia="Arial" w:hAnsi="Arial"/>
                <w:b/>
                <w:bCs/>
                <w:i w:val="false"/>
                <w:iCs w:val="false"/>
                <w:color w:val="0E5C5B"/>
                <w:sz w:val="18"/>
                <w:szCs w:val="18"/>
              </w:rPr>
              <w:t xml:space="preserve">A CONSULTATION SKILLS TEACHING RESOURCE</w:t>
            </w:r>
          </w:p>
          <w:p>
            <w:pPr>
              <w:spacing w:after="0"/>
              <w:jc w:val="center"/>
            </w:pPr>
            <w:r>
              <w:rPr>
                <w:rFonts w:ascii="Arial" w:cs="Arial" w:eastAsia="Arial" w:hAnsi="Arial"/>
                <w:b w:val="false"/>
                <w:bCs w:val="false"/>
                <w:i w:val="false"/>
                <w:iCs w:val="false"/>
                <w:color w:val="5B6B6A"/>
                <w:sz w:val="19"/>
                <w:szCs w:val="19"/>
              </w:rPr>
              <w:t xml:space="preserve">For GP registrars, foundation doctors and primary care teams</w:t>
            </w:r>
          </w:p>
        </w:tc>
      </w:tr>
    </w:tbl>
    <w:p>
      <w:pPr>
        <w:spacing w:after="900"/>
      </w:pPr>
    </w:p>
    <w:p>
      <w:pPr>
        <w:jc w:val="center"/>
      </w:pPr>
      <w:r>
        <w:rPr>
          <w:rFonts w:ascii="Arial" w:cs="Arial" w:eastAsia="Arial" w:hAnsi="Arial"/>
          <w:b w:val="false"/>
          <w:bCs w:val="false"/>
          <w:i w:val="false"/>
          <w:iCs w:val="false"/>
          <w:color w:val="5B6B6A"/>
          <w:sz w:val="19"/>
          <w:szCs w:val="19"/>
        </w:rPr>
        <w:t xml:space="preserve">Bradford Vocational Training Scheme  •  Redesigned edition</w:t>
      </w:r>
    </w:p>
    <w:p>
      <w:pPr>
        <w:spacing w:before="60"/>
        <w:jc w:val="center"/>
      </w:pPr>
      <w:r>
        <w:rPr>
          <w:rFonts w:ascii="Arial" w:cs="Arial" w:eastAsia="Arial" w:hAnsi="Arial"/>
          <w:b w:val="false"/>
          <w:bCs w:val="false"/>
          <w:i/>
          <w:iCs/>
          <w:color w:val="5B6B6A"/>
          <w:sz w:val="17"/>
          <w:szCs w:val="17"/>
        </w:rPr>
        <w:t xml:space="preserve">Modernised from the original Bradford VTS teaching handout; content preserved, layout redesigned.</w:t>
      </w:r>
    </w:p>
    <w:p>
      <w:pPr>
        <w:spacing w:after="30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single" w:color="0E5C5B" w:sz="10"/>
              <w:left w:val="none" w:color="FFFFFF" w:sz="0"/>
              <w:bottom w:val="single" w:color="0E5C5B" w:sz="10"/>
              <w:right w:val="none" w:color="FFFFFF" w:sz="0"/>
            </w:tcBorders>
            <w:shd w:fill="F1F7F6" w:val="clear"/>
            <w:tcMar>
              <w:top w:type="dxa" w:w="140"/>
              <w:left w:type="dxa" w:w="220"/>
              <w:bottom w:type="dxa" w:w="140"/>
              <w:right w:type="dxa" w:w="220"/>
            </w:tcMar>
          </w:tcPr>
          <w:p>
            <w:pPr>
              <w:spacing w:after="60"/>
            </w:pPr>
            <w:r>
              <w:rPr>
                <w:rFonts w:ascii="Arial" w:cs="Arial" w:eastAsia="Arial" w:hAnsi="Arial"/>
                <w:b/>
                <w:bCs/>
                <w:i w:val="false"/>
                <w:iCs w:val="false"/>
                <w:color w:val="0E5C5B"/>
                <w:sz w:val="17"/>
                <w:szCs w:val="17"/>
              </w:rPr>
              <w:t xml:space="preserve">DISCLAIMER</w:t>
            </w:r>
          </w:p>
          <w:p>
            <w:pPr>
              <w:spacing w:after="0" w:line="275"/>
            </w:pPr>
            <w:r>
              <w:rPr>
                <w:rFonts w:ascii="Arial" w:cs="Arial" w:eastAsia="Arial" w:hAnsi="Arial"/>
                <w:b w:val="false"/>
                <w:bCs w:val="false"/>
                <w:i/>
                <w:iCs/>
                <w:color w:val="5B6B6A"/>
                <w:sz w:val="17"/>
                <w:szCs w:val="17"/>
              </w:rPr>
              <w:t xml:space="preserve">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AT A GLANCE — WHAT’S INSIDE</w:t>
            </w:r>
          </w:p>
        </w:tc>
      </w:tr>
    </w:tbl>
    <w:p>
      <w:pPr>
        <w:keepNext/>
        <w:spacing w:after="220" w:before="160" w:line="300"/>
      </w:pPr>
      <w:r>
        <w:rPr>
          <w:rFonts w:ascii="Arial" w:cs="Arial" w:eastAsia="Arial" w:hAnsi="Arial"/>
          <w:b w:val="false"/>
          <w:bCs w:val="false"/>
          <w:i/>
          <w:iCs/>
          <w:color w:val="5B6B6A"/>
          <w:sz w:val="21"/>
          <w:szCs w:val="21"/>
        </w:rPr>
        <w:t xml:space="preserve">Nine short, teachable segments. Use them as a whole-session handout or lift individual pages for tutorials on consultation skills, mental health follow-up, or communication teaching.</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700"/>
        <w:gridCol w:w="3400"/>
        <w:gridCol w:w="4926"/>
      </w:tblGrid>
      <w:tr>
        <w:trPr>
          <w:cantSplit/>
        </w:trPr>
        <w:tc>
          <w:tcPr>
            <w:tcW w:type="dxa" w:w="700"/>
            <w:shd w:fill="F4F8F7"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1</w:t>
            </w:r>
          </w:p>
        </w:tc>
        <w:tc>
          <w:tcPr>
            <w:tcW w:type="dxa" w:w="3400"/>
            <w:shd w:fill="F4F8F7"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Stages of Problem Solving</w:t>
            </w:r>
          </w:p>
        </w:tc>
        <w:tc>
          <w:tcPr>
            <w:tcW w:type="dxa" w:w="4926"/>
            <w:shd w:fill="F4F8F7"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A six-step structure the patient works through — not you</w:t>
            </w:r>
          </w:p>
        </w:tc>
      </w:tr>
      <w:tr>
        <w:trPr>
          <w:cantSplit/>
        </w:trPr>
        <w:tc>
          <w:tcPr>
            <w:tcW w:type="dxa" w:w="700"/>
            <w:shd w:fill="FFFFFF"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2</w:t>
            </w:r>
          </w:p>
        </w:tc>
        <w:tc>
          <w:tcPr>
            <w:tcW w:type="dxa" w:w="3400"/>
            <w:shd w:fill="FFFFFF"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Goal Setting</w:t>
            </w:r>
          </w:p>
        </w:tc>
        <w:tc>
          <w:tcPr>
            <w:tcW w:type="dxa" w:w="4926"/>
            <w:shd w:fill="FFFFFF"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Negotiating change the patient actually wants — and can measure</w:t>
            </w:r>
          </w:p>
        </w:tc>
      </w:tr>
      <w:tr>
        <w:trPr>
          <w:cantSplit/>
        </w:trPr>
        <w:tc>
          <w:tcPr>
            <w:tcW w:type="dxa" w:w="700"/>
            <w:shd w:fill="F4F8F7"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3</w:t>
            </w:r>
          </w:p>
        </w:tc>
        <w:tc>
          <w:tcPr>
            <w:tcW w:type="dxa" w:w="3400"/>
            <w:shd w:fill="F4F8F7"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Stage 1 – Exploration</w:t>
            </w:r>
          </w:p>
        </w:tc>
        <w:tc>
          <w:tcPr>
            <w:tcW w:type="dxa" w:w="4926"/>
            <w:shd w:fill="F4F8F7"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Relationship building and active listening skills</w:t>
            </w:r>
          </w:p>
        </w:tc>
      </w:tr>
      <w:tr>
        <w:trPr>
          <w:cantSplit/>
        </w:trPr>
        <w:tc>
          <w:tcPr>
            <w:tcW w:type="dxa" w:w="700"/>
            <w:shd w:fill="FFFFFF"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4</w:t>
            </w:r>
          </w:p>
        </w:tc>
        <w:tc>
          <w:tcPr>
            <w:tcW w:type="dxa" w:w="3400"/>
            <w:shd w:fill="FFFFFF"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Stage 2 – New Understanding</w:t>
            </w:r>
          </w:p>
        </w:tc>
        <w:tc>
          <w:tcPr>
            <w:tcW w:type="dxa" w:w="4926"/>
            <w:shd w:fill="FFFFFF"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Challenging skills: helping the patient see things afresh</w:t>
            </w:r>
          </w:p>
        </w:tc>
      </w:tr>
      <w:tr>
        <w:trPr>
          <w:cantSplit/>
        </w:trPr>
        <w:tc>
          <w:tcPr>
            <w:tcW w:type="dxa" w:w="700"/>
            <w:shd w:fill="F4F8F7"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5</w:t>
            </w:r>
          </w:p>
        </w:tc>
        <w:tc>
          <w:tcPr>
            <w:tcW w:type="dxa" w:w="3400"/>
            <w:shd w:fill="F4F8F7"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Stage 3 – Action</w:t>
            </w:r>
          </w:p>
        </w:tc>
        <w:tc>
          <w:tcPr>
            <w:tcW w:type="dxa" w:w="4926"/>
            <w:shd w:fill="F4F8F7"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Planning, implementing and evaluating change</w:t>
            </w:r>
          </w:p>
        </w:tc>
      </w:tr>
      <w:tr>
        <w:trPr>
          <w:cantSplit/>
        </w:trPr>
        <w:tc>
          <w:tcPr>
            <w:tcW w:type="dxa" w:w="700"/>
            <w:shd w:fill="FFFFFF"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6</w:t>
            </w:r>
          </w:p>
        </w:tc>
        <w:tc>
          <w:tcPr>
            <w:tcW w:type="dxa" w:w="3400"/>
            <w:shd w:fill="FFFFFF"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Counselling Don’ts</w:t>
            </w:r>
          </w:p>
        </w:tc>
        <w:tc>
          <w:tcPr>
            <w:tcW w:type="dxa" w:w="4926"/>
            <w:shd w:fill="FFFFFF"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Six traps — and why each one undermines the patient</w:t>
            </w:r>
          </w:p>
        </w:tc>
      </w:tr>
      <w:tr>
        <w:trPr>
          <w:cantSplit/>
        </w:trPr>
        <w:tc>
          <w:tcPr>
            <w:tcW w:type="dxa" w:w="700"/>
            <w:shd w:fill="F4F8F7"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7</w:t>
            </w:r>
          </w:p>
        </w:tc>
        <w:tc>
          <w:tcPr>
            <w:tcW w:type="dxa" w:w="3400"/>
            <w:shd w:fill="F4F8F7"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My Skill as a Listener</w:t>
            </w:r>
          </w:p>
        </w:tc>
        <w:tc>
          <w:tcPr>
            <w:tcW w:type="dxa" w:w="4926"/>
            <w:shd w:fill="F4F8F7"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A 15-item self-rating quiz to profile your listening</w:t>
            </w:r>
          </w:p>
        </w:tc>
      </w:tr>
      <w:tr>
        <w:trPr>
          <w:cantSplit/>
        </w:trPr>
        <w:tc>
          <w:tcPr>
            <w:tcW w:type="dxa" w:w="700"/>
            <w:shd w:fill="FFFFFF"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8</w:t>
            </w:r>
          </w:p>
        </w:tc>
        <w:tc>
          <w:tcPr>
            <w:tcW w:type="dxa" w:w="3400"/>
            <w:shd w:fill="FFFFFF"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Barriers to Good Listening</w:t>
            </w:r>
          </w:p>
        </w:tc>
        <w:tc>
          <w:tcPr>
            <w:tcW w:type="dxa" w:w="4926"/>
            <w:shd w:fill="FFFFFF"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Ten everyday listening pitfalls, named and explained</w:t>
            </w:r>
          </w:p>
        </w:tc>
      </w:tr>
      <w:tr>
        <w:trPr>
          <w:cantSplit/>
        </w:trPr>
        <w:tc>
          <w:tcPr>
            <w:tcW w:type="dxa" w:w="700"/>
            <w:shd w:fill="F4F8F7" w:val="clear"/>
            <w:tcMar>
              <w:top w:type="dxa" w:w="90"/>
              <w:left w:type="dxa" w:w="120"/>
              <w:bottom w:type="dxa" w:w="90"/>
              <w:right w:type="dxa" w:w="60"/>
            </w:tcMar>
            <w:vAlign w:val="center"/>
          </w:tcPr>
          <w:p>
            <w:pPr>
              <w:jc w:val="center"/>
            </w:pPr>
            <w:r>
              <w:rPr>
                <w:rFonts w:ascii="Arial" w:cs="Arial" w:eastAsia="Arial" w:hAnsi="Arial"/>
                <w:b/>
                <w:bCs/>
                <w:i w:val="false"/>
                <w:iCs w:val="false"/>
                <w:color w:val="B07410"/>
                <w:sz w:val="24"/>
                <w:szCs w:val="24"/>
              </w:rPr>
              <w:t xml:space="preserve">9</w:t>
            </w:r>
          </w:p>
        </w:tc>
        <w:tc>
          <w:tcPr>
            <w:tcW w:type="dxa" w:w="3400"/>
            <w:shd w:fill="F4F8F7" w:val="clear"/>
            <w:tcMar>
              <w:top w:type="dxa" w:w="90"/>
              <w:left w:type="dxa" w:w="100"/>
              <w:bottom w:type="dxa" w:w="90"/>
              <w:right w:type="dxa" w:w="100"/>
            </w:tcMar>
            <w:vAlign w:val="center"/>
          </w:tcPr>
          <w:p>
            <w:r>
              <w:rPr>
                <w:rFonts w:ascii="Arial" w:cs="Arial" w:eastAsia="Arial" w:hAnsi="Arial"/>
                <w:b/>
                <w:bCs/>
                <w:i w:val="false"/>
                <w:iCs w:val="false"/>
                <w:color w:val="0E5C5B"/>
                <w:sz w:val="21"/>
                <w:szCs w:val="21"/>
              </w:rPr>
              <w:t xml:space="preserve">Counselling Books for GPs</w:t>
            </w:r>
          </w:p>
        </w:tc>
        <w:tc>
          <w:tcPr>
            <w:tcW w:type="dxa" w:w="4926"/>
            <w:shd w:fill="F4F8F7" w:val="clear"/>
            <w:tcMar>
              <w:top w:type="dxa" w:w="90"/>
              <w:left w:type="dxa" w:w="100"/>
              <w:bottom w:type="dxa" w:w="90"/>
              <w:right w:type="dxa" w:w="120"/>
            </w:tcMar>
            <w:vAlign w:val="center"/>
          </w:tcPr>
          <w:p>
            <w:r>
              <w:rPr>
                <w:rFonts w:ascii="Arial" w:cs="Arial" w:eastAsia="Arial" w:hAnsi="Arial"/>
                <w:b w:val="false"/>
                <w:bCs w:val="false"/>
                <w:i w:val="false"/>
                <w:iCs w:val="false"/>
                <w:color w:val="5B6B6A"/>
                <w:sz w:val="20"/>
                <w:szCs w:val="20"/>
              </w:rPr>
              <w:t xml:space="preserve">A short classic reading list</w:t>
            </w:r>
          </w:p>
        </w:tc>
      </w:tr>
    </w:tbl>
    <w:p>
      <w:pPr>
        <w:spacing w:after="16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0E5C5B" w:sz="28"/>
              <w:bottom w:val="none" w:color="FFFFFF" w:sz="0"/>
              <w:right w:val="none" w:color="FFFFFF" w:sz="0"/>
            </w:tcBorders>
            <w:shd w:fill="E3EFEE" w:val="clear"/>
            <w:tcMar>
              <w:top w:type="dxa" w:w="160"/>
              <w:left w:type="dxa" w:w="240"/>
              <w:bottom w:type="dxa" w:w="160"/>
              <w:right w:type="dxa" w:w="240"/>
            </w:tcMar>
          </w:tcPr>
          <w:p>
            <w:pPr>
              <w:spacing w:after="80"/>
            </w:pPr>
            <w:r>
              <w:rPr>
                <w:rFonts w:ascii="Arial" w:cs="Arial" w:eastAsia="Arial" w:hAnsi="Arial"/>
                <w:b/>
                <w:bCs/>
                <w:i w:val="false"/>
                <w:iCs w:val="false"/>
                <w:caps/>
                <w:color w:val="0E5C5B"/>
                <w:sz w:val="20"/>
                <w:szCs w:val="20"/>
              </w:rPr>
              <w:t xml:space="preserve">Why “mini-counselling”?</w:t>
            </w:r>
          </w:p>
          <w:p>
            <w:pPr>
              <w:spacing w:after="0" w:line="290"/>
            </w:pPr>
            <w:r>
              <w:rPr>
                <w:rFonts w:ascii="Arial" w:cs="Arial" w:eastAsia="Arial" w:hAnsi="Arial"/>
                <w:b w:val="false"/>
                <w:bCs w:val="false"/>
                <w:i w:val="false"/>
                <w:iCs w:val="false"/>
                <w:color w:val="223433"/>
                <w:sz w:val="20"/>
                <w:szCs w:val="20"/>
              </w:rPr>
              <w:t xml:space="preserve">Very few GP consultations allow a formal fifty-minute counselling hour. But the core skills of counselling — listening well, exploring before advising, setting goals the patient owns — fit remarkably well into general practice, a few minutes at a time, visit after visit.</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1</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STAGES OF PROBLEM SOLVING</w:t>
            </w:r>
          </w:p>
        </w:tc>
      </w:tr>
    </w:tbl>
    <w:p>
      <w:pPr>
        <w:keepNext/>
        <w:spacing w:after="220" w:before="160" w:line="300"/>
      </w:pPr>
      <w:r>
        <w:rPr>
          <w:rFonts w:ascii="Arial" w:cs="Arial" w:eastAsia="Arial" w:hAnsi="Arial"/>
          <w:b w:val="false"/>
          <w:bCs w:val="false"/>
          <w:i/>
          <w:iCs/>
          <w:color w:val="5B6B6A"/>
          <w:sz w:val="21"/>
          <w:szCs w:val="21"/>
        </w:rPr>
        <w:t xml:space="preserve">A structured sequence to work through with the patient. Your job is to enable each step — the patient does the thinking.</w:t>
      </w: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Enable the patient to…</w:t>
      </w:r>
    </w:p>
    <w:p>
      <w:pPr>
        <w:keepLines/>
        <w:spacing w:after="160" w:before="120"/>
        <w:jc w:val="center"/>
      </w:pPr>
      <w:r>
        <w:drawing>
          <wp:inline distT="0" distB="0" distL="0" distR="0">
            <wp:extent cx="5457825"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457825" cy="4305300"/>
                    </a:xfrm>
                    <a:prstGeom prst="rect">
                      <a:avLst/>
                    </a:prstGeom>
                  </pic:spPr>
                </pic:pic>
              </a:graphicData>
            </a:graphic>
          </wp:inline>
        </w:drawing>
      </w: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Keeping it patient-centred</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Get the patient to do the work</w:t>
      </w:r>
      <w:r>
        <w:rPr>
          <w:rFonts w:ascii="Arial" w:cs="Arial" w:eastAsia="Arial" w:hAnsi="Arial"/>
          <w:b w:val="false"/>
          <w:bCs w:val="false"/>
          <w:i w:val="false"/>
          <w:iCs w:val="false"/>
          <w:color w:val="223433"/>
          <w:sz w:val="21"/>
          <w:szCs w:val="21"/>
        </w:rPr>
        <w:t xml:space="preserve"> — this is patient-centred problem solving, not prescription.</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If they cannot think of options, </w:t>
      </w:r>
      <w:r>
        <w:rPr>
          <w:rFonts w:ascii="Arial" w:cs="Arial" w:eastAsia="Arial" w:hAnsi="Arial"/>
          <w:b/>
          <w:bCs/>
          <w:i w:val="false"/>
          <w:iCs w:val="false"/>
          <w:color w:val="223433"/>
          <w:sz w:val="21"/>
          <w:szCs w:val="21"/>
        </w:rPr>
        <w:t xml:space="preserve">try to avoid suggesting alternatives yourself</w:t>
      </w:r>
      <w:r>
        <w:rPr>
          <w:rFonts w:ascii="Arial" w:cs="Arial" w:eastAsia="Arial" w:hAnsi="Arial"/>
          <w:b w:val="false"/>
          <w:bCs w:val="false"/>
          <w:i w:val="false"/>
          <w:iCs w:val="false"/>
          <w:color w:val="223433"/>
          <w:sz w:val="21"/>
          <w:szCs w:val="21"/>
        </w:rPr>
        <w:t xml:space="preserve"> — hold the silence and keep prompting.</w:t>
      </w:r>
    </w:p>
    <w:p>
      <w:pPr>
        <w:pStyle w:val="ListParagraph"/>
        <w:keepLines/>
        <w:numPr>
          <w:ilvl w:val="0"/>
          <w:numId w:val="2"/>
        </w:numPr>
        <w:spacing w:after="140" w:line="295"/>
      </w:pPr>
      <w:r>
        <w:rPr>
          <w:rFonts w:ascii="Arial" w:cs="Arial" w:eastAsia="Arial" w:hAnsi="Arial"/>
          <w:b w:val="false"/>
          <w:bCs w:val="false"/>
          <w:i w:val="false"/>
          <w:iCs w:val="false"/>
          <w:color w:val="223433"/>
          <w:sz w:val="21"/>
          <w:szCs w:val="21"/>
        </w:rPr>
        <w:t xml:space="preserve">If the patient is </w:t>
      </w:r>
      <w:r>
        <w:rPr>
          <w:rFonts w:ascii="Arial" w:cs="Arial" w:eastAsia="Arial" w:hAnsi="Arial"/>
          <w:b/>
          <w:bCs/>
          <w:i w:val="false"/>
          <w:iCs w:val="false"/>
          <w:color w:val="223433"/>
          <w:sz w:val="21"/>
          <w:szCs w:val="21"/>
        </w:rPr>
        <w:t xml:space="preserve">severely depressed</w:t>
      </w:r>
      <w:r>
        <w:rPr>
          <w:rFonts w:ascii="Arial" w:cs="Arial" w:eastAsia="Arial" w:hAnsi="Arial"/>
          <w:b w:val="false"/>
          <w:bCs w:val="false"/>
          <w:i w:val="false"/>
          <w:iCs w:val="false"/>
          <w:color w:val="223433"/>
          <w:sz w:val="21"/>
          <w:szCs w:val="21"/>
        </w:rPr>
        <w:t xml:space="preserve">, problem solving may be easier once they are established on treatment for the depression itself.</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E9A93D" w:sz="28"/>
              <w:bottom w:val="none" w:color="FFFFFF" w:sz="0"/>
              <w:right w:val="none" w:color="FFFFFF" w:sz="0"/>
            </w:tcBorders>
            <w:shd w:fill="FBF3E2" w:val="clear"/>
            <w:tcMar>
              <w:top w:type="dxa" w:w="160"/>
              <w:left w:type="dxa" w:w="240"/>
              <w:bottom w:type="dxa" w:w="160"/>
              <w:right w:type="dxa" w:w="240"/>
            </w:tcMar>
          </w:tcPr>
          <w:p>
            <w:pPr>
              <w:spacing w:after="80"/>
            </w:pPr>
            <w:r>
              <w:rPr>
                <w:rFonts w:ascii="Arial" w:cs="Arial" w:eastAsia="Arial" w:hAnsi="Arial"/>
                <w:b/>
                <w:bCs/>
                <w:i w:val="false"/>
                <w:iCs w:val="false"/>
                <w:caps/>
                <w:color w:val="E9A93D"/>
                <w:sz w:val="20"/>
                <w:szCs w:val="20"/>
              </w:rPr>
              <w:t xml:space="preserve">Pearl</w:t>
            </w:r>
          </w:p>
          <w:p>
            <w:pPr>
              <w:spacing w:after="0" w:line="290"/>
            </w:pPr>
            <w:r>
              <w:rPr>
                <w:rFonts w:ascii="Arial" w:cs="Arial" w:eastAsia="Arial" w:hAnsi="Arial"/>
                <w:b/>
                <w:bCs/>
                <w:i w:val="false"/>
                <w:iCs w:val="false"/>
                <w:color w:val="223433"/>
                <w:sz w:val="20"/>
                <w:szCs w:val="20"/>
              </w:rPr>
              <w:t xml:space="preserve">Problems may not be soluble.</w:t>
            </w:r>
            <w:r>
              <w:rPr>
                <w:rFonts w:ascii="Arial" w:cs="Arial" w:eastAsia="Arial" w:hAnsi="Arial"/>
                <w:b w:val="false"/>
                <w:bCs w:val="false"/>
                <w:i w:val="false"/>
                <w:iCs w:val="false"/>
                <w:color w:val="223433"/>
                <w:sz w:val="20"/>
                <w:szCs w:val="20"/>
              </w:rPr>
              <w:t xml:space="preserve"> Some difficulties cannot be fixed — only lived with. When that is the case, shift the conversation from problem solving to coping strategies.</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c>
          <w:tcPr>
            <w:tcW w:type="dxa" w:w="9026"/>
            <w:tcBorders>
              <w:top w:val="single" w:color="0E5C5B" w:sz="14"/>
              <w:left w:val="none" w:color="FFFFFF" w:sz="0"/>
              <w:bottom w:val="single" w:color="0E5C5B" w:sz="14"/>
              <w:right w:val="none" w:color="FFFFFF" w:sz="0"/>
            </w:tcBorders>
            <w:shd w:fill="F1F7F6" w:val="clear"/>
            <w:tcMar>
              <w:top w:type="dxa" w:w="200"/>
              <w:left w:type="dxa" w:w="260"/>
              <w:bottom w:type="dxa" w:w="200"/>
              <w:right w:type="dxa" w:w="260"/>
            </w:tcMar>
          </w:tcPr>
          <w:p>
            <w:pPr>
              <w:spacing w:after="80"/>
              <w:jc w:val="center"/>
            </w:pPr>
            <w:r>
              <w:rPr>
                <w:rFonts w:ascii="Arial" w:cs="Arial" w:eastAsia="Arial" w:hAnsi="Arial"/>
                <w:b/>
                <w:bCs/>
                <w:i w:val="false"/>
                <w:iCs w:val="false"/>
                <w:color w:val="0E5C5B"/>
                <w:sz w:val="27"/>
                <w:szCs w:val="27"/>
              </w:rPr>
              <w:t xml:space="preserve">“MINI-COUNSELLING” TO ADAPT TO GENERAL PRACTICE</w:t>
            </w:r>
          </w:p>
          <w:p>
            <w:pPr>
              <w:spacing w:after="0" w:line="300"/>
              <w:jc w:val="center"/>
            </w:pPr>
            <w:r>
              <w:rPr>
                <w:rFonts w:ascii="Arial" w:cs="Arial" w:eastAsia="Arial" w:hAnsi="Arial"/>
                <w:b w:val="false"/>
                <w:bCs w:val="false"/>
                <w:i/>
                <w:iCs/>
                <w:color w:val="5B6B6A"/>
                <w:sz w:val="20"/>
                <w:szCs w:val="20"/>
              </w:rPr>
              <w:t xml:space="preserve">Goal setting, then the three-stage helping model (after Gerard Egan’s The Skilled Helper) — each stage builds on the skills of the one before.</w:t>
            </w:r>
          </w:p>
        </w:tc>
      </w:tr>
    </w:tbl>
    <w:p>
      <w:pPr>
        <w:spacing w:after="20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2</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GOAL SETTING</w:t>
            </w:r>
          </w:p>
        </w:tc>
      </w:tr>
    </w:tbl>
    <w:p>
      <w:pPr>
        <w:keepNext/>
        <w:spacing w:after="220" w:before="160" w:line="300"/>
      </w:pPr>
      <w:r>
        <w:rPr>
          <w:rFonts w:ascii="Arial" w:cs="Arial" w:eastAsia="Arial" w:hAnsi="Arial"/>
          <w:b w:val="false"/>
          <w:bCs w:val="false"/>
          <w:i/>
          <w:iCs/>
          <w:color w:val="5B6B6A"/>
          <w:sz w:val="21"/>
          <w:szCs w:val="21"/>
        </w:rPr>
        <w:t xml:space="preserve">Negotiating with the patient for changes in feeling and behaviour that are desired by the patient — and to whose achievement they are motivated.</w:t>
      </w: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Goals must be…</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413"/>
        <w:gridCol w:w="200"/>
        <w:gridCol w:w="4413"/>
      </w:tblGrid>
      <w:tr>
        <w:trPr>
          <w:cantSplit/>
        </w:trPr>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Realistic</w:t>
            </w:r>
          </w:p>
          <w:p>
            <w:pPr>
              <w:spacing w:after="0"/>
            </w:pPr>
            <w:r>
              <w:rPr>
                <w:rFonts w:ascii="Arial" w:cs="Arial" w:eastAsia="Arial" w:hAnsi="Arial"/>
                <w:b w:val="false"/>
                <w:bCs w:val="false"/>
                <w:i/>
                <w:iCs/>
                <w:color w:val="5B6B6A"/>
                <w:sz w:val="18"/>
                <w:szCs w:val="18"/>
              </w:rPr>
              <w:t xml:space="preserve">achievable from where the patient actually is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Under the patient’s control</w:t>
            </w:r>
          </w:p>
          <w:p>
            <w:pPr>
              <w:spacing w:after="0"/>
            </w:pPr>
            <w:r>
              <w:rPr>
                <w:rFonts w:ascii="Arial" w:cs="Arial" w:eastAsia="Arial" w:hAnsi="Arial"/>
                <w:b w:val="false"/>
                <w:bCs w:val="false"/>
                <w:i/>
                <w:iCs/>
                <w:color w:val="5B6B6A"/>
                <w:sz w:val="18"/>
                <w:szCs w:val="18"/>
              </w:rPr>
              <w:t xml:space="preserve">not dependent on someone else changing</w:t>
            </w:r>
          </w:p>
        </w:tc>
      </w:tr>
      <w:tr>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r>
      <w:tr>
        <w:trPr>
          <w:cantSplit/>
        </w:trPr>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Appropriate</w:t>
            </w:r>
          </w:p>
          <w:p>
            <w:pPr>
              <w:spacing w:after="0"/>
            </w:pPr>
            <w:r>
              <w:rPr>
                <w:rFonts w:ascii="Arial" w:cs="Arial" w:eastAsia="Arial" w:hAnsi="Arial"/>
                <w:b w:val="false"/>
                <w:bCs w:val="false"/>
                <w:i/>
                <w:iCs/>
                <w:color w:val="5B6B6A"/>
                <w:sz w:val="18"/>
                <w:szCs w:val="18"/>
              </w:rPr>
              <w:t xml:space="preserve">fitting the problem and the person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Measurable</w:t>
            </w:r>
          </w:p>
          <w:p>
            <w:pPr>
              <w:spacing w:after="0"/>
            </w:pPr>
            <w:r>
              <w:rPr>
                <w:rFonts w:ascii="Arial" w:cs="Arial" w:eastAsia="Arial" w:hAnsi="Arial"/>
                <w:b w:val="false"/>
                <w:bCs w:val="false"/>
                <w:i/>
                <w:iCs/>
                <w:color w:val="5B6B6A"/>
                <w:sz w:val="18"/>
                <w:szCs w:val="18"/>
              </w:rPr>
              <w:t xml:space="preserve">you can both tell whether it happened</w:t>
            </w:r>
          </w:p>
        </w:tc>
      </w:tr>
      <w:tr>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r>
      <w:tr>
        <w:trPr>
          <w:cantSplit/>
        </w:trPr>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Worthwhile</w:t>
            </w:r>
          </w:p>
          <w:p>
            <w:pPr>
              <w:spacing w:after="0"/>
            </w:pPr>
            <w:r>
              <w:rPr>
                <w:rFonts w:ascii="Arial" w:cs="Arial" w:eastAsia="Arial" w:hAnsi="Arial"/>
                <w:b w:val="false"/>
                <w:bCs w:val="false"/>
                <w:i/>
                <w:iCs/>
                <w:color w:val="5B6B6A"/>
                <w:sz w:val="18"/>
                <w:szCs w:val="18"/>
              </w:rPr>
              <w:t xml:space="preserve">meaningful enough to be worth the effort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Behavioural</w:t>
            </w:r>
          </w:p>
          <w:p>
            <w:pPr>
              <w:spacing w:after="0"/>
            </w:pPr>
            <w:r>
              <w:rPr>
                <w:rFonts w:ascii="Arial" w:cs="Arial" w:eastAsia="Arial" w:hAnsi="Arial"/>
                <w:b w:val="false"/>
                <w:bCs w:val="false"/>
                <w:i/>
                <w:iCs/>
                <w:color w:val="5B6B6A"/>
                <w:sz w:val="18"/>
                <w:szCs w:val="18"/>
              </w:rPr>
              <w:t xml:space="preserve">framed as something the patient will do</w:t>
            </w:r>
          </w:p>
        </w:tc>
      </w:tr>
      <w:tr>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6"/>
                <w:szCs w:val="6"/>
              </w:rPr>
              <w:t xml:space="preserve"/>
            </w:r>
          </w:p>
        </w:tc>
      </w:tr>
      <w:tr>
        <w:trPr>
          <w:cantSplit/>
        </w:trPr>
        <w:tc>
          <w:tcPr>
            <w:tcW w:type="dxa" w:w="4413"/>
            <w:tcBorders>
              <w:top w:val="single" w:color="CBDEDC" w:sz="6"/>
              <w:left w:val="single" w:color="B07410" w:sz="18"/>
              <w:bottom w:val="single" w:color="CBDEDC" w:sz="6"/>
              <w:right w:val="single" w:color="CBDEDC" w:sz="6"/>
            </w:tcBorders>
            <w:shd w:fill="F1F7F6" w:val="clear"/>
            <w:tcMar>
              <w:top w:type="dxa" w:w="110"/>
              <w:left w:type="dxa" w:w="180"/>
              <w:bottom w:type="dxa" w:w="110"/>
              <w:right w:type="dxa" w:w="140"/>
            </w:tcMar>
          </w:tcPr>
          <w:p>
            <w:pPr>
              <w:spacing w:after="30"/>
            </w:pPr>
            <w:r>
              <w:rPr>
                <w:rFonts w:ascii="Arial" w:cs="Arial" w:eastAsia="Arial" w:hAnsi="Arial"/>
                <w:b/>
                <w:bCs/>
                <w:i w:val="false"/>
                <w:iCs w:val="false"/>
                <w:color w:val="0E5C5B"/>
                <w:sz w:val="21"/>
                <w:szCs w:val="21"/>
              </w:rPr>
              <w:t xml:space="preserve">Time-limited</w:t>
            </w:r>
          </w:p>
          <w:p>
            <w:pPr>
              <w:spacing w:after="0"/>
            </w:pPr>
            <w:r>
              <w:rPr>
                <w:rFonts w:ascii="Arial" w:cs="Arial" w:eastAsia="Arial" w:hAnsi="Arial"/>
                <w:b w:val="false"/>
                <w:bCs w:val="false"/>
                <w:i/>
                <w:iCs/>
                <w:color w:val="5B6B6A"/>
                <w:sz w:val="18"/>
                <w:szCs w:val="18"/>
              </w:rPr>
              <w:t xml:space="preserve">with a clear point to review progress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c>
          <w:tcPr>
            <w:tcW w:type="dxa" w:w="4413"/>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223433"/>
                <w:sz w:val="4"/>
                <w:szCs w:val="4"/>
              </w:rPr>
              <w:t xml:space="preserve"/>
            </w:r>
          </w:p>
        </w:tc>
      </w:tr>
    </w:tbl>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Making goals stick — in practice</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Agree with the patient the </w:t>
      </w:r>
      <w:r>
        <w:rPr>
          <w:rFonts w:ascii="Arial" w:cs="Arial" w:eastAsia="Arial" w:hAnsi="Arial"/>
          <w:b/>
          <w:bCs/>
          <w:i w:val="false"/>
          <w:iCs w:val="false"/>
          <w:color w:val="223433"/>
          <w:sz w:val="21"/>
          <w:szCs w:val="21"/>
        </w:rPr>
        <w:t xml:space="preserve">methods for dealing with hindering forces</w:t>
      </w:r>
      <w:r>
        <w:rPr>
          <w:rFonts w:ascii="Arial" w:cs="Arial" w:eastAsia="Arial" w:hAnsi="Arial"/>
          <w:b w:val="false"/>
          <w:bCs w:val="false"/>
          <w:i w:val="false"/>
          <w:iCs w:val="false"/>
          <w:color w:val="223433"/>
          <w:sz w:val="21"/>
          <w:szCs w:val="21"/>
        </w:rPr>
        <w:t xml:space="preserve"> — what might get in the way, and what to do about it.</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Write down the agreed tasks</w:t>
      </w:r>
      <w:r>
        <w:rPr>
          <w:rFonts w:ascii="Arial" w:cs="Arial" w:eastAsia="Arial" w:hAnsi="Arial"/>
          <w:b w:val="false"/>
          <w:bCs w:val="false"/>
          <w:i w:val="false"/>
          <w:iCs w:val="false"/>
          <w:color w:val="223433"/>
          <w:sz w:val="21"/>
          <w:szCs w:val="21"/>
        </w:rPr>
        <w:t xml:space="preserve"> — for the patient (and for yourself).</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Ask the patient to work in small steps.</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Ask the patient to note their progress.</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Ask the patient to reward themselves for their achievements.</w:t>
      </w:r>
    </w:p>
    <w:p>
      <w:pPr>
        <w:pStyle w:val="ListParagraph"/>
        <w:keepLines/>
        <w:numPr>
          <w:ilvl w:val="0"/>
          <w:numId w:val="2"/>
        </w:numPr>
        <w:spacing w:after="160" w:line="295"/>
      </w:pPr>
      <w:r>
        <w:rPr>
          <w:rFonts w:ascii="Arial" w:cs="Arial" w:eastAsia="Arial" w:hAnsi="Arial"/>
          <w:b w:val="false"/>
          <w:bCs w:val="false"/>
          <w:i w:val="false"/>
          <w:iCs w:val="false"/>
          <w:color w:val="223433"/>
          <w:sz w:val="21"/>
          <w:szCs w:val="21"/>
        </w:rPr>
        <w:t xml:space="preserve">You reward the patient by </w:t>
      </w:r>
      <w:r>
        <w:rPr>
          <w:rFonts w:ascii="Arial" w:cs="Arial" w:eastAsia="Arial" w:hAnsi="Arial"/>
          <w:b/>
          <w:bCs/>
          <w:i w:val="false"/>
          <w:iCs w:val="false"/>
          <w:color w:val="223433"/>
          <w:sz w:val="21"/>
          <w:szCs w:val="21"/>
        </w:rPr>
        <w:t xml:space="preserve">praise, encouragement and interest</w:t>
      </w:r>
      <w:r>
        <w:rPr>
          <w:rFonts w:ascii="Arial" w:cs="Arial" w:eastAsia="Arial" w:hAnsi="Arial"/>
          <w:b w:val="false"/>
          <w:bCs w:val="false"/>
          <w:i w:val="false"/>
          <w:iCs w:val="false"/>
          <w:color w:val="223433"/>
          <w:sz w:val="21"/>
          <w:szCs w:val="21"/>
        </w:rPr>
        <w:t xml:space="preserve">.</w:t>
      </w:r>
    </w:p>
    <w:p>
      <w:pPr>
        <w:pageBreakBefore/>
        <w:spacing w:after="0" w:before="0"/>
      </w:pPr>
      <w:r>
        <w:rPr>
          <w:rFonts w:ascii="Arial" w:cs="Arial" w:eastAsia="Arial" w:hAnsi="Arial"/>
          <w:b w:val="false"/>
          <w:bCs w:val="false"/>
          <w:i w:val="false"/>
          <w:iCs w:val="false"/>
          <w:color w:val="223433"/>
          <w:sz w:val="2"/>
          <w:szCs w:val="2"/>
        </w:rPr>
        <w:t xml:space="preserve"/>
      </w: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The three-stage helping model — overview</w:t>
      </w:r>
    </w:p>
    <w:p>
      <w:pPr>
        <w:keepLines/>
        <w:spacing w:after="160" w:before="120"/>
        <w:jc w:val="center"/>
      </w:pPr>
      <w:r>
        <w:drawing>
          <wp:inline distT="0" distB="0" distL="0" distR="0">
            <wp:extent cx="5972175" cy="1828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72175" cy="1828800"/>
                    </a:xfrm>
                    <a:prstGeom prst="rect">
                      <a:avLst/>
                    </a:prstGeom>
                  </pic:spPr>
                </pic:pic>
              </a:graphicData>
            </a:graphic>
          </wp:inline>
        </w:drawing>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3</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STAGE 1 — EXPLORATION</w:t>
            </w:r>
          </w:p>
        </w:tc>
      </w:tr>
    </w:tbl>
    <w:p>
      <w:pPr>
        <w:keepNext/>
        <w:spacing w:after="220" w:before="160" w:line="300"/>
      </w:pPr>
      <w:r>
        <w:rPr>
          <w:rFonts w:ascii="Arial" w:cs="Arial" w:eastAsia="Arial" w:hAnsi="Arial"/>
          <w:b w:val="false"/>
          <w:bCs w:val="false"/>
          <w:i/>
          <w:iCs/>
          <w:color w:val="5B6B6A"/>
          <w:sz w:val="21"/>
          <w:szCs w:val="21"/>
        </w:rPr>
        <w:t xml:space="preserve">The helper, by developing a warm relationship, enables the patient to explore “the problem” from their own frame of reference — and then to focus on specific concerns.</w:t>
      </w: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Relationship-building skills</w:t>
      </w:r>
    </w:p>
    <w:p>
      <w:pPr>
        <w:spacing w:after="100" w:line="300"/>
      </w:pPr>
      <w:r>
        <w:rPr>
          <w:rFonts w:ascii="Arial" w:cs="Arial" w:eastAsia="Arial" w:hAnsi="Arial"/>
          <w:b w:val="false"/>
          <w:bCs w:val="false"/>
          <w:i w:val="false"/>
          <w:iCs w:val="false"/>
          <w:color w:val="223433"/>
          <w:sz w:val="21"/>
          <w:szCs w:val="21"/>
        </w:rPr>
        <w:t xml:space="preserve">Three foundations, in order:</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Attention giving</w:t>
      </w:r>
      <w:r>
        <w:rPr>
          <w:rFonts w:ascii="Arial" w:cs="Arial" w:eastAsia="Arial" w:hAnsi="Arial"/>
          <w:b w:val="false"/>
          <w:bCs w:val="false"/>
          <w:i w:val="false"/>
          <w:iCs w:val="false"/>
          <w:color w:val="223433"/>
          <w:sz w:val="21"/>
          <w:szCs w:val="21"/>
        </w:rPr>
        <w:t xml:space="preserve"> — the patient can see they have your full attention.</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Listening</w:t>
      </w:r>
      <w:r>
        <w:rPr>
          <w:rFonts w:ascii="Arial" w:cs="Arial" w:eastAsia="Arial" w:hAnsi="Arial"/>
          <w:b w:val="false"/>
          <w:bCs w:val="false"/>
          <w:i w:val="false"/>
          <w:iCs w:val="false"/>
          <w:color w:val="223433"/>
          <w:sz w:val="21"/>
          <w:szCs w:val="21"/>
        </w:rPr>
        <w:t xml:space="preserve"> — taking in what is actually said.</w:t>
      </w:r>
    </w:p>
    <w:p>
      <w:pPr>
        <w:pStyle w:val="ListParagraph"/>
        <w:keepLines/>
        <w:numPr>
          <w:ilvl w:val="0"/>
          <w:numId w:val="2"/>
        </w:numPr>
        <w:spacing w:after="100" w:line="295"/>
      </w:pPr>
      <w:r>
        <w:rPr>
          <w:rFonts w:ascii="Arial" w:cs="Arial" w:eastAsia="Arial" w:hAnsi="Arial"/>
          <w:b/>
          <w:bCs/>
          <w:i w:val="false"/>
          <w:iCs w:val="false"/>
          <w:color w:val="223433"/>
          <w:sz w:val="21"/>
          <w:szCs w:val="21"/>
        </w:rPr>
        <w:t xml:space="preserve">Active listening</w:t>
      </w:r>
      <w:r>
        <w:rPr>
          <w:rFonts w:ascii="Arial" w:cs="Arial" w:eastAsia="Arial" w:hAnsi="Arial"/>
          <w:b w:val="false"/>
          <w:bCs w:val="false"/>
          <w:i w:val="false"/>
          <w:iCs w:val="false"/>
          <w:color w:val="223433"/>
          <w:sz w:val="21"/>
          <w:szCs w:val="21"/>
        </w:rPr>
        <w:t xml:space="preserve"> — communicating back that you have heard and understood:</w:t>
      </w:r>
    </w:p>
    <w:tbl>
      <w:tblPr>
        <w:tblW w:type="dxa" w:w="9026"/>
        <w:tblBorders>
          <w:top w:val="single" w:color="CBDEDC" w:sz="6"/>
          <w:left w:val="single" w:color="CBDEDC" w:sz="6"/>
          <w:bottom w:val="single" w:color="CBDEDC" w:sz="6"/>
          <w:right w:val="single" w:color="CBDEDC" w:sz="6"/>
          <w:insideH w:val="single" w:color="CBDEDC" w:sz="6"/>
          <w:insideV w:val="single" w:color="CBDEDC" w:sz="6"/>
        </w:tblBorders>
        <w:tblLayout w:type="fixed"/>
      </w:tblPr>
      <w:tblGrid>
        <w:gridCol w:w="3200"/>
        <w:gridCol w:w="5826"/>
      </w:tblGrid>
      <w:tr>
        <w:trPr>
          <w:cantSplit/>
          <w:tblHeader/>
        </w:trPr>
        <w:tc>
          <w:tcPr>
            <w:tcW w:type="dxa" w:w="3200"/>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Active listening skill</w:t>
            </w:r>
          </w:p>
        </w:tc>
        <w:tc>
          <w:tcPr>
            <w:tcW w:type="dxa" w:w="5826"/>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What it looks like</w:t>
            </w:r>
          </w:p>
        </w:tc>
      </w:tr>
      <w:tr>
        <w:trPr>
          <w:cantSplit/>
        </w:trPr>
        <w:tc>
          <w:tcPr>
            <w:tcW w:type="dxa" w:w="3200"/>
            <w:shd w:fill="FFFFFF"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Empathic understanding</w:t>
            </w:r>
          </w:p>
        </w:tc>
        <w:tc>
          <w:tcPr>
            <w:tcW w:type="dxa" w:w="5826"/>
            <w:shd w:fill="FFFFFF"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conveying that you grasp how it feels from their side</w:t>
            </w:r>
          </w:p>
        </w:tc>
      </w:tr>
      <w:tr>
        <w:trPr>
          <w:cantSplit/>
        </w:trPr>
        <w:tc>
          <w:tcPr>
            <w:tcW w:type="dxa" w:w="3200"/>
            <w:shd w:fill="F4F8F7"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Non-critical acceptance</w:t>
            </w:r>
          </w:p>
        </w:tc>
        <w:tc>
          <w:tcPr>
            <w:tcW w:type="dxa" w:w="5826"/>
            <w:shd w:fill="F4F8F7"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the patient can say anything without being judged</w:t>
            </w:r>
          </w:p>
        </w:tc>
      </w:tr>
      <w:tr>
        <w:trPr>
          <w:cantSplit/>
        </w:trPr>
        <w:tc>
          <w:tcPr>
            <w:tcW w:type="dxa" w:w="3200"/>
            <w:shd w:fill="FFFFFF"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Genuineness</w:t>
            </w:r>
          </w:p>
        </w:tc>
        <w:tc>
          <w:tcPr>
            <w:tcW w:type="dxa" w:w="5826"/>
            <w:shd w:fill="FFFFFF"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shown by paraphrasing — in your own honest words</w:t>
            </w:r>
          </w:p>
        </w:tc>
      </w:tr>
      <w:tr>
        <w:trPr>
          <w:cantSplit/>
        </w:trPr>
        <w:tc>
          <w:tcPr>
            <w:tcW w:type="dxa" w:w="3200"/>
            <w:shd w:fill="F4F8F7"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Reflecting feelings</w:t>
            </w:r>
          </w:p>
        </w:tc>
        <w:tc>
          <w:tcPr>
            <w:tcW w:type="dxa" w:w="5826"/>
            <w:shd w:fill="F4F8F7"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naming the emotion you are hearing</w:t>
            </w:r>
          </w:p>
        </w:tc>
      </w:tr>
      <w:tr>
        <w:trPr>
          <w:cantSplit/>
        </w:trPr>
        <w:tc>
          <w:tcPr>
            <w:tcW w:type="dxa" w:w="3200"/>
            <w:shd w:fill="FFFFFF"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Summarising</w:t>
            </w:r>
          </w:p>
        </w:tc>
        <w:tc>
          <w:tcPr>
            <w:tcW w:type="dxa" w:w="5826"/>
            <w:shd w:fill="FFFFFF"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pulling the threads together at intervals</w:t>
            </w:r>
          </w:p>
        </w:tc>
      </w:tr>
      <w:tr>
        <w:trPr>
          <w:cantSplit/>
        </w:trPr>
        <w:tc>
          <w:tcPr>
            <w:tcW w:type="dxa" w:w="3200"/>
            <w:shd w:fill="F4F8F7"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Focusing</w:t>
            </w:r>
          </w:p>
        </w:tc>
        <w:tc>
          <w:tcPr>
            <w:tcW w:type="dxa" w:w="5826"/>
            <w:shd w:fill="F4F8F7"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gently steering towards what matters most</w:t>
            </w:r>
          </w:p>
        </w:tc>
      </w:tr>
      <w:tr>
        <w:trPr>
          <w:cantSplit/>
        </w:trPr>
        <w:tc>
          <w:tcPr>
            <w:tcW w:type="dxa" w:w="3200"/>
            <w:shd w:fill="FFFFFF" w:val="clear"/>
            <w:tcMar>
              <w:top w:type="dxa" w:w="80"/>
              <w:left w:type="dxa" w:w="140"/>
              <w:bottom w:type="dxa" w:w="80"/>
              <w:right w:type="dxa" w:w="100"/>
            </w:tcMar>
          </w:tcPr>
          <w:p>
            <w:r>
              <w:rPr>
                <w:rFonts w:ascii="Arial" w:cs="Arial" w:eastAsia="Arial" w:hAnsi="Arial"/>
                <w:b/>
                <w:bCs/>
                <w:i w:val="false"/>
                <w:iCs w:val="false"/>
                <w:color w:val="0E5C5B"/>
                <w:sz w:val="20"/>
                <w:szCs w:val="20"/>
              </w:rPr>
              <w:t xml:space="preserve">Helping the patient be specific</w:t>
            </w:r>
          </w:p>
        </w:tc>
        <w:tc>
          <w:tcPr>
            <w:tcW w:type="dxa" w:w="5826"/>
            <w:shd w:fill="FFFFFF" w:val="clear"/>
            <w:tcMar>
              <w:top w:type="dxa" w:w="80"/>
              <w:left w:type="dxa" w:w="140"/>
              <w:bottom w:type="dxa" w:w="80"/>
              <w:right w:type="dxa" w:w="100"/>
            </w:tcMar>
          </w:tcPr>
          <w:p>
            <w:r>
              <w:rPr>
                <w:rFonts w:ascii="Arial" w:cs="Arial" w:eastAsia="Arial" w:hAnsi="Arial"/>
                <w:b w:val="false"/>
                <w:bCs w:val="false"/>
                <w:i w:val="false"/>
                <w:iCs w:val="false"/>
                <w:color w:val="223433"/>
                <w:sz w:val="20"/>
                <w:szCs w:val="20"/>
              </w:rPr>
              <w:t xml:space="preserve">moving from the general to the particular</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4</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STAGE 2 — NEW UNDERSTANDING</w:t>
            </w:r>
          </w:p>
        </w:tc>
      </w:tr>
    </w:tbl>
    <w:p>
      <w:pPr>
        <w:keepNext/>
        <w:spacing w:after="220" w:before="160" w:line="300"/>
      </w:pPr>
      <w:r>
        <w:rPr>
          <w:rFonts w:ascii="Arial" w:cs="Arial" w:eastAsia="Arial" w:hAnsi="Arial"/>
          <w:b w:val="false"/>
          <w:bCs w:val="false"/>
          <w:i/>
          <w:iCs/>
          <w:color w:val="5B6B6A"/>
          <w:sz w:val="21"/>
          <w:szCs w:val="21"/>
        </w:rPr>
        <w:t xml:space="preserve">The patient is helped to see themselves and their situation in new perspectives, and to focus on what they might do to cope more effectively. They are helped to see what strengths and resources they might use.</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0E5C5B" w:sz="28"/>
              <w:bottom w:val="none" w:color="FFFFFF" w:sz="0"/>
              <w:right w:val="none" w:color="FFFFFF" w:sz="0"/>
            </w:tcBorders>
            <w:shd w:fill="E3EFEE" w:val="clear"/>
            <w:tcMar>
              <w:top w:type="dxa" w:w="160"/>
              <w:left w:type="dxa" w:w="240"/>
              <w:bottom w:type="dxa" w:w="160"/>
              <w:right w:type="dxa" w:w="240"/>
            </w:tcMar>
          </w:tcPr>
          <w:p>
            <w:pPr>
              <w:spacing w:after="80"/>
            </w:pPr>
            <w:r>
              <w:rPr>
                <w:rFonts w:ascii="Arial" w:cs="Arial" w:eastAsia="Arial" w:hAnsi="Arial"/>
                <w:b/>
                <w:bCs/>
                <w:i w:val="false"/>
                <w:iCs w:val="false"/>
                <w:caps/>
                <w:color w:val="0E5C5B"/>
                <w:sz w:val="20"/>
                <w:szCs w:val="20"/>
              </w:rPr>
              <w:t xml:space="preserve">Remember</w:t>
            </w:r>
          </w:p>
          <w:p>
            <w:pPr>
              <w:spacing w:after="0" w:line="290"/>
            </w:pPr>
            <w:r>
              <w:rPr>
                <w:rFonts w:ascii="Arial" w:cs="Arial" w:eastAsia="Arial" w:hAnsi="Arial"/>
                <w:b/>
                <w:bCs/>
                <w:i w:val="false"/>
                <w:iCs w:val="false"/>
                <w:color w:val="223433"/>
                <w:sz w:val="20"/>
                <w:szCs w:val="20"/>
              </w:rPr>
              <w:t xml:space="preserve">All the skills of Stage 1, plus…</w:t>
            </w:r>
            <w:r>
              <w:rPr>
                <w:rFonts w:ascii="Arial" w:cs="Arial" w:eastAsia="Arial" w:hAnsi="Arial"/>
                <w:b w:val="false"/>
                <w:bCs w:val="false"/>
                <w:i w:val="false"/>
                <w:iCs w:val="false"/>
                <w:color w:val="223433"/>
                <w:sz w:val="20"/>
                <w:szCs w:val="20"/>
              </w:rPr>
              <w:t xml:space="preserve"> the model is cumulative — you never stop exploring and listening.</w:t>
            </w:r>
          </w:p>
        </w:tc>
      </w:tr>
    </w:tbl>
    <w:p>
      <w:pPr>
        <w:spacing w:after="80"/>
      </w:pP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Challenging skills</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Communicating deeper empathic understanding</w:t>
      </w:r>
      <w:r>
        <w:rPr>
          <w:rFonts w:ascii="Arial" w:cs="Arial" w:eastAsia="Arial" w:hAnsi="Arial"/>
          <w:b w:val="false"/>
          <w:bCs w:val="false"/>
          <w:i w:val="false"/>
          <w:iCs w:val="false"/>
          <w:color w:val="223433"/>
          <w:sz w:val="21"/>
          <w:szCs w:val="21"/>
        </w:rPr>
        <w:t xml:space="preserve"> — “hunches”; hearing “the music behind the words”.</w:t>
      </w:r>
    </w:p>
    <w:p>
      <w:pPr>
        <w:pStyle w:val="ListParagraph"/>
        <w:keepLines/>
        <w:numPr>
          <w:ilvl w:val="0"/>
          <w:numId w:val="2"/>
        </w:numPr>
        <w:spacing w:after="90" w:line="295"/>
      </w:pPr>
      <w:r>
        <w:rPr>
          <w:rFonts w:ascii="Arial" w:cs="Arial" w:eastAsia="Arial" w:hAnsi="Arial"/>
          <w:b w:val="false"/>
          <w:bCs w:val="false"/>
          <w:i w:val="false"/>
          <w:iCs w:val="false"/>
          <w:color w:val="223433"/>
          <w:sz w:val="21"/>
          <w:szCs w:val="21"/>
        </w:rPr>
        <w:t xml:space="preserve">Helping the patient recognise </w:t>
      </w:r>
      <w:r>
        <w:rPr>
          <w:rFonts w:ascii="Arial" w:cs="Arial" w:eastAsia="Arial" w:hAnsi="Arial"/>
          <w:b/>
          <w:bCs/>
          <w:i w:val="false"/>
          <w:iCs w:val="false"/>
          <w:color w:val="223433"/>
          <w:sz w:val="21"/>
          <w:szCs w:val="21"/>
        </w:rPr>
        <w:t xml:space="preserve">themes, inconsistencies</w:t>
      </w:r>
      <w:r>
        <w:rPr>
          <w:rFonts w:ascii="Arial" w:cs="Arial" w:eastAsia="Arial" w:hAnsi="Arial"/>
          <w:b w:val="false"/>
          <w:bCs w:val="false"/>
          <w:i w:val="false"/>
          <w:iCs w:val="false"/>
          <w:color w:val="223433"/>
          <w:sz w:val="21"/>
          <w:szCs w:val="21"/>
        </w:rPr>
        <w:t xml:space="preserve"> and patterns in what they say.</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Giving information</w:t>
      </w:r>
      <w:r>
        <w:rPr>
          <w:rFonts w:ascii="Arial" w:cs="Arial" w:eastAsia="Arial" w:hAnsi="Arial"/>
          <w:b w:val="false"/>
          <w:bCs w:val="false"/>
          <w:i w:val="false"/>
          <w:iCs w:val="false"/>
          <w:color w:val="223433"/>
          <w:sz w:val="21"/>
          <w:szCs w:val="21"/>
        </w:rPr>
        <w:t xml:space="preserve">.</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Sharing the helper’s feelings</w:t>
      </w:r>
      <w:r>
        <w:rPr>
          <w:rFonts w:ascii="Arial" w:cs="Arial" w:eastAsia="Arial" w:hAnsi="Arial"/>
          <w:b w:val="false"/>
          <w:bCs w:val="false"/>
          <w:i w:val="false"/>
          <w:iCs w:val="false"/>
          <w:color w:val="223433"/>
          <w:sz w:val="21"/>
          <w:szCs w:val="21"/>
        </w:rPr>
        <w:t xml:space="preserve"> — judiciously, in the patient’s interest.</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“You–me talk”</w:t>
      </w:r>
      <w:r>
        <w:rPr>
          <w:rFonts w:ascii="Arial" w:cs="Arial" w:eastAsia="Arial" w:hAnsi="Arial"/>
          <w:b w:val="false"/>
          <w:bCs w:val="false"/>
          <w:i w:val="false"/>
          <w:iCs w:val="false"/>
          <w:color w:val="223433"/>
          <w:sz w:val="21"/>
          <w:szCs w:val="21"/>
        </w:rPr>
        <w:t xml:space="preserve"> — what is happening between us, right now (</w:t>
      </w:r>
      <w:r>
        <w:rPr>
          <w:rFonts w:ascii="Arial" w:cs="Arial" w:eastAsia="Arial" w:hAnsi="Arial"/>
          <w:b w:val="false"/>
          <w:bCs w:val="false"/>
          <w:i/>
          <w:iCs/>
          <w:color w:val="223433"/>
          <w:sz w:val="21"/>
          <w:szCs w:val="21"/>
        </w:rPr>
        <w:t xml:space="preserve">immediacy</w:t>
      </w:r>
      <w:r>
        <w:rPr>
          <w:rFonts w:ascii="Arial" w:cs="Arial" w:eastAsia="Arial" w:hAnsi="Arial"/>
          <w:b w:val="false"/>
          <w:bCs w:val="false"/>
          <w:i w:val="false"/>
          <w:iCs w:val="false"/>
          <w:color w:val="223433"/>
          <w:sz w:val="21"/>
          <w:szCs w:val="21"/>
        </w:rPr>
        <w:t xml:space="preserve">).</w:t>
      </w:r>
    </w:p>
    <w:p>
      <w:pPr>
        <w:pStyle w:val="ListParagraph"/>
        <w:keepLines/>
        <w:numPr>
          <w:ilvl w:val="0"/>
          <w:numId w:val="2"/>
        </w:numPr>
        <w:spacing w:after="140" w:line="295"/>
      </w:pPr>
      <w:r>
        <w:rPr>
          <w:rFonts w:ascii="Arial" w:cs="Arial" w:eastAsia="Arial" w:hAnsi="Arial"/>
          <w:b/>
          <w:bCs/>
          <w:i w:val="false"/>
          <w:iCs w:val="false"/>
          <w:color w:val="223433"/>
          <w:sz w:val="21"/>
          <w:szCs w:val="21"/>
        </w:rPr>
        <w:t xml:space="preserve">Goal setting</w:t>
      </w:r>
      <w:r>
        <w:rPr>
          <w:rFonts w:ascii="Arial" w:cs="Arial" w:eastAsia="Arial" w:hAnsi="Arial"/>
          <w:b w:val="false"/>
          <w:bCs w:val="false"/>
          <w:i w:val="false"/>
          <w:iCs w:val="false"/>
          <w:color w:val="223433"/>
          <w:sz w:val="21"/>
          <w:szCs w:val="21"/>
        </w:rPr>
        <w:t xml:space="preserve"> — as set out in Section 2.</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5</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STAGE 3 — ACTION</w:t>
            </w:r>
          </w:p>
        </w:tc>
      </w:tr>
    </w:tbl>
    <w:p>
      <w:pPr>
        <w:keepNext/>
        <w:spacing w:after="220" w:before="160" w:line="300"/>
      </w:pPr>
      <w:r>
        <w:rPr>
          <w:rFonts w:ascii="Arial" w:cs="Arial" w:eastAsia="Arial" w:hAnsi="Arial"/>
          <w:b w:val="false"/>
          <w:bCs w:val="false"/>
          <w:i/>
          <w:iCs/>
          <w:color w:val="5B6B6A"/>
          <w:sz w:val="21"/>
          <w:szCs w:val="21"/>
        </w:rPr>
        <w:t xml:space="preserve">The patient is helped to consider possible ways to act, to look at costs and consequences, to plan action — then to implement it and evaluate it.</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0E5C5B" w:sz="28"/>
              <w:bottom w:val="none" w:color="FFFFFF" w:sz="0"/>
              <w:right w:val="none" w:color="FFFFFF" w:sz="0"/>
            </w:tcBorders>
            <w:shd w:fill="E3EFEE" w:val="clear"/>
            <w:tcMar>
              <w:top w:type="dxa" w:w="160"/>
              <w:left w:type="dxa" w:w="240"/>
              <w:bottom w:type="dxa" w:w="160"/>
              <w:right w:type="dxa" w:w="240"/>
            </w:tcMar>
          </w:tcPr>
          <w:p>
            <w:pPr>
              <w:spacing w:after="80"/>
            </w:pPr>
            <w:r>
              <w:rPr>
                <w:rFonts w:ascii="Arial" w:cs="Arial" w:eastAsia="Arial" w:hAnsi="Arial"/>
                <w:b/>
                <w:bCs/>
                <w:i w:val="false"/>
                <w:iCs w:val="false"/>
                <w:caps/>
                <w:color w:val="0E5C5B"/>
                <w:sz w:val="20"/>
                <w:szCs w:val="20"/>
              </w:rPr>
              <w:t xml:space="preserve">Remember</w:t>
            </w:r>
          </w:p>
          <w:p>
            <w:pPr>
              <w:spacing w:after="0" w:line="290"/>
            </w:pPr>
            <w:r>
              <w:rPr>
                <w:rFonts w:ascii="Arial" w:cs="Arial" w:eastAsia="Arial" w:hAnsi="Arial"/>
                <w:b/>
                <w:bCs/>
                <w:i w:val="false"/>
                <w:iCs w:val="false"/>
                <w:color w:val="223433"/>
                <w:sz w:val="20"/>
                <w:szCs w:val="20"/>
              </w:rPr>
              <w:t xml:space="preserve">All the skills of Stages 1 and 2, plus…</w:t>
            </w:r>
          </w:p>
        </w:tc>
      </w:tr>
    </w:tbl>
    <w:p>
      <w:pPr>
        <w:spacing w:after="80"/>
      </w:pPr>
    </w:p>
    <w:p>
      <w:pPr>
        <w:keepNext/>
        <w:keepLines/>
        <w:pBdr>
          <w:bottom w:val="single" w:color="D9C79B" w:sz="8" w:space="4"/>
        </w:pBdr>
        <w:spacing w:after="120" w:before="240"/>
      </w:pPr>
      <w:r>
        <w:rPr>
          <w:rFonts w:ascii="Arial" w:cs="Arial" w:eastAsia="Arial" w:hAnsi="Arial"/>
          <w:b/>
          <w:bCs/>
          <w:i w:val="false"/>
          <w:iCs w:val="false"/>
          <w:color w:val="0E5C5B"/>
          <w:sz w:val="23"/>
          <w:szCs w:val="23"/>
        </w:rPr>
        <w:t xml:space="preserve">Action skills</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Creative thinking</w:t>
      </w:r>
      <w:r>
        <w:rPr>
          <w:rFonts w:ascii="Arial" w:cs="Arial" w:eastAsia="Arial" w:hAnsi="Arial"/>
          <w:b w:val="false"/>
          <w:bCs w:val="false"/>
          <w:i w:val="false"/>
          <w:iCs w:val="false"/>
          <w:color w:val="223433"/>
          <w:sz w:val="21"/>
          <w:szCs w:val="21"/>
        </w:rPr>
        <w:t xml:space="preserve"> — brainstorming without premature judgement.</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Problem solving and decision making</w:t>
      </w:r>
      <w:r>
        <w:rPr>
          <w:rFonts w:ascii="Arial" w:cs="Arial" w:eastAsia="Arial" w:hAnsi="Arial"/>
          <w:b w:val="false"/>
          <w:bCs w:val="false"/>
          <w:i w:val="false"/>
          <w:iCs w:val="false"/>
          <w:color w:val="223433"/>
          <w:sz w:val="21"/>
          <w:szCs w:val="21"/>
        </w:rPr>
        <w:t xml:space="preserve"> — see Section 1.</w:t>
      </w:r>
    </w:p>
    <w:p>
      <w:pPr>
        <w:pStyle w:val="ListParagraph"/>
        <w:keepLines/>
        <w:numPr>
          <w:ilvl w:val="0"/>
          <w:numId w:val="2"/>
        </w:numPr>
        <w:spacing w:after="90" w:line="295"/>
      </w:pPr>
      <w:r>
        <w:rPr>
          <w:rFonts w:ascii="Arial" w:cs="Arial" w:eastAsia="Arial" w:hAnsi="Arial"/>
          <w:b/>
          <w:bCs/>
          <w:i w:val="false"/>
          <w:iCs w:val="false"/>
          <w:color w:val="223433"/>
          <w:sz w:val="21"/>
          <w:szCs w:val="21"/>
        </w:rPr>
        <w:t xml:space="preserve">Action planning</w:t>
      </w:r>
      <w:r>
        <w:rPr>
          <w:rFonts w:ascii="Arial" w:cs="Arial" w:eastAsia="Arial" w:hAnsi="Arial"/>
          <w:b w:val="false"/>
          <w:bCs w:val="false"/>
          <w:i w:val="false"/>
          <w:iCs w:val="false"/>
          <w:color w:val="223433"/>
          <w:sz w:val="21"/>
          <w:szCs w:val="21"/>
        </w:rPr>
        <w:t xml:space="preserve"> — who, what, when, in small steps.</w:t>
      </w:r>
    </w:p>
    <w:p>
      <w:pPr>
        <w:pStyle w:val="ListParagraph"/>
        <w:keepLines/>
        <w:numPr>
          <w:ilvl w:val="0"/>
          <w:numId w:val="2"/>
        </w:numPr>
        <w:spacing w:after="120" w:line="295"/>
      </w:pPr>
      <w:r>
        <w:rPr>
          <w:rFonts w:ascii="Arial" w:cs="Arial" w:eastAsia="Arial" w:hAnsi="Arial"/>
          <w:b/>
          <w:bCs/>
          <w:i w:val="false"/>
          <w:iCs w:val="false"/>
          <w:color w:val="223433"/>
          <w:sz w:val="21"/>
          <w:szCs w:val="21"/>
        </w:rPr>
        <w:t xml:space="preserve">Evaluating</w:t>
      </w:r>
      <w:r>
        <w:rPr>
          <w:rFonts w:ascii="Arial" w:cs="Arial" w:eastAsia="Arial" w:hAnsi="Arial"/>
          <w:b w:val="false"/>
          <w:bCs w:val="false"/>
          <w:i w:val="false"/>
          <w:iCs w:val="false"/>
          <w:color w:val="223433"/>
          <w:sz w:val="21"/>
          <w:szCs w:val="21"/>
        </w:rPr>
        <w:t xml:space="preserve"> — reviewing what happened and adjusting the plan.</w:t>
      </w:r>
    </w:p>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6</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COUNSELLING DON’TS</w:t>
            </w:r>
          </w:p>
        </w:tc>
      </w:tr>
    </w:tbl>
    <w:p>
      <w:pPr>
        <w:keepNext/>
        <w:spacing w:after="220" w:before="160" w:line="300"/>
      </w:pPr>
      <w:r>
        <w:rPr>
          <w:rFonts w:ascii="Arial" w:cs="Arial" w:eastAsia="Arial" w:hAnsi="Arial"/>
          <w:b w:val="false"/>
          <w:bCs w:val="false"/>
          <w:i/>
          <w:iCs/>
          <w:color w:val="5B6B6A"/>
          <w:sz w:val="21"/>
          <w:szCs w:val="21"/>
        </w:rPr>
        <w:t xml:space="preserve">Six traps that feel helpful in the moment — and quietly undermine the patient. Each is worth teaching with examples from real consultations.</w:t>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1.  </w:t>
            </w:r>
            <w:r>
              <w:rPr>
                <w:rFonts w:ascii="Arial" w:cs="Arial" w:eastAsia="Arial" w:hAnsi="Arial"/>
                <w:b/>
                <w:bCs/>
                <w:i w:val="false"/>
                <w:iCs w:val="false"/>
                <w:color w:val="B03A2E"/>
                <w:sz w:val="22"/>
                <w:szCs w:val="22"/>
              </w:rPr>
              <w:t xml:space="preserve">Don’t try to give advice</w:t>
            </w:r>
          </w:p>
          <w:p>
            <w:pPr>
              <w:spacing w:after="0" w:line="295"/>
            </w:pPr>
            <w:r>
              <w:rPr>
                <w:rFonts w:ascii="Arial" w:cs="Arial" w:eastAsia="Arial" w:hAnsi="Arial"/>
                <w:b w:val="false"/>
                <w:bCs w:val="false"/>
                <w:i w:val="false"/>
                <w:iCs w:val="false"/>
                <w:color w:val="223433"/>
                <w:sz w:val="20"/>
                <w:szCs w:val="20"/>
              </w:rPr>
              <w:t xml:space="preserve">“If I were in your position, I would…” — but you never are in their position. Your solution might be right for you, but probably would not be for the patient. Any friend can adopt the “if I were you” approach; patients rightly expect more from you. The only exception is advice of a practical or factual nature — how to apply for benefits, or at what age a young person can leave home without consent — and only give this if you know the answer, or can tell the patient where to find out.</w:t>
            </w:r>
          </w:p>
        </w:tc>
      </w:tr>
    </w:tbl>
    <w:p>
      <w:pPr>
        <w:spacing w:after="12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2.  </w:t>
            </w:r>
            <w:r>
              <w:rPr>
                <w:rFonts w:ascii="Arial" w:cs="Arial" w:eastAsia="Arial" w:hAnsi="Arial"/>
                <w:b/>
                <w:bCs/>
                <w:i w:val="false"/>
                <w:iCs w:val="false"/>
                <w:color w:val="B03A2E"/>
                <w:sz w:val="22"/>
                <w:szCs w:val="22"/>
              </w:rPr>
              <w:t xml:space="preserve">Don’t try to solve their problems</w:t>
            </w:r>
          </w:p>
          <w:p>
            <w:pPr>
              <w:spacing w:after="0" w:line="295"/>
            </w:pPr>
            <w:r>
              <w:rPr>
                <w:rFonts w:ascii="Arial" w:cs="Arial" w:eastAsia="Arial" w:hAnsi="Arial"/>
                <w:b w:val="false"/>
                <w:bCs w:val="false"/>
                <w:i w:val="false"/>
                <w:iCs w:val="false"/>
                <w:color w:val="223433"/>
                <w:sz w:val="20"/>
                <w:szCs w:val="20"/>
              </w:rPr>
              <w:t xml:space="preserve">The problems belong to the patient. Even if you could solve a problem for them, this would not really help in the long run. Patients need to learn to solve their own problems, and to develop the will, energy and initiative to do just that. They also need to feel they have worked out their own solution — perhaps with your help. This matters for self-respect.</w:t>
            </w:r>
          </w:p>
        </w:tc>
      </w:tr>
    </w:tbl>
    <w:p>
      <w:pPr>
        <w:spacing w:after="12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3.  </w:t>
            </w:r>
            <w:r>
              <w:rPr>
                <w:rFonts w:ascii="Arial" w:cs="Arial" w:eastAsia="Arial" w:hAnsi="Arial"/>
                <w:b/>
                <w:bCs/>
                <w:i w:val="false"/>
                <w:iCs w:val="false"/>
                <w:color w:val="B03A2E"/>
                <w:sz w:val="22"/>
                <w:szCs w:val="22"/>
              </w:rPr>
              <w:t xml:space="preserve">Don’t break confidentiality</w:t>
            </w:r>
          </w:p>
          <w:p>
            <w:pPr>
              <w:spacing w:after="0" w:line="295"/>
            </w:pPr>
            <w:r>
              <w:rPr>
                <w:rFonts w:ascii="Arial" w:cs="Arial" w:eastAsia="Arial" w:hAnsi="Arial"/>
                <w:b w:val="false"/>
                <w:bCs w:val="false"/>
                <w:i w:val="false"/>
                <w:iCs w:val="false"/>
                <w:color w:val="223433"/>
                <w:sz w:val="20"/>
                <w:szCs w:val="20"/>
              </w:rPr>
              <w:t xml:space="preserve">Crucial if you are counselling someone, as opposed to writing reports about them or discussing their progress with colleagues. If it is important to check information with others — perhaps another professional or an employer — the patient’s consent must be obtained first. If you tell someone that what they say is confidential, keep your word.</w:t>
            </w:r>
          </w:p>
        </w:tc>
      </w:tr>
    </w:tbl>
    <w:p>
      <w:pPr>
        <w:spacing w:after="12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4.  </w:t>
            </w:r>
            <w:r>
              <w:rPr>
                <w:rFonts w:ascii="Arial" w:cs="Arial" w:eastAsia="Arial" w:hAnsi="Arial"/>
                <w:b/>
                <w:bCs/>
                <w:i w:val="false"/>
                <w:iCs w:val="false"/>
                <w:color w:val="B03A2E"/>
                <w:sz w:val="22"/>
                <w:szCs w:val="22"/>
              </w:rPr>
              <w:t xml:space="preserve">Don’t leave the relationship vague — fix boundaries</w:t>
            </w:r>
          </w:p>
          <w:p>
            <w:pPr>
              <w:spacing w:after="0" w:line="295"/>
            </w:pPr>
            <w:r>
              <w:rPr>
                <w:rFonts w:ascii="Arial" w:cs="Arial" w:eastAsia="Arial" w:hAnsi="Arial"/>
                <w:b w:val="false"/>
                <w:bCs w:val="false"/>
                <w:i w:val="false"/>
                <w:iCs w:val="false"/>
                <w:color w:val="223433"/>
                <w:sz w:val="20"/>
                <w:szCs w:val="20"/>
              </w:rPr>
              <w:t xml:space="preserve">Both counsellor and patient should know the limits of the counselling relationship. Set a fixed time and place where the conversations happen. Think very carefully before offering to counsel in your home, or theirs — a neutral room is best. Be wary of giving out your personal phone number.</w:t>
            </w:r>
          </w:p>
        </w:tc>
      </w:tr>
    </w:tbl>
    <w:p>
      <w:pPr>
        <w:spacing w:after="12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5.  </w:t>
            </w:r>
            <w:r>
              <w:rPr>
                <w:rFonts w:ascii="Arial" w:cs="Arial" w:eastAsia="Arial" w:hAnsi="Arial"/>
                <w:b/>
                <w:bCs/>
                <w:i w:val="false"/>
                <w:iCs w:val="false"/>
                <w:color w:val="B03A2E"/>
                <w:sz w:val="22"/>
                <w:szCs w:val="22"/>
              </w:rPr>
              <w:t xml:space="preserve">If you don’t know what to say — don’t say anything</w:t>
            </w:r>
          </w:p>
          <w:p>
            <w:pPr>
              <w:spacing w:after="0" w:line="295"/>
            </w:pPr>
            <w:r>
              <w:rPr>
                <w:rFonts w:ascii="Arial" w:cs="Arial" w:eastAsia="Arial" w:hAnsi="Arial"/>
                <w:b w:val="false"/>
                <w:bCs w:val="false"/>
                <w:i w:val="false"/>
                <w:iCs w:val="false"/>
                <w:color w:val="223433"/>
                <w:sz w:val="20"/>
                <w:szCs w:val="20"/>
              </w:rPr>
              <w:t xml:space="preserve">No one ever did any harm by staying silent. You can still show the patient that you are warm and caring by your general attitude.</w:t>
            </w:r>
          </w:p>
        </w:tc>
      </w:tr>
    </w:tbl>
    <w:p>
      <w:pPr>
        <w:spacing w:after="12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B03A2E" w:sz="28"/>
              <w:bottom w:val="none" w:color="FFFFFF" w:sz="0"/>
              <w:right w:val="none" w:color="FFFFFF" w:sz="0"/>
            </w:tcBorders>
            <w:shd w:fill="FBEAE7" w:val="clear"/>
            <w:tcMar>
              <w:top w:type="dxa" w:w="150"/>
              <w:left w:type="dxa" w:w="240"/>
              <w:bottom w:type="dxa" w:w="150"/>
              <w:right w:type="dxa" w:w="240"/>
            </w:tcMar>
          </w:tcPr>
          <w:p>
            <w:pPr>
              <w:spacing w:after="80"/>
            </w:pPr>
            <w:r>
              <w:rPr>
                <w:rFonts w:ascii="Arial" w:cs="Arial" w:eastAsia="Arial" w:hAnsi="Arial"/>
                <w:b/>
                <w:bCs/>
                <w:i w:val="false"/>
                <w:iCs w:val="false"/>
                <w:color w:val="B03A2E"/>
                <w:sz w:val="22"/>
                <w:szCs w:val="22"/>
              </w:rPr>
              <w:t xml:space="preserve">6.  </w:t>
            </w:r>
            <w:r>
              <w:rPr>
                <w:rFonts w:ascii="Arial" w:cs="Arial" w:eastAsia="Arial" w:hAnsi="Arial"/>
                <w:b/>
                <w:bCs/>
                <w:i w:val="false"/>
                <w:iCs w:val="false"/>
                <w:color w:val="B03A2E"/>
                <w:sz w:val="22"/>
                <w:szCs w:val="22"/>
              </w:rPr>
              <w:t xml:space="preserve">Don’t assume you are the only person who can help</w:t>
            </w:r>
          </w:p>
          <w:p>
            <w:pPr>
              <w:spacing w:after="0" w:line="295"/>
            </w:pPr>
            <w:r>
              <w:rPr>
                <w:rFonts w:ascii="Arial" w:cs="Arial" w:eastAsia="Arial" w:hAnsi="Arial"/>
                <w:b w:val="false"/>
                <w:bCs w:val="false"/>
                <w:i w:val="false"/>
                <w:iCs w:val="false"/>
                <w:color w:val="223433"/>
                <w:sz w:val="20"/>
                <w:szCs w:val="20"/>
              </w:rPr>
              <w:t xml:space="preserve">Specialist counsellors, therapists, lawyers and doctors exist — know when, and to whom, to refer on.</w:t>
            </w:r>
          </w:p>
        </w:tc>
      </w:tr>
    </w:tbl>
    <w:p>
      <w:pPr>
        <w:spacing w:after="120"/>
      </w:pPr>
    </w:p>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7</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MY SKILL AS A LISTENER</w:t>
            </w:r>
          </w:p>
        </w:tc>
      </w:tr>
    </w:tbl>
    <w:p>
      <w:pPr>
        <w:keepNext/>
        <w:spacing w:after="220" w:before="160" w:line="300"/>
      </w:pPr>
      <w:r>
        <w:rPr>
          <w:rFonts w:ascii="Arial" w:cs="Arial" w:eastAsia="Arial" w:hAnsi="Arial"/>
          <w:b w:val="false"/>
          <w:bCs w:val="false"/>
          <w:i/>
          <w:iCs/>
          <w:color w:val="5B6B6A"/>
          <w:sz w:val="21"/>
          <w:szCs w:val="21"/>
        </w:rPr>
        <w:t xml:space="preserve">A short self-rating quiz: 15 statements about your ability to listen. Mark the box that fits best — candidly — then join your marks with a straight edge: the line is a profile of your listening. A profile drifting to the right shows where to focus; pick one or two items to practise deliberately, then re-rate yourself in a month.</w:t>
      </w:r>
    </w:p>
    <w:tbl>
      <w:tblPr>
        <w:tblW w:type="dxa" w:w="9026"/>
        <w:tblBorders>
          <w:top w:val="single" w:color="CBDEDC" w:sz="6"/>
          <w:left w:val="single" w:color="CBDEDC" w:sz="6"/>
          <w:bottom w:val="single" w:color="CBDEDC" w:sz="6"/>
          <w:right w:val="single" w:color="CBDEDC" w:sz="6"/>
          <w:insideH w:val="single" w:color="CBDEDC" w:sz="6"/>
          <w:insideV w:val="single" w:color="CBDEDC" w:sz="6"/>
        </w:tblBorders>
        <w:tblLayout w:type="fixed"/>
      </w:tblPr>
      <w:tblGrid>
        <w:gridCol w:w="700"/>
        <w:gridCol w:w="4076"/>
        <w:gridCol w:w="850"/>
        <w:gridCol w:w="850"/>
        <w:gridCol w:w="850"/>
        <w:gridCol w:w="850"/>
        <w:gridCol w:w="850"/>
      </w:tblGrid>
      <w:tr>
        <w:trPr>
          <w:cantSplit/>
          <w:tblHeader/>
        </w:trPr>
        <w:tc>
          <w:tcPr>
            <w:tcW w:type="dxa" w:w="700"/>
            <w:shd w:fill="0E5C5B" w:val="clear"/>
            <w:tcMar>
              <w:top w:type="dxa" w:w="80"/>
              <w:left w:type="dxa" w:w="60"/>
              <w:bottom w:type="dxa" w:w="80"/>
              <w:right w:type="dxa" w:w="60"/>
            </w:tcMar>
            <w:vAlign w:val="center"/>
          </w:tcPr>
          <w:p>
            <w:pPr>
              <w:jc w:val="center"/>
            </w:pPr>
            <w:r>
              <w:rPr>
                <w:rFonts w:ascii="Arial" w:cs="Arial" w:eastAsia="Arial" w:hAnsi="Arial"/>
                <w:b/>
                <w:bCs/>
                <w:i w:val="false"/>
                <w:iCs w:val="false"/>
                <w:color w:val="FFFFFF"/>
                <w:sz w:val="19"/>
                <w:szCs w:val="19"/>
              </w:rPr>
              <w:t xml:space="preserve">#</w:t>
            </w:r>
          </w:p>
        </w:tc>
        <w:tc>
          <w:tcPr>
            <w:tcW w:type="dxa" w:w="4076"/>
            <w:shd w:fill="0E5C5B" w:val="clear"/>
            <w:tcMar>
              <w:top w:type="dxa" w:w="80"/>
              <w:left w:type="dxa" w:w="140"/>
              <w:bottom w:type="dxa" w:w="80"/>
              <w:right w:type="dxa" w:w="100"/>
            </w:tcMar>
            <w:vAlign w:val="center"/>
          </w:tcPr>
          <w:p>
            <w:r>
              <w:rPr>
                <w:rFonts w:ascii="Arial" w:cs="Arial" w:eastAsia="Arial" w:hAnsi="Arial"/>
                <w:b/>
                <w:bCs/>
                <w:i w:val="false"/>
                <w:iCs w:val="false"/>
                <w:color w:val="FFFFFF"/>
                <w:sz w:val="19"/>
                <w:szCs w:val="19"/>
              </w:rPr>
              <w:t xml:space="preserve">Statement</w:t>
            </w:r>
          </w:p>
        </w:tc>
        <w:tc>
          <w:tcPr>
            <w:tcW w:type="dxa" w:w="850"/>
            <w:shd w:fill="0E5C5B" w:val="clear"/>
            <w:tcMar>
              <w:top w:type="dxa" w:w="80"/>
              <w:left w:type="dxa" w:w="40"/>
              <w:bottom w:type="dxa" w:w="80"/>
              <w:right w:type="dxa" w:w="40"/>
            </w:tcMar>
            <w:vAlign w:val="center"/>
          </w:tcPr>
          <w:p>
            <w:pPr>
              <w:jc w:val="center"/>
            </w:pPr>
            <w:r>
              <w:rPr>
                <w:rFonts w:ascii="Arial" w:cs="Arial" w:eastAsia="Arial" w:hAnsi="Arial"/>
                <w:b/>
                <w:bCs/>
                <w:i w:val="false"/>
                <w:iCs w:val="false"/>
                <w:color w:val="FFFFFF"/>
                <w:sz w:val="16"/>
                <w:szCs w:val="16"/>
              </w:rPr>
              <w:t xml:space="preserve">Always</w:t>
            </w:r>
          </w:p>
        </w:tc>
        <w:tc>
          <w:tcPr>
            <w:tcW w:type="dxa" w:w="850"/>
            <w:shd w:fill="0E5C5B" w:val="clear"/>
            <w:tcMar>
              <w:top w:type="dxa" w:w="80"/>
              <w:left w:type="dxa" w:w="40"/>
              <w:bottom w:type="dxa" w:w="80"/>
              <w:right w:type="dxa" w:w="40"/>
            </w:tcMar>
            <w:vAlign w:val="center"/>
          </w:tcPr>
          <w:p>
            <w:pPr>
              <w:jc w:val="center"/>
            </w:pPr>
            <w:r>
              <w:rPr>
                <w:rFonts w:ascii="Arial" w:cs="Arial" w:eastAsia="Arial" w:hAnsi="Arial"/>
                <w:b/>
                <w:bCs/>
                <w:i w:val="false"/>
                <w:iCs w:val="false"/>
                <w:color w:val="FFFFFF"/>
                <w:sz w:val="16"/>
                <w:szCs w:val="16"/>
              </w:rPr>
              <w:t xml:space="preserve">Usually</w:t>
            </w:r>
          </w:p>
        </w:tc>
        <w:tc>
          <w:tcPr>
            <w:tcW w:type="dxa" w:w="850"/>
            <w:shd w:fill="0E5C5B" w:val="clear"/>
            <w:tcMar>
              <w:top w:type="dxa" w:w="80"/>
              <w:left w:type="dxa" w:w="40"/>
              <w:bottom w:type="dxa" w:w="80"/>
              <w:right w:type="dxa" w:w="40"/>
            </w:tcMar>
            <w:vAlign w:val="center"/>
          </w:tcPr>
          <w:p>
            <w:pPr>
              <w:jc w:val="center"/>
            </w:pPr>
            <w:r>
              <w:rPr>
                <w:rFonts w:ascii="Arial" w:cs="Arial" w:eastAsia="Arial" w:hAnsi="Arial"/>
                <w:b/>
                <w:bCs/>
                <w:i w:val="false"/>
                <w:iCs w:val="false"/>
                <w:color w:val="FFFFFF"/>
                <w:sz w:val="16"/>
                <w:szCs w:val="16"/>
              </w:rPr>
              <w:t xml:space="preserve">Sometimes</w:t>
            </w:r>
          </w:p>
        </w:tc>
        <w:tc>
          <w:tcPr>
            <w:tcW w:type="dxa" w:w="850"/>
            <w:shd w:fill="0E5C5B" w:val="clear"/>
            <w:tcMar>
              <w:top w:type="dxa" w:w="80"/>
              <w:left w:type="dxa" w:w="40"/>
              <w:bottom w:type="dxa" w:w="80"/>
              <w:right w:type="dxa" w:w="40"/>
            </w:tcMar>
            <w:vAlign w:val="center"/>
          </w:tcPr>
          <w:p>
            <w:pPr>
              <w:jc w:val="center"/>
            </w:pPr>
            <w:r>
              <w:rPr>
                <w:rFonts w:ascii="Arial" w:cs="Arial" w:eastAsia="Arial" w:hAnsi="Arial"/>
                <w:b/>
                <w:bCs/>
                <w:i w:val="false"/>
                <w:iCs w:val="false"/>
                <w:color w:val="FFFFFF"/>
                <w:sz w:val="16"/>
                <w:szCs w:val="16"/>
              </w:rPr>
              <w:t xml:space="preserve">Rarely</w:t>
            </w:r>
          </w:p>
        </w:tc>
        <w:tc>
          <w:tcPr>
            <w:tcW w:type="dxa" w:w="850"/>
            <w:shd w:fill="0E5C5B" w:val="clear"/>
            <w:tcMar>
              <w:top w:type="dxa" w:w="80"/>
              <w:left w:type="dxa" w:w="40"/>
              <w:bottom w:type="dxa" w:w="80"/>
              <w:right w:type="dxa" w:w="40"/>
            </w:tcMar>
            <w:vAlign w:val="center"/>
          </w:tcPr>
          <w:p>
            <w:pPr>
              <w:jc w:val="center"/>
            </w:pPr>
            <w:r>
              <w:rPr>
                <w:rFonts w:ascii="Arial" w:cs="Arial" w:eastAsia="Arial" w:hAnsi="Arial"/>
                <w:b/>
                <w:bCs/>
                <w:i w:val="false"/>
                <w:iCs w:val="false"/>
                <w:color w:val="FFFFFF"/>
                <w:sz w:val="16"/>
                <w:szCs w:val="16"/>
              </w:rPr>
              <w:t xml:space="preserve">Never</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listen for </w:t>
            </w:r>
            <w:r>
              <w:rPr>
                <w:rFonts w:ascii="Arial" w:cs="Arial" w:eastAsia="Arial" w:hAnsi="Arial"/>
                <w:b/>
                <w:bCs/>
                <w:i w:val="false"/>
                <w:iCs w:val="false"/>
                <w:color w:val="223433"/>
                <w:sz w:val="17"/>
                <w:szCs w:val="17"/>
              </w:rPr>
              <w:t xml:space="preserve">feelings, attitudes, perceptions and values</w:t>
            </w:r>
            <w:r>
              <w:rPr>
                <w:rFonts w:ascii="Arial" w:cs="Arial" w:eastAsia="Arial" w:hAnsi="Arial"/>
                <w:b w:val="false"/>
                <w:bCs w:val="false"/>
                <w:i w:val="false"/>
                <w:iCs w:val="false"/>
                <w:color w:val="223433"/>
                <w:sz w:val="17"/>
                <w:szCs w:val="17"/>
              </w:rPr>
              <w:t xml:space="preserve"> as well as for facts?</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2</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try to listen for </w:t>
            </w:r>
            <w:r>
              <w:rPr>
                <w:rFonts w:ascii="Arial" w:cs="Arial" w:eastAsia="Arial" w:hAnsi="Arial"/>
                <w:b/>
                <w:bCs/>
                <w:i w:val="false"/>
                <w:iCs w:val="false"/>
                <w:color w:val="223433"/>
                <w:sz w:val="17"/>
                <w:szCs w:val="17"/>
              </w:rPr>
              <w:t xml:space="preserve">what is not said</w:t>
            </w:r>
            <w:r>
              <w:rPr>
                <w:rFonts w:ascii="Arial" w:cs="Arial" w:eastAsia="Arial" w:hAnsi="Arial"/>
                <w:b w:val="false"/>
                <w:bCs w:val="false"/>
                <w:i w:val="false"/>
                <w:iCs w:val="false"/>
                <w:color w:val="223433"/>
                <w:sz w:val="17"/>
                <w:szCs w:val="17"/>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3</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avoid </w:t>
            </w:r>
            <w:r>
              <w:rPr>
                <w:rFonts w:ascii="Arial" w:cs="Arial" w:eastAsia="Arial" w:hAnsi="Arial"/>
                <w:b/>
                <w:bCs/>
                <w:i w:val="false"/>
                <w:iCs w:val="false"/>
                <w:color w:val="223433"/>
                <w:sz w:val="17"/>
                <w:szCs w:val="17"/>
              </w:rPr>
              <w:t xml:space="preserve">interrupting</w:t>
            </w:r>
            <w:r>
              <w:rPr>
                <w:rFonts w:ascii="Arial" w:cs="Arial" w:eastAsia="Arial" w:hAnsi="Arial"/>
                <w:b w:val="false"/>
                <w:bCs w:val="false"/>
                <w:i w:val="false"/>
                <w:iCs w:val="false"/>
                <w:color w:val="223433"/>
                <w:sz w:val="17"/>
                <w:szCs w:val="17"/>
              </w:rPr>
              <w:t xml:space="preserve"> the person who is speaking to me?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4</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actually </w:t>
            </w:r>
            <w:r>
              <w:rPr>
                <w:rFonts w:ascii="Arial" w:cs="Arial" w:eastAsia="Arial" w:hAnsi="Arial"/>
                <w:b/>
                <w:bCs/>
                <w:i w:val="false"/>
                <w:iCs w:val="false"/>
                <w:color w:val="223433"/>
                <w:sz w:val="17"/>
                <w:szCs w:val="17"/>
              </w:rPr>
              <w:t xml:space="preserve">pay attention</w:t>
            </w:r>
            <w:r>
              <w:rPr>
                <w:rFonts w:ascii="Arial" w:cs="Arial" w:eastAsia="Arial" w:hAnsi="Arial"/>
                <w:b w:val="false"/>
                <w:bCs w:val="false"/>
                <w:i w:val="false"/>
                <w:iCs w:val="false"/>
                <w:color w:val="223433"/>
                <w:sz w:val="17"/>
                <w:szCs w:val="17"/>
              </w:rPr>
              <w:t xml:space="preserve"> to who is speaking, as opposed to “faking” attention?</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5</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refrain from “</w:t>
            </w:r>
            <w:r>
              <w:rPr>
                <w:rFonts w:ascii="Arial" w:cs="Arial" w:eastAsia="Arial" w:hAnsi="Arial"/>
                <w:b/>
                <w:bCs/>
                <w:i w:val="false"/>
                <w:iCs w:val="false"/>
                <w:color w:val="223433"/>
                <w:sz w:val="17"/>
                <w:szCs w:val="17"/>
              </w:rPr>
              <w:t xml:space="preserve">tuning people out</w:t>
            </w:r>
            <w:r>
              <w:rPr>
                <w:rFonts w:ascii="Arial" w:cs="Arial" w:eastAsia="Arial" w:hAnsi="Arial"/>
                <w:b w:val="false"/>
                <w:bCs w:val="false"/>
                <w:i w:val="false"/>
                <w:iCs w:val="false"/>
                <w:color w:val="223433"/>
                <w:sz w:val="17"/>
                <w:szCs w:val="17"/>
              </w:rPr>
              <w:t xml:space="preserve">” because I don’t like them, disagree with them, or find them dull?</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6</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work hard to avoid being </w:t>
            </w:r>
            <w:r>
              <w:rPr>
                <w:rFonts w:ascii="Arial" w:cs="Arial" w:eastAsia="Arial" w:hAnsi="Arial"/>
                <w:b/>
                <w:bCs/>
                <w:i w:val="false"/>
                <w:iCs w:val="false"/>
                <w:color w:val="223433"/>
                <w:sz w:val="17"/>
                <w:szCs w:val="17"/>
              </w:rPr>
              <w:t xml:space="preserve">distracted</w:t>
            </w:r>
            <w:r>
              <w:rPr>
                <w:rFonts w:ascii="Arial" w:cs="Arial" w:eastAsia="Arial" w:hAnsi="Arial"/>
                <w:b w:val="false"/>
                <w:bCs w:val="false"/>
                <w:i w:val="false"/>
                <w:iCs w:val="false"/>
                <w:color w:val="223433"/>
                <w:sz w:val="17"/>
                <w:szCs w:val="17"/>
              </w:rPr>
              <w:t xml:space="preserve"> by the speaker’s style, mannerisms, clothing, voice quality or pace?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7</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make certain that a person’s </w:t>
            </w:r>
            <w:r>
              <w:rPr>
                <w:rFonts w:ascii="Arial" w:cs="Arial" w:eastAsia="Arial" w:hAnsi="Arial"/>
                <w:b/>
                <w:bCs/>
                <w:i w:val="false"/>
                <w:iCs w:val="false"/>
                <w:color w:val="223433"/>
                <w:sz w:val="17"/>
                <w:szCs w:val="17"/>
              </w:rPr>
              <w:t xml:space="preserve">status</w:t>
            </w:r>
            <w:r>
              <w:rPr>
                <w:rFonts w:ascii="Arial" w:cs="Arial" w:eastAsia="Arial" w:hAnsi="Arial"/>
                <w:b w:val="false"/>
                <w:bCs w:val="false"/>
                <w:i w:val="false"/>
                <w:iCs w:val="false"/>
                <w:color w:val="223433"/>
                <w:sz w:val="17"/>
                <w:szCs w:val="17"/>
              </w:rPr>
              <w:t xml:space="preserve"> has no bearing on how well I listen to them?</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8</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avoid letting </w:t>
            </w:r>
            <w:r>
              <w:rPr>
                <w:rFonts w:ascii="Arial" w:cs="Arial" w:eastAsia="Arial" w:hAnsi="Arial"/>
                <w:b/>
                <w:bCs/>
                <w:i w:val="false"/>
                <w:iCs w:val="false"/>
                <w:color w:val="223433"/>
                <w:sz w:val="17"/>
                <w:szCs w:val="17"/>
              </w:rPr>
              <w:t xml:space="preserve">my expectations</w:t>
            </w:r>
            <w:r>
              <w:rPr>
                <w:rFonts w:ascii="Arial" w:cs="Arial" w:eastAsia="Arial" w:hAnsi="Arial"/>
                <w:b w:val="false"/>
                <w:bCs w:val="false"/>
                <w:i w:val="false"/>
                <w:iCs w:val="false"/>
                <w:color w:val="223433"/>
                <w:sz w:val="17"/>
                <w:szCs w:val="17"/>
              </w:rPr>
              <w:t xml:space="preserve"> — hearing what I want to hear — influence my listening?</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9</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try to read the </w:t>
            </w:r>
            <w:r>
              <w:rPr>
                <w:rFonts w:ascii="Arial" w:cs="Arial" w:eastAsia="Arial" w:hAnsi="Arial"/>
                <w:b/>
                <w:bCs/>
                <w:i w:val="false"/>
                <w:iCs w:val="false"/>
                <w:color w:val="223433"/>
                <w:sz w:val="17"/>
                <w:szCs w:val="17"/>
              </w:rPr>
              <w:t xml:space="preserve">“non-verbals”</w:t>
            </w:r>
            <w:r>
              <w:rPr>
                <w:rFonts w:ascii="Arial" w:cs="Arial" w:eastAsia="Arial" w:hAnsi="Arial"/>
                <w:b w:val="false"/>
                <w:bCs w:val="false"/>
                <w:i w:val="false"/>
                <w:iCs w:val="false"/>
                <w:color w:val="223433"/>
                <w:sz w:val="17"/>
                <w:szCs w:val="17"/>
              </w:rPr>
              <w:t xml:space="preserve"> — inflections, gestures, mood, posture, eye contact, facial expressions?</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10</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work hard at overcoming </w:t>
            </w:r>
            <w:r>
              <w:rPr>
                <w:rFonts w:ascii="Arial" w:cs="Arial" w:eastAsia="Arial" w:hAnsi="Arial"/>
                <w:b/>
                <w:bCs/>
                <w:i w:val="false"/>
                <w:iCs w:val="false"/>
                <w:color w:val="223433"/>
                <w:sz w:val="17"/>
                <w:szCs w:val="17"/>
              </w:rPr>
              <w:t xml:space="preserve">distractions</w:t>
            </w:r>
            <w:r>
              <w:rPr>
                <w:rFonts w:ascii="Arial" w:cs="Arial" w:eastAsia="Arial" w:hAnsi="Arial"/>
                <w:b w:val="false"/>
                <w:bCs w:val="false"/>
                <w:i w:val="false"/>
                <w:iCs w:val="false"/>
                <w:color w:val="223433"/>
                <w:sz w:val="17"/>
                <w:szCs w:val="17"/>
              </w:rPr>
              <w:t xml:space="preserve"> (sound, noise, movement, outside scenes) that may interfere with good listening?</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11</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tend to “</w:t>
            </w:r>
            <w:r>
              <w:rPr>
                <w:rFonts w:ascii="Arial" w:cs="Arial" w:eastAsia="Arial" w:hAnsi="Arial"/>
                <w:b/>
                <w:bCs/>
                <w:i w:val="false"/>
                <w:iCs w:val="false"/>
                <w:color w:val="223433"/>
                <w:sz w:val="17"/>
                <w:szCs w:val="17"/>
              </w:rPr>
              <w:t xml:space="preserve">stay with</w:t>
            </w:r>
            <w:r>
              <w:rPr>
                <w:rFonts w:ascii="Arial" w:cs="Arial" w:eastAsia="Arial" w:hAnsi="Arial"/>
                <w:b w:val="false"/>
                <w:bCs w:val="false"/>
                <w:i w:val="false"/>
                <w:iCs w:val="false"/>
                <w:color w:val="223433"/>
                <w:sz w:val="17"/>
                <w:szCs w:val="17"/>
              </w:rPr>
              <w:t xml:space="preserve">” speakers who are hard to follow — slow, poorly organised, or repetitive?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12</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As a listener, do I use </w:t>
            </w:r>
            <w:r>
              <w:rPr>
                <w:rFonts w:ascii="Arial" w:cs="Arial" w:eastAsia="Arial" w:hAnsi="Arial"/>
                <w:b/>
                <w:bCs/>
                <w:i w:val="false"/>
                <w:iCs w:val="false"/>
                <w:color w:val="223433"/>
                <w:sz w:val="17"/>
                <w:szCs w:val="17"/>
              </w:rPr>
              <w:t xml:space="preserve">non-verbal communication</w:t>
            </w:r>
            <w:r>
              <w:rPr>
                <w:rFonts w:ascii="Arial" w:cs="Arial" w:eastAsia="Arial" w:hAnsi="Arial"/>
                <w:b w:val="false"/>
                <w:bCs w:val="false"/>
                <w:i w:val="false"/>
                <w:iCs w:val="false"/>
                <w:color w:val="223433"/>
                <w:sz w:val="17"/>
                <w:szCs w:val="17"/>
              </w:rPr>
              <w:t xml:space="preserve"> (eye contact, smiles, occasional head nods) to indicate that I wish to hear more?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13</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tend to </w:t>
            </w:r>
            <w:r>
              <w:rPr>
                <w:rFonts w:ascii="Arial" w:cs="Arial" w:eastAsia="Arial" w:hAnsi="Arial"/>
                <w:b/>
                <w:bCs/>
                <w:i w:val="false"/>
                <w:iCs w:val="false"/>
                <w:color w:val="223433"/>
                <w:sz w:val="17"/>
                <w:szCs w:val="17"/>
              </w:rPr>
              <w:t xml:space="preserve">restate or rephrase</w:t>
            </w:r>
            <w:r>
              <w:rPr>
                <w:rFonts w:ascii="Arial" w:cs="Arial" w:eastAsia="Arial" w:hAnsi="Arial"/>
                <w:b w:val="false"/>
                <w:bCs w:val="false"/>
                <w:i w:val="false"/>
                <w:iCs w:val="false"/>
                <w:color w:val="223433"/>
                <w:sz w:val="17"/>
                <w:szCs w:val="17"/>
              </w:rPr>
              <w:t xml:space="preserve"> the other person’s statements when necessary, so they know I have understood?</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4F8F7"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14</w:t>
            </w:r>
          </w:p>
        </w:tc>
        <w:tc>
          <w:tcPr>
            <w:tcW w:type="dxa" w:w="4076"/>
            <w:shd w:fill="F4F8F7"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If I have </w:t>
            </w:r>
            <w:r>
              <w:rPr>
                <w:rFonts w:ascii="Arial" w:cs="Arial" w:eastAsia="Arial" w:hAnsi="Arial"/>
                <w:b/>
                <w:bCs/>
                <w:i w:val="false"/>
                <w:iCs w:val="false"/>
                <w:color w:val="223433"/>
                <w:sz w:val="17"/>
                <w:szCs w:val="17"/>
              </w:rPr>
              <w:t xml:space="preserve">not understood</w:t>
            </w:r>
            <w:r>
              <w:rPr>
                <w:rFonts w:ascii="Arial" w:cs="Arial" w:eastAsia="Arial" w:hAnsi="Arial"/>
                <w:b w:val="false"/>
                <w:bCs w:val="false"/>
                <w:i w:val="false"/>
                <w:iCs w:val="false"/>
                <w:color w:val="223433"/>
                <w:sz w:val="17"/>
                <w:szCs w:val="17"/>
              </w:rPr>
              <w:t xml:space="preserve">, do I candidly admit it and ask for a restatement?</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4F8F7"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r>
        <w:trPr>
          <w:cantSplit/>
        </w:trPr>
        <w:tc>
          <w:tcPr>
            <w:tcW w:type="dxa" w:w="700"/>
            <w:shd w:fill="FFFFFF" w:val="clear"/>
            <w:tcMar>
              <w:top w:type="dxa" w:w="52"/>
              <w:left w:type="dxa" w:w="60"/>
              <w:bottom w:type="dxa" w:w="52"/>
              <w:right w:type="dxa" w:w="60"/>
            </w:tcMar>
            <w:vAlign w:val="center"/>
          </w:tcPr>
          <w:p>
            <w:pPr>
              <w:jc w:val="center"/>
            </w:pPr>
            <w:r>
              <w:rPr>
                <w:rFonts w:ascii="Arial" w:cs="Arial" w:eastAsia="Arial" w:hAnsi="Arial"/>
                <w:b/>
                <w:bCs/>
                <w:i w:val="false"/>
                <w:iCs w:val="false"/>
                <w:color w:val="B07410"/>
                <w:sz w:val="19"/>
                <w:szCs w:val="19"/>
              </w:rPr>
              <w:t xml:space="preserve">15</w:t>
            </w:r>
          </w:p>
        </w:tc>
        <w:tc>
          <w:tcPr>
            <w:tcW w:type="dxa" w:w="4076"/>
            <w:shd w:fill="FFFFFF" w:val="clear"/>
            <w:tcMar>
              <w:top w:type="dxa" w:w="52"/>
              <w:left w:type="dxa" w:w="120"/>
              <w:bottom w:type="dxa" w:w="52"/>
              <w:right w:type="dxa" w:w="90"/>
            </w:tcMar>
            <w:vAlign w:val="center"/>
          </w:tcPr>
          <w:p>
            <w:pPr>
              <w:spacing w:after="0" w:line="245"/>
            </w:pPr>
            <w:r>
              <w:rPr>
                <w:rFonts w:ascii="Arial" w:cs="Arial" w:eastAsia="Arial" w:hAnsi="Arial"/>
                <w:b w:val="false"/>
                <w:bCs w:val="false"/>
                <w:i w:val="false"/>
                <w:iCs w:val="false"/>
                <w:color w:val="223433"/>
                <w:sz w:val="17"/>
                <w:szCs w:val="17"/>
              </w:rPr>
              <w:t xml:space="preserve">Do I avoid </w:t>
            </w:r>
            <w:r>
              <w:rPr>
                <w:rFonts w:ascii="Arial" w:cs="Arial" w:eastAsia="Arial" w:hAnsi="Arial"/>
                <w:b/>
                <w:bCs/>
                <w:i w:val="false"/>
                <w:iCs w:val="false"/>
                <w:color w:val="223433"/>
                <w:sz w:val="17"/>
                <w:szCs w:val="17"/>
              </w:rPr>
              <w:t xml:space="preserve">framing my response</w:t>
            </w:r>
            <w:r>
              <w:rPr>
                <w:rFonts w:ascii="Arial" w:cs="Arial" w:eastAsia="Arial" w:hAnsi="Arial"/>
                <w:b w:val="false"/>
                <w:bCs w:val="false"/>
                <w:i w:val="false"/>
                <w:iCs w:val="false"/>
                <w:color w:val="223433"/>
                <w:sz w:val="17"/>
                <w:szCs w:val="17"/>
              </w:rPr>
              <w:t xml:space="preserve"> while the other person is still speaking?</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c>
          <w:tcPr>
            <w:tcW w:type="dxa" w:w="850"/>
            <w:shd w:fill="FFFFFF" w:val="clear"/>
            <w:tcMar>
              <w:top w:type="dxa" w:w="52"/>
              <w:left w:type="dxa" w:w="40"/>
              <w:bottom w:type="dxa" w:w="52"/>
              <w:right w:type="dxa" w:w="40"/>
            </w:tcMar>
            <w:vAlign w:val="center"/>
          </w:tcPr>
          <w:p>
            <w:pPr>
              <w:jc w:val="center"/>
            </w:pPr>
            <w:r>
              <w:rPr>
                <w:rFonts w:ascii="Arial" w:cs="Arial" w:eastAsia="Arial" w:hAnsi="Arial"/>
                <w:b w:val="false"/>
                <w:bCs w:val="false"/>
                <w:i w:val="false"/>
                <w:iCs w:val="false"/>
                <w:color w:val="5B6B6A"/>
                <w:sz w:val="18"/>
                <w:szCs w:val="18"/>
              </w:rPr>
              <w:t xml:space="preserve">○</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8</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BARRIERS TO GOOD LISTENING</w:t>
            </w:r>
          </w:p>
        </w:tc>
      </w:tr>
    </w:tbl>
    <w:p>
      <w:pPr>
        <w:keepNext/>
        <w:spacing w:after="220" w:before="160" w:line="300"/>
      </w:pPr>
      <w:r>
        <w:rPr>
          <w:rFonts w:ascii="Arial" w:cs="Arial" w:eastAsia="Arial" w:hAnsi="Arial"/>
          <w:b w:val="false"/>
          <w:bCs w:val="false"/>
          <w:i/>
          <w:iCs/>
          <w:color w:val="5B6B6A"/>
          <w:sz w:val="21"/>
          <w:szCs w:val="21"/>
        </w:rPr>
        <w:t xml:space="preserve">Ten everyday listening pitfalls. Most of us do several of them daily — the names make them easy to spot, in ourselves and in learners.</w:t>
      </w:r>
    </w:p>
    <w:tbl>
      <w:tblPr>
        <w:tblW w:type="dxa" w:w="9026"/>
        <w:tblBorders>
          <w:top w:val="single" w:color="CBDEDC" w:sz="6"/>
          <w:left w:val="single" w:color="CBDEDC" w:sz="6"/>
          <w:bottom w:val="single" w:color="CBDEDC" w:sz="6"/>
          <w:right w:val="single" w:color="CBDEDC" w:sz="6"/>
          <w:insideH w:val="single" w:color="CBDEDC" w:sz="6"/>
          <w:insideV w:val="single" w:color="CBDEDC" w:sz="6"/>
        </w:tblBorders>
        <w:tblLayout w:type="fixed"/>
      </w:tblPr>
      <w:tblGrid>
        <w:gridCol w:w="3000"/>
        <w:gridCol w:w="6026"/>
      </w:tblGrid>
      <w:tr>
        <w:trPr>
          <w:cantSplit/>
          <w:tblHeader/>
        </w:trPr>
        <w:tc>
          <w:tcPr>
            <w:tcW w:type="dxa" w:w="3000"/>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The pitfall</w:t>
            </w:r>
          </w:p>
        </w:tc>
        <w:tc>
          <w:tcPr>
            <w:tcW w:type="dxa" w:w="6026"/>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What happens</w:t>
            </w:r>
          </w:p>
        </w:tc>
      </w:tr>
      <w:tr>
        <w:trPr>
          <w:cantSplit/>
        </w:trPr>
        <w:tc>
          <w:tcPr>
            <w:tcW w:type="dxa" w:w="3000"/>
            <w:shd w:fill="FFFFFF"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“On–off” listening</w:t>
            </w:r>
          </w:p>
        </w:tc>
        <w:tc>
          <w:tcPr>
            <w:tcW w:type="dxa" w:w="6026"/>
            <w:shd w:fill="FFFFFF"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Most of us think about four times faster than the average person speaks, leaving roughly three-quarters of a minute of spare thinking time in every listening minute. Sometimes we spend that spare time on our own affairs, concerns or interests — instead of listening.</w:t>
            </w:r>
          </w:p>
        </w:tc>
      </w:tr>
      <w:tr>
        <w:trPr>
          <w:cantSplit/>
        </w:trPr>
        <w:tc>
          <w:tcPr>
            <w:tcW w:type="dxa" w:w="3000"/>
            <w:shd w:fill="F4F8F7"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“Red rag” listening</w:t>
            </w:r>
          </w:p>
        </w:tc>
        <w:tc>
          <w:tcPr>
            <w:tcW w:type="dxa" w:w="6026"/>
            <w:shd w:fill="F4F8F7"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Certain words are like a red rag to a bull: when we hear them we become upset or irritated and stop listening. The trigger words vary between individuals, but terms like should, must, unfaithful, police, discipline, school, management and unions commonly produce an automatic response — and the speaker gets switched off.</w:t>
            </w:r>
          </w:p>
        </w:tc>
      </w:tr>
      <w:tr>
        <w:trPr>
          <w:cantSplit/>
        </w:trPr>
        <w:tc>
          <w:tcPr>
            <w:tcW w:type="dxa" w:w="3000"/>
            <w:shd w:fill="FFFFFF"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“Open ears, closed mind” listening</w:t>
            </w:r>
          </w:p>
        </w:tc>
        <w:tc>
          <w:tcPr>
            <w:tcW w:type="dxa" w:w="6026"/>
            <w:shd w:fill="FFFFFF"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Sometimes we decide quickly that the subject or the speaker is boring, and that nothing said will make sense. We jump to the conclusion that we can predict what they know or will say — so we conclude there is no reason to listen, because we will hear nothing new.</w:t>
            </w:r>
          </w:p>
        </w:tc>
      </w:tr>
      <w:tr>
        <w:trPr>
          <w:cantSplit/>
        </w:trPr>
        <w:tc>
          <w:tcPr>
            <w:tcW w:type="dxa" w:w="3000"/>
            <w:shd w:fill="F4F8F7"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“Glassy-eyed” listening</w:t>
            </w:r>
          </w:p>
        </w:tc>
        <w:tc>
          <w:tcPr>
            <w:tcW w:type="dxa" w:w="6026"/>
            <w:shd w:fill="F4F8F7"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We look at a person intently and seem to be listening, though our minds are elsewhere. We drop back into the comfort of our own thoughts, become glassy-eyed, and a dreamy expression appears. We can tell when people look at us this way — and they can see the same in us. Nobody is fooled.</w:t>
            </w:r>
          </w:p>
        </w:tc>
      </w:tr>
      <w:tr>
        <w:trPr>
          <w:cantSplit/>
        </w:trPr>
        <w:tc>
          <w:tcPr>
            <w:tcW w:type="dxa" w:w="3000"/>
            <w:shd w:fill="FFFFFF"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“Too deep for me” listening</w:t>
            </w:r>
          </w:p>
        </w:tc>
        <w:tc>
          <w:tcPr>
            <w:tcW w:type="dxa" w:w="6026"/>
            <w:shd w:fill="FFFFFF"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When we are listening to ideas that feel too complex or complicated, there is a danger we simply shut off — rather than asking for clarification.</w:t>
            </w:r>
          </w:p>
        </w:tc>
      </w:tr>
      <w:tr>
        <w:trPr>
          <w:cantSplit/>
        </w:trPr>
        <w:tc>
          <w:tcPr>
            <w:tcW w:type="dxa" w:w="3000"/>
            <w:shd w:fill="F4F8F7"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“Matter over mind” listening</w:t>
            </w:r>
          </w:p>
        </w:tc>
        <w:tc>
          <w:tcPr>
            <w:tcW w:type="dxa" w:w="6026"/>
            <w:shd w:fill="F4F8F7"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We do not like having our pet ideas, prejudices and points of view overturned, or our opinions and judgements challenged. When a speaker says something that clashes with what we think and believe, we may unconsciously stop listening — or become defensive and start planning a counter-attack.</w:t>
            </w:r>
          </w:p>
        </w:tc>
      </w:tr>
      <w:tr>
        <w:trPr>
          <w:cantSplit/>
        </w:trPr>
        <w:tc>
          <w:tcPr>
            <w:tcW w:type="dxa" w:w="3000"/>
            <w:shd w:fill="FFFFFF"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Subject-centred, not speaker-centred</w:t>
            </w:r>
          </w:p>
        </w:tc>
        <w:tc>
          <w:tcPr>
            <w:tcW w:type="dxa" w:w="6026"/>
            <w:shd w:fill="FFFFFF"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We concentrate on the problem rather than the person. The details and facts of an incident become more important than what the person is telling us about themselves.</w:t>
            </w:r>
          </w:p>
        </w:tc>
      </w:tr>
      <w:tr>
        <w:trPr>
          <w:cantSplit/>
        </w:trPr>
        <w:tc>
          <w:tcPr>
            <w:tcW w:type="dxa" w:w="3000"/>
            <w:shd w:fill="F4F8F7"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“Facts” listening</w:t>
            </w:r>
          </w:p>
        </w:tc>
        <w:tc>
          <w:tcPr>
            <w:tcW w:type="dxa" w:w="6026"/>
            <w:shd w:fill="F4F8F7"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We try to memorise the facts, repeating them over and over to drive them home. While we do, the speaker moves on to new facts — and we lose those in the process.</w:t>
            </w:r>
          </w:p>
        </w:tc>
      </w:tr>
      <w:tr>
        <w:trPr>
          <w:cantSplit/>
        </w:trPr>
        <w:tc>
          <w:tcPr>
            <w:tcW w:type="dxa" w:w="3000"/>
            <w:shd w:fill="FFFFFF"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“Pencil” listening</w:t>
            </w:r>
          </w:p>
        </w:tc>
        <w:tc>
          <w:tcPr>
            <w:tcW w:type="dxa" w:w="6026"/>
            <w:shd w:fill="FFFFFF"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Trying to write down everything the speaker says means we are bound to lose some of it — words come faster than we can write, and eye contact becomes difficult.</w:t>
            </w:r>
          </w:p>
        </w:tc>
      </w:tr>
      <w:tr>
        <w:trPr>
          <w:cantSplit/>
        </w:trPr>
        <w:tc>
          <w:tcPr>
            <w:tcW w:type="dxa" w:w="3000"/>
            <w:shd w:fill="F4F8F7" w:val="clear"/>
            <w:tcMar>
              <w:top w:type="dxa" w:w="68"/>
              <w:left w:type="dxa" w:w="130"/>
              <w:bottom w:type="dxa" w:w="68"/>
              <w:right w:type="dxa" w:w="90"/>
            </w:tcMar>
          </w:tcPr>
          <w:p>
            <w:r>
              <w:rPr>
                <w:rFonts w:ascii="Arial" w:cs="Arial" w:eastAsia="Arial" w:hAnsi="Arial"/>
                <w:b/>
                <w:bCs/>
                <w:i w:val="false"/>
                <w:iCs w:val="false"/>
                <w:color w:val="0E5C5B"/>
                <w:sz w:val="19"/>
                <w:szCs w:val="19"/>
              </w:rPr>
              <w:t xml:space="preserve">“Hubbub” listening</w:t>
            </w:r>
          </w:p>
        </w:tc>
        <w:tc>
          <w:tcPr>
            <w:tcW w:type="dxa" w:w="6026"/>
            <w:shd w:fill="F4F8F7" w:val="clear"/>
            <w:tcMar>
              <w:top w:type="dxa" w:w="68"/>
              <w:left w:type="dxa" w:w="130"/>
              <w:bottom w:type="dxa" w:w="68"/>
              <w:right w:type="dxa" w:w="110"/>
            </w:tcMar>
          </w:tcPr>
          <w:p>
            <w:pPr>
              <w:spacing w:after="0" w:line="258"/>
            </w:pPr>
            <w:r>
              <w:rPr>
                <w:rFonts w:ascii="Arial" w:cs="Arial" w:eastAsia="Arial" w:hAnsi="Arial"/>
                <w:b w:val="false"/>
                <w:bCs w:val="false"/>
                <w:i w:val="false"/>
                <w:iCs w:val="false"/>
                <w:color w:val="223433"/>
                <w:sz w:val="18"/>
                <w:szCs w:val="18"/>
              </w:rPr>
              <w:t xml:space="preserve">Sometimes there are simply too many distractions — noise, movement of people, or other matters clamouring for our attention.</w:t>
            </w:r>
          </w:p>
        </w:tc>
      </w:tr>
    </w:tbl>
    <w:p>
      <w:pPr>
        <w:keepLines/>
        <w:spacing w:after="0" w:before="200"/>
        <w:jc w:val="center"/>
      </w:pPr>
      <w:r>
        <w:rPr>
          <w:rFonts w:ascii="Arial" w:cs="Arial" w:eastAsia="Arial" w:hAnsi="Arial"/>
          <w:b/>
          <w:bCs/>
          <w:i w:val="false"/>
          <w:iCs w:val="false"/>
          <w:color w:val="0E5C5B"/>
          <w:sz w:val="21"/>
          <w:szCs w:val="21"/>
        </w:rPr>
        <w:t xml:space="preserve">An awareness of these pitfalls is the first step to avoiding them.</w:t>
      </w:r>
    </w:p>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9</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COUNSELLING BOOKS FOR GENERAL PRACTITIONERS</w:t>
            </w:r>
          </w:p>
        </w:tc>
      </w:tr>
    </w:tbl>
    <w:p>
      <w:pPr>
        <w:keepNext/>
        <w:spacing w:after="220" w:before="160" w:line="300"/>
      </w:pPr>
      <w:r>
        <w:rPr>
          <w:rFonts w:ascii="Arial" w:cs="Arial" w:eastAsia="Arial" w:hAnsi="Arial"/>
          <w:b w:val="false"/>
          <w:bCs w:val="false"/>
          <w:i/>
          <w:iCs/>
          <w:color w:val="5B6B6A"/>
          <w:sz w:val="21"/>
          <w:szCs w:val="21"/>
        </w:rPr>
        <w:t xml:space="preserve">Suggested reading — a short list of classics. Most remain in print or are easily found second-hand, and all have shaped how counselling skills are taught in general practice.</w:t>
      </w:r>
    </w:p>
    <w:tbl>
      <w:tblPr>
        <w:tblW w:type="dxa" w:w="9026"/>
        <w:tblBorders>
          <w:top w:val="single" w:color="CBDEDC" w:sz="6"/>
          <w:left w:val="single" w:color="CBDEDC" w:sz="6"/>
          <w:bottom w:val="single" w:color="CBDEDC" w:sz="6"/>
          <w:right w:val="single" w:color="CBDEDC" w:sz="6"/>
          <w:insideH w:val="single" w:color="CBDEDC" w:sz="6"/>
          <w:insideV w:val="single" w:color="CBDEDC" w:sz="6"/>
        </w:tblBorders>
        <w:tblLayout w:type="fixed"/>
      </w:tblPr>
      <w:tblGrid>
        <w:gridCol w:w="3300"/>
        <w:gridCol w:w="3600"/>
        <w:gridCol w:w="2126"/>
      </w:tblGrid>
      <w:tr>
        <w:trPr>
          <w:cantSplit/>
          <w:tblHeader/>
        </w:trPr>
        <w:tc>
          <w:tcPr>
            <w:tcW w:type="dxa" w:w="3300"/>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Author(s)</w:t>
            </w:r>
          </w:p>
        </w:tc>
        <w:tc>
          <w:tcPr>
            <w:tcW w:type="dxa" w:w="3600"/>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Title</w:t>
            </w:r>
          </w:p>
        </w:tc>
        <w:tc>
          <w:tcPr>
            <w:tcW w:type="dxa" w:w="2126"/>
            <w:shd w:fill="0E5C5B" w:val="clear"/>
            <w:tcMar>
              <w:top w:type="dxa" w:w="90"/>
              <w:left w:type="dxa" w:w="140"/>
              <w:bottom w:type="dxa" w:w="90"/>
              <w:right w:type="dxa" w:w="100"/>
            </w:tcMar>
          </w:tcPr>
          <w:p>
            <w:r>
              <w:rPr>
                <w:rFonts w:ascii="Arial" w:cs="Arial" w:eastAsia="Arial" w:hAnsi="Arial"/>
                <w:b/>
                <w:bCs/>
                <w:i w:val="false"/>
                <w:iCs w:val="false"/>
                <w:color w:val="FFFFFF"/>
                <w:sz w:val="20"/>
                <w:szCs w:val="20"/>
              </w:rPr>
              <w:t xml:space="preserve">Publisher</w:t>
            </w:r>
          </w:p>
        </w:tc>
      </w:tr>
      <w:tr>
        <w:trPr>
          <w:cantSplit/>
        </w:trPr>
        <w:tc>
          <w:tcPr>
            <w:tcW w:type="dxa" w:w="3300"/>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Pamela Quiver</w:t>
            </w:r>
          </w:p>
        </w:tc>
        <w:tc>
          <w:tcPr>
            <w:tcW w:type="dxa" w:w="3600"/>
            <w:shd w:fill="FFFFFF" w:val="clear"/>
            <w:tcMar>
              <w:top w:type="dxa" w:w="90"/>
              <w:left w:type="dxa" w:w="140"/>
              <w:bottom w:type="dxa" w:w="90"/>
              <w:right w:type="dxa" w:w="100"/>
            </w:tcMar>
          </w:tcPr>
          <w:p>
            <w:r>
              <w:rPr>
                <w:rFonts w:ascii="Arial" w:cs="Arial" w:eastAsia="Arial" w:hAnsi="Arial"/>
                <w:b/>
                <w:bCs/>
                <w:i/>
                <w:iCs/>
                <w:color w:val="0A4342"/>
                <w:sz w:val="20"/>
                <w:szCs w:val="20"/>
              </w:rPr>
              <w:t xml:space="preserve">The Trouble Sharers</w:t>
            </w:r>
          </w:p>
        </w:tc>
        <w:tc>
          <w:tcPr>
            <w:tcW w:type="dxa" w:w="2126"/>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National Marriage Guidance Council (now Relate)</w:t>
            </w:r>
          </w:p>
        </w:tc>
      </w:tr>
      <w:tr>
        <w:trPr>
          <w:cantSplit/>
        </w:trPr>
        <w:tc>
          <w:tcPr>
            <w:tcW w:type="dxa" w:w="3300"/>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E. A. Munro, R. J. Manthei &amp; J. J. Small</w:t>
            </w:r>
          </w:p>
        </w:tc>
        <w:tc>
          <w:tcPr>
            <w:tcW w:type="dxa" w:w="3600"/>
            <w:shd w:fill="F4F8F7" w:val="clear"/>
            <w:tcMar>
              <w:top w:type="dxa" w:w="90"/>
              <w:left w:type="dxa" w:w="140"/>
              <w:bottom w:type="dxa" w:w="90"/>
              <w:right w:type="dxa" w:w="100"/>
            </w:tcMar>
          </w:tcPr>
          <w:p>
            <w:r>
              <w:rPr>
                <w:rFonts w:ascii="Arial" w:cs="Arial" w:eastAsia="Arial" w:hAnsi="Arial"/>
                <w:b/>
                <w:bCs/>
                <w:i/>
                <w:iCs/>
                <w:color w:val="0A4342"/>
                <w:sz w:val="20"/>
                <w:szCs w:val="20"/>
              </w:rPr>
              <w:t xml:space="preserve">Counselling: A Skills Approach</w:t>
            </w:r>
          </w:p>
        </w:tc>
        <w:tc>
          <w:tcPr>
            <w:tcW w:type="dxa" w:w="2126"/>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Methuen</w:t>
            </w:r>
          </w:p>
        </w:tc>
      </w:tr>
      <w:tr>
        <w:trPr>
          <w:cantSplit/>
        </w:trPr>
        <w:tc>
          <w:tcPr>
            <w:tcW w:type="dxa" w:w="3300"/>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Robin Skynner &amp; John Cleese</w:t>
            </w:r>
          </w:p>
        </w:tc>
        <w:tc>
          <w:tcPr>
            <w:tcW w:type="dxa" w:w="3600"/>
            <w:shd w:fill="FFFFFF" w:val="clear"/>
            <w:tcMar>
              <w:top w:type="dxa" w:w="90"/>
              <w:left w:type="dxa" w:w="140"/>
              <w:bottom w:type="dxa" w:w="90"/>
              <w:right w:type="dxa" w:w="100"/>
            </w:tcMar>
          </w:tcPr>
          <w:p>
            <w:r>
              <w:rPr>
                <w:rFonts w:ascii="Arial" w:cs="Arial" w:eastAsia="Arial" w:hAnsi="Arial"/>
                <w:b/>
                <w:bCs/>
                <w:i/>
                <w:iCs/>
                <w:color w:val="0A4342"/>
                <w:sz w:val="20"/>
                <w:szCs w:val="20"/>
              </w:rPr>
              <w:t xml:space="preserve">Families and How to Survive Them</w:t>
            </w:r>
          </w:p>
        </w:tc>
        <w:tc>
          <w:tcPr>
            <w:tcW w:type="dxa" w:w="2126"/>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Methuen</w:t>
            </w:r>
          </w:p>
        </w:tc>
      </w:tr>
      <w:tr>
        <w:trPr>
          <w:cantSplit/>
        </w:trPr>
        <w:tc>
          <w:tcPr>
            <w:tcW w:type="dxa" w:w="3300"/>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Enid Balint &amp; J. S. Norell (eds)</w:t>
            </w:r>
          </w:p>
        </w:tc>
        <w:tc>
          <w:tcPr>
            <w:tcW w:type="dxa" w:w="3600"/>
            <w:shd w:fill="F4F8F7" w:val="clear"/>
            <w:tcMar>
              <w:top w:type="dxa" w:w="90"/>
              <w:left w:type="dxa" w:w="140"/>
              <w:bottom w:type="dxa" w:w="90"/>
              <w:right w:type="dxa" w:w="100"/>
            </w:tcMar>
          </w:tcPr>
          <w:p>
            <w:r>
              <w:rPr>
                <w:rFonts w:ascii="Arial" w:cs="Arial" w:eastAsia="Arial" w:hAnsi="Arial"/>
                <w:b/>
                <w:bCs/>
                <w:i/>
                <w:iCs/>
                <w:color w:val="0A4342"/>
                <w:sz w:val="20"/>
                <w:szCs w:val="20"/>
              </w:rPr>
              <w:t xml:space="preserve">Six Minutes for the Patient</w:t>
            </w:r>
          </w:p>
        </w:tc>
        <w:tc>
          <w:tcPr>
            <w:tcW w:type="dxa" w:w="2126"/>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Tavistock</w:t>
            </w:r>
          </w:p>
        </w:tc>
      </w:tr>
      <w:tr>
        <w:trPr>
          <w:cantSplit/>
        </w:trPr>
        <w:tc>
          <w:tcPr>
            <w:tcW w:type="dxa" w:w="3300"/>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Gerard Egan</w:t>
            </w:r>
          </w:p>
        </w:tc>
        <w:tc>
          <w:tcPr>
            <w:tcW w:type="dxa" w:w="3600"/>
            <w:shd w:fill="FFFFFF" w:val="clear"/>
            <w:tcMar>
              <w:top w:type="dxa" w:w="90"/>
              <w:left w:type="dxa" w:w="140"/>
              <w:bottom w:type="dxa" w:w="90"/>
              <w:right w:type="dxa" w:w="100"/>
            </w:tcMar>
          </w:tcPr>
          <w:p>
            <w:r>
              <w:rPr>
                <w:rFonts w:ascii="Arial" w:cs="Arial" w:eastAsia="Arial" w:hAnsi="Arial"/>
                <w:b/>
                <w:bCs/>
                <w:i/>
                <w:iCs/>
                <w:color w:val="0A4342"/>
                <w:sz w:val="20"/>
                <w:szCs w:val="20"/>
              </w:rPr>
              <w:t xml:space="preserve">The Skilled Helper</w:t>
            </w:r>
          </w:p>
        </w:tc>
        <w:tc>
          <w:tcPr>
            <w:tcW w:type="dxa" w:w="2126"/>
            <w:shd w:fill="FFFFFF"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Brooks/Cole (USA)</w:t>
            </w:r>
          </w:p>
        </w:tc>
      </w:tr>
      <w:tr>
        <w:trPr>
          <w:cantSplit/>
        </w:trPr>
        <w:tc>
          <w:tcPr>
            <w:tcW w:type="dxa" w:w="3300"/>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Steve Murgatroyd</w:t>
            </w:r>
          </w:p>
        </w:tc>
        <w:tc>
          <w:tcPr>
            <w:tcW w:type="dxa" w:w="3600"/>
            <w:shd w:fill="F4F8F7" w:val="clear"/>
            <w:tcMar>
              <w:top w:type="dxa" w:w="90"/>
              <w:left w:type="dxa" w:w="140"/>
              <w:bottom w:type="dxa" w:w="90"/>
              <w:right w:type="dxa" w:w="100"/>
            </w:tcMar>
          </w:tcPr>
          <w:p>
            <w:r>
              <w:rPr>
                <w:rFonts w:ascii="Arial" w:cs="Arial" w:eastAsia="Arial" w:hAnsi="Arial"/>
                <w:b/>
                <w:bCs/>
                <w:i/>
                <w:iCs/>
                <w:color w:val="0A4342"/>
                <w:sz w:val="20"/>
                <w:szCs w:val="20"/>
              </w:rPr>
              <w:t xml:space="preserve">Counselling and Helping</w:t>
            </w:r>
          </w:p>
        </w:tc>
        <w:tc>
          <w:tcPr>
            <w:tcW w:type="dxa" w:w="2126"/>
            <w:shd w:fill="F4F8F7" w:val="clear"/>
            <w:tcMar>
              <w:top w:type="dxa" w:w="90"/>
              <w:left w:type="dxa" w:w="140"/>
              <w:bottom w:type="dxa" w:w="90"/>
              <w:right w:type="dxa" w:w="100"/>
            </w:tcMar>
          </w:tcPr>
          <w:p>
            <w:r>
              <w:rPr>
                <w:rFonts w:ascii="Arial" w:cs="Arial" w:eastAsia="Arial" w:hAnsi="Arial"/>
                <w:b w:val="false"/>
                <w:bCs w:val="false"/>
                <w:i w:val="false"/>
                <w:iCs w:val="false"/>
                <w:color w:val="223433"/>
                <w:sz w:val="20"/>
                <w:szCs w:val="20"/>
              </w:rPr>
              <w:t xml:space="preserve">Methuen</w:t>
            </w:r>
          </w:p>
        </w:tc>
      </w:tr>
    </w:tbl>
    <w:p>
      <w:pPr>
        <w:spacing w:after="140"/>
      </w:pP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26"/>
      </w:tblGrid>
      <w:tr>
        <w:trPr>
          <w:cantSplit/>
        </w:trPr>
        <w:tc>
          <w:tcPr>
            <w:tcW w:type="dxa" w:w="9026"/>
            <w:tcBorders>
              <w:top w:val="none" w:color="FFFFFF" w:sz="0"/>
              <w:left w:val="single" w:color="E9A93D" w:sz="28"/>
              <w:bottom w:val="none" w:color="FFFFFF" w:sz="0"/>
              <w:right w:val="none" w:color="FFFFFF" w:sz="0"/>
            </w:tcBorders>
            <w:shd w:fill="FBF3E2" w:val="clear"/>
            <w:tcMar>
              <w:top w:type="dxa" w:w="160"/>
              <w:left w:type="dxa" w:w="240"/>
              <w:bottom w:type="dxa" w:w="160"/>
              <w:right w:type="dxa" w:w="240"/>
            </w:tcMar>
          </w:tcPr>
          <w:p>
            <w:pPr>
              <w:spacing w:after="80"/>
            </w:pPr>
            <w:r>
              <w:rPr>
                <w:rFonts w:ascii="Arial" w:cs="Arial" w:eastAsia="Arial" w:hAnsi="Arial"/>
                <w:b/>
                <w:bCs/>
                <w:i w:val="false"/>
                <w:iCs w:val="false"/>
                <w:caps/>
                <w:color w:val="E9A93D"/>
                <w:sz w:val="20"/>
                <w:szCs w:val="20"/>
              </w:rPr>
              <w:t xml:space="preserve">A modern companion</w:t>
            </w:r>
          </w:p>
          <w:p>
            <w:pPr>
              <w:spacing w:after="0" w:line="290"/>
            </w:pPr>
            <w:r>
              <w:rPr>
                <w:rFonts w:ascii="Arial" w:cs="Arial" w:eastAsia="Arial" w:hAnsi="Arial"/>
                <w:b w:val="false"/>
                <w:bCs w:val="false"/>
                <w:i w:val="false"/>
                <w:iCs w:val="false"/>
                <w:color w:val="223433"/>
                <w:sz w:val="20"/>
                <w:szCs w:val="20"/>
              </w:rPr>
              <w:t xml:space="preserve">For readers who want a current, structured overview of psychological skills in the consultation, NICE-recommended low-intensity approaches (problem-solving, behavioural activation, guided self-help) are summarised in NICE NG222 (Depression in adults, 2022) — the same territory this handout covers, forty years on.</w:t>
            </w:r>
          </w:p>
        </w:tc>
      </w:tr>
    </w:tbl>
    <w:p>
      <w:pPr>
        <w:pageBreakBefore/>
        <w:spacing w:after="0" w:before="0"/>
      </w:pPr>
      <w:r>
        <w:rPr>
          <w:rFonts w:ascii="Arial" w:cs="Arial" w:eastAsia="Arial" w:hAnsi="Arial"/>
          <w:b w:val="false"/>
          <w:bCs w:val="false"/>
          <w:i w:val="false"/>
          <w:iCs w:val="false"/>
          <w:color w:val="223433"/>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206"/>
      </w:tblGrid>
      <w:tr>
        <w:trPr>
          <w:cantSplit/>
        </w:trPr>
        <w:tc>
          <w:tcPr>
            <w:tcW w:type="dxa" w:w="820"/>
            <w:shd w:fill="B07410" w:val="clear"/>
            <w:tcMar>
              <w:top w:type="dxa" w:w="120"/>
              <w:left w:type="dxa" w:w="80"/>
              <w:bottom w:type="dxa" w:w="120"/>
              <w:right w:type="dxa" w:w="80"/>
            </w:tcMar>
            <w:vAlign w:val="center"/>
          </w:tcPr>
          <w:p>
            <w:pPr>
              <w:jc w:val="center"/>
            </w:pPr>
            <w:r>
              <w:rPr>
                <w:rFonts w:ascii="Arial" w:cs="Arial" w:eastAsia="Arial" w:hAnsi="Arial"/>
                <w:b/>
                <w:bCs/>
                <w:i w:val="false"/>
                <w:iCs w:val="false"/>
                <w:color w:val="FFFFFF"/>
                <w:sz w:val="34"/>
                <w:szCs w:val="34"/>
              </w:rPr>
              <w:t xml:space="preserve">A</w:t>
            </w:r>
          </w:p>
        </w:tc>
        <w:tc>
          <w:tcPr>
            <w:tcW w:type="dxa" w:w="8206"/>
            <w:shd w:fill="0E5C5B" w:val="clear"/>
            <w:tcMar>
              <w:top w:type="dxa" w:w="120"/>
              <w:left w:type="dxa" w:w="220"/>
              <w:bottom w:type="dxa" w:w="120"/>
              <w:right w:type="dxa" w:w="160"/>
            </w:tcMar>
            <w:vAlign w:val="center"/>
          </w:tcPr>
          <w:p>
            <w:r>
              <w:rPr>
                <w:rFonts w:ascii="Arial" w:cs="Arial" w:eastAsia="Arial" w:hAnsi="Arial"/>
                <w:b/>
                <w:bCs/>
                <w:i w:val="false"/>
                <w:iCs w:val="false"/>
                <w:color w:val="FFFFFF"/>
                <w:sz w:val="30"/>
                <w:szCs w:val="30"/>
              </w:rPr>
              <w:t xml:space="preserve">APPENDIX — EDITORIAL &amp; UPDATE LOG</w:t>
            </w:r>
          </w:p>
        </w:tc>
      </w:tr>
    </w:tbl>
    <w:p>
      <w:pPr>
        <w:keepNext/>
        <w:spacing w:after="220" w:before="160" w:line="300"/>
      </w:pPr>
      <w:r>
        <w:rPr>
          <w:rFonts w:ascii="Arial" w:cs="Arial" w:eastAsia="Arial" w:hAnsi="Arial"/>
          <w:b w:val="false"/>
          <w:bCs w:val="false"/>
          <w:i/>
          <w:iCs/>
          <w:color w:val="5B6B6A"/>
          <w:sz w:val="21"/>
          <w:szCs w:val="21"/>
        </w:rPr>
        <w:t xml:space="preserve">What was changed in this redesign, and why. Original section order, titles and teaching content have been preserved throughout.</w:t>
      </w:r>
    </w:p>
    <w:tbl>
      <w:tblPr>
        <w:tblW w:type="dxa" w:w="9026"/>
        <w:tblBorders>
          <w:top w:val="single" w:color="CBDEDC" w:sz="6"/>
          <w:left w:val="single" w:color="CBDEDC" w:sz="6"/>
          <w:bottom w:val="single" w:color="CBDEDC" w:sz="6"/>
          <w:right w:val="single" w:color="CBDEDC" w:sz="6"/>
          <w:insideH w:val="single" w:color="CBDEDC" w:sz="6"/>
          <w:insideV w:val="single" w:color="CBDEDC" w:sz="6"/>
        </w:tblBorders>
        <w:tblLayout w:type="fixed"/>
      </w:tblPr>
      <w:tblGrid>
        <w:gridCol w:w="2300"/>
        <w:gridCol w:w="4700"/>
        <w:gridCol w:w="2026"/>
      </w:tblGrid>
      <w:tr>
        <w:trPr>
          <w:cantSplit/>
          <w:tblHeader/>
        </w:trPr>
        <w:tc>
          <w:tcPr>
            <w:tcW w:type="dxa" w:w="2300"/>
            <w:shd w:fill="0E5C5B" w:val="clear"/>
            <w:tcMar>
              <w:top w:type="dxa" w:w="90"/>
              <w:left w:type="dxa" w:w="120"/>
              <w:bottom w:type="dxa" w:w="90"/>
              <w:right w:type="dxa" w:w="90"/>
            </w:tcMar>
          </w:tcPr>
          <w:p>
            <w:r>
              <w:rPr>
                <w:rFonts w:ascii="Arial" w:cs="Arial" w:eastAsia="Arial" w:hAnsi="Arial"/>
                <w:b/>
                <w:bCs/>
                <w:i w:val="false"/>
                <w:iCs w:val="false"/>
                <w:color w:val="FFFFFF"/>
                <w:sz w:val="19"/>
                <w:szCs w:val="19"/>
              </w:rPr>
              <w:t xml:space="preserve">Item</w:t>
            </w:r>
          </w:p>
        </w:tc>
        <w:tc>
          <w:tcPr>
            <w:tcW w:type="dxa" w:w="4700"/>
            <w:shd w:fill="0E5C5B" w:val="clear"/>
            <w:tcMar>
              <w:top w:type="dxa" w:w="90"/>
              <w:left w:type="dxa" w:w="120"/>
              <w:bottom w:type="dxa" w:w="90"/>
              <w:right w:type="dxa" w:w="90"/>
            </w:tcMar>
          </w:tcPr>
          <w:p>
            <w:r>
              <w:rPr>
                <w:rFonts w:ascii="Arial" w:cs="Arial" w:eastAsia="Arial" w:hAnsi="Arial"/>
                <w:b/>
                <w:bCs/>
                <w:i w:val="false"/>
                <w:iCs w:val="false"/>
                <w:color w:val="FFFFFF"/>
                <w:sz w:val="19"/>
                <w:szCs w:val="19"/>
              </w:rPr>
              <w:t xml:space="preserve">Change made</w:t>
            </w:r>
          </w:p>
        </w:tc>
        <w:tc>
          <w:tcPr>
            <w:tcW w:type="dxa" w:w="2026"/>
            <w:shd w:fill="0E5C5B" w:val="clear"/>
            <w:tcMar>
              <w:top w:type="dxa" w:w="90"/>
              <w:left w:type="dxa" w:w="120"/>
              <w:bottom w:type="dxa" w:w="90"/>
              <w:right w:type="dxa" w:w="90"/>
            </w:tcMar>
          </w:tcPr>
          <w:p>
            <w:r>
              <w:rPr>
                <w:rFonts w:ascii="Arial" w:cs="Arial" w:eastAsia="Arial" w:hAnsi="Arial"/>
                <w:b/>
                <w:bCs/>
                <w:i w:val="false"/>
                <w:iCs w:val="false"/>
                <w:color w:val="FFFFFF"/>
                <w:sz w:val="19"/>
                <w:szCs w:val="19"/>
              </w:rPr>
              <w:t xml:space="preserve">Source / basis</w:t>
            </w:r>
          </w:p>
        </w:tc>
      </w:tr>
      <w:tr>
        <w:trPr>
          <w:cantSplit/>
        </w:trPr>
        <w:tc>
          <w:tcPr>
            <w:tcW w:type="dxa" w:w="2300"/>
            <w:shd w:fill="FFFFFF"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Layout &amp; typography</w:t>
            </w:r>
          </w:p>
        </w:tc>
        <w:tc>
          <w:tcPr>
            <w:tcW w:type="dxa" w:w="4700"/>
            <w:shd w:fill="FFFFFF"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Complete visual redesign in the Bradford VTS house style (Arial; teal/ochre palette; callouts; zebra tables; two new original flow diagrams). No teaching content was removed.</w:t>
            </w:r>
          </w:p>
        </w:tc>
        <w:tc>
          <w:tcPr>
            <w:tcW w:type="dxa" w:w="2026"/>
            <w:shd w:fill="FFFFFF"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w:t>
            </w:r>
          </w:p>
        </w:tc>
      </w:tr>
      <w:tr>
        <w:trPr>
          <w:cantSplit/>
        </w:trPr>
        <w:tc>
          <w:tcPr>
            <w:tcW w:type="dxa" w:w="2300"/>
            <w:shd w:fill="F4F8F7"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Language</w:t>
            </w:r>
          </w:p>
        </w:tc>
        <w:tc>
          <w:tcPr>
            <w:tcW w:type="dxa" w:w="4700"/>
            <w:shd w:fill="F4F8F7"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“Client” retained where it reflects the original counselling voice in explanatory text but standardised to “patient” in the practical GP-facing sections; “he/she” modernised to “they”.</w:t>
            </w:r>
          </w:p>
        </w:tc>
        <w:tc>
          <w:tcPr>
            <w:tcW w:type="dxa" w:w="2026"/>
            <w:shd w:fill="F4F8F7"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Style only</w:t>
            </w:r>
          </w:p>
        </w:tc>
      </w:tr>
      <w:tr>
        <w:trPr>
          <w:cantSplit/>
        </w:trPr>
        <w:tc>
          <w:tcPr>
            <w:tcW w:type="dxa" w:w="2300"/>
            <w:shd w:fill="FFFFFF"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OCR/typo corrections</w:t>
            </w:r>
          </w:p>
        </w:tc>
        <w:tc>
          <w:tcPr>
            <w:tcW w:type="dxa" w:w="4700"/>
            <w:shd w:fill="FFFFFF"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Numerous scanning artefacts corrected (e.g. “sotmd” → sound; “USTENING” → listening; “We do riot like” → do not; stray “why?????????” annotation removed).</w:t>
            </w:r>
          </w:p>
        </w:tc>
        <w:tc>
          <w:tcPr>
            <w:tcW w:type="dxa" w:w="2026"/>
            <w:shd w:fill="FFFFFF"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w:t>
            </w:r>
          </w:p>
        </w:tc>
      </w:tr>
      <w:tr>
        <w:trPr>
          <w:cantSplit/>
        </w:trPr>
        <w:tc>
          <w:tcPr>
            <w:tcW w:type="dxa" w:w="2300"/>
            <w:shd w:fill="F4F8F7"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Listener quiz</w:t>
            </w:r>
          </w:p>
        </w:tc>
        <w:tc>
          <w:tcPr>
            <w:tcW w:type="dxa" w:w="4700"/>
            <w:shd w:fill="F4F8F7"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The original rating grid (lost in the legacy file) has been reconstructed as a 5-point scale table (Always → Never) so the “join the dots” profile exercise works again.</w:t>
            </w:r>
          </w:p>
        </w:tc>
        <w:tc>
          <w:tcPr>
            <w:tcW w:type="dxa" w:w="2026"/>
            <w:shd w:fill="F4F8F7"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Reconstruction, faithful to original instructions</w:t>
            </w:r>
          </w:p>
        </w:tc>
      </w:tr>
      <w:tr>
        <w:trPr>
          <w:cantSplit/>
        </w:trPr>
        <w:tc>
          <w:tcPr>
            <w:tcW w:type="dxa" w:w="2300"/>
            <w:shd w:fill="FFFFFF"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Three-stage model</w:t>
            </w:r>
          </w:p>
        </w:tc>
        <w:tc>
          <w:tcPr>
            <w:tcW w:type="dxa" w:w="4700"/>
            <w:shd w:fill="FFFFFF"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Attribution added: the Exploration → New Understanding → Action framework is Gerard Egan’s Skilled Helper model (already cited in the original reading list).</w:t>
            </w:r>
          </w:p>
        </w:tc>
        <w:tc>
          <w:tcPr>
            <w:tcW w:type="dxa" w:w="2026"/>
            <w:shd w:fill="FFFFFF"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Egan, The Skilled Helper</w:t>
            </w:r>
          </w:p>
        </w:tc>
      </w:tr>
      <w:tr>
        <w:trPr>
          <w:cantSplit/>
        </w:trPr>
        <w:tc>
          <w:tcPr>
            <w:tcW w:type="dxa" w:w="2300"/>
            <w:shd w:fill="F4F8F7"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Reading list</w:t>
            </w:r>
          </w:p>
        </w:tc>
        <w:tc>
          <w:tcPr>
            <w:tcW w:type="dxa" w:w="4700"/>
            <w:shd w:fill="F4F8F7"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Author corrections: “R. Skinner” → Robin Skynner (Families and How to Survive Them, with John Cleese); “Michael Ballint – Six Minutes for the Patient” → edited by Enid Balint &amp; J. S. Norell (Tavistock, 1973). NMGC noted as now Relate. “Pamela Quiver – The Trouble Sharers” retained as printed in the original (could not be independently verified).</w:t>
            </w:r>
          </w:p>
        </w:tc>
        <w:tc>
          <w:tcPr>
            <w:tcW w:type="dxa" w:w="2026"/>
            <w:shd w:fill="F4F8F7"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Publisher records</w:t>
            </w:r>
          </w:p>
        </w:tc>
      </w:tr>
      <w:tr>
        <w:trPr>
          <w:cantSplit/>
        </w:trPr>
        <w:tc>
          <w:tcPr>
            <w:tcW w:type="dxa" w:w="2300"/>
            <w:shd w:fill="FFFFFF"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Depression note (Section 1)</w:t>
            </w:r>
          </w:p>
        </w:tc>
        <w:tc>
          <w:tcPr>
            <w:tcW w:type="dxa" w:w="4700"/>
            <w:shd w:fill="FFFFFF"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The original point that problem solving “may be easier if the severely depressed patient is on medication” has been retained and lightly rephrased; it remains consistent with NICE NG222 (2022), which recommends combining antidepressant medication with psychological approaches in more severe depression.</w:t>
            </w:r>
          </w:p>
        </w:tc>
        <w:tc>
          <w:tcPr>
            <w:tcW w:type="dxa" w:w="2026"/>
            <w:shd w:fill="FFFFFF"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NICE NG222 (2022)</w:t>
            </w:r>
          </w:p>
        </w:tc>
      </w:tr>
      <w:tr>
        <w:trPr>
          <w:cantSplit/>
        </w:trPr>
        <w:tc>
          <w:tcPr>
            <w:tcW w:type="dxa" w:w="2300"/>
            <w:shd w:fill="F4F8F7" w:val="clear"/>
            <w:tcMar>
              <w:top w:type="dxa" w:w="80"/>
              <w:left w:type="dxa" w:w="120"/>
              <w:bottom w:type="dxa" w:w="80"/>
              <w:right w:type="dxa" w:w="90"/>
            </w:tcMar>
          </w:tcPr>
          <w:p>
            <w:r>
              <w:rPr>
                <w:rFonts w:ascii="Arial" w:cs="Arial" w:eastAsia="Arial" w:hAnsi="Arial"/>
                <w:b/>
                <w:bCs/>
                <w:i w:val="false"/>
                <w:iCs w:val="false"/>
                <w:color w:val="0E5C5B"/>
                <w:sz w:val="18"/>
                <w:szCs w:val="18"/>
              </w:rPr>
              <w:t xml:space="preserve">Closing note (Section 9)</w:t>
            </w:r>
          </w:p>
        </w:tc>
        <w:tc>
          <w:tcPr>
            <w:tcW w:type="dxa" w:w="4700"/>
            <w:shd w:fill="F4F8F7" w:val="clear"/>
            <w:tcMar>
              <w:top w:type="dxa" w:w="80"/>
              <w:left w:type="dxa" w:w="120"/>
              <w:bottom w:type="dxa" w:w="80"/>
              <w:right w:type="dxa" w:w="90"/>
            </w:tcMar>
          </w:tcPr>
          <w:p>
            <w:pPr>
              <w:spacing w:after="0" w:line="270"/>
            </w:pPr>
            <w:r>
              <w:rPr>
                <w:rFonts w:ascii="Arial" w:cs="Arial" w:eastAsia="Arial" w:hAnsi="Arial"/>
                <w:b w:val="false"/>
                <w:bCs w:val="false"/>
                <w:i w:val="false"/>
                <w:iCs w:val="false"/>
                <w:color w:val="223433"/>
                <w:sz w:val="18"/>
                <w:szCs w:val="18"/>
              </w:rPr>
              <w:t xml:space="preserve">A signpost to NICE NG222 low-intensity psychological interventions added as a modern companion reference. This is the only content addition.</w:t>
            </w:r>
          </w:p>
        </w:tc>
        <w:tc>
          <w:tcPr>
            <w:tcW w:type="dxa" w:w="2026"/>
            <w:shd w:fill="F4F8F7" w:val="clear"/>
            <w:tcMar>
              <w:top w:type="dxa" w:w="80"/>
              <w:left w:type="dxa" w:w="120"/>
              <w:bottom w:type="dxa" w:w="80"/>
              <w:right w:type="dxa" w:w="90"/>
            </w:tcMar>
          </w:tcPr>
          <w:p>
            <w:r>
              <w:rPr>
                <w:rFonts w:ascii="Arial" w:cs="Arial" w:eastAsia="Arial" w:hAnsi="Arial"/>
                <w:b w:val="false"/>
                <w:bCs w:val="false"/>
                <w:i/>
                <w:iCs/>
                <w:color w:val="5B6B6A"/>
                <w:sz w:val="18"/>
                <w:szCs w:val="18"/>
              </w:rPr>
              <w:t xml:space="preserve">NICE NG222 (2022)</w:t>
            </w:r>
          </w:p>
        </w:tc>
      </w:tr>
    </w:tbl>
    <w:p>
      <w:pPr>
        <w:spacing w:after="140"/>
      </w:pPr>
    </w:p>
    <w:p>
      <w:pPr>
        <w:spacing w:line="280"/>
      </w:pPr>
      <w:r>
        <w:rPr>
          <w:rFonts w:ascii="Arial" w:cs="Arial" w:eastAsia="Arial" w:hAnsi="Arial"/>
          <w:b w:val="false"/>
          <w:bCs w:val="false"/>
          <w:i/>
          <w:iCs/>
          <w:color w:val="5B6B6A"/>
          <w:sz w:val="17"/>
          <w:szCs w:val="17"/>
        </w:rPr>
        <w:t xml:space="preserve">This is a communication-skills teaching resource; it contains no prescribing information. Where clinical context is mentioned (depression), it has been checked against NICE NG222: Depression in adults — treatment and management (2022).</w:t>
      </w:r>
    </w:p>
    <w:sectPr>
      <w:headerReference w:type="default" r:id="rId7"/>
      <w:headerReference w:type="first" r:id="rId8"/>
      <w:footerReference w:type="default" r:id="rId9"/>
      <w:footerReference w:type="first" r:id="rId10"/>
      <w:pgSz w:w="11906" w:h="16838" w:orient="portrait"/>
      <w:pgMar w:top="1080" w:right="1440" w:bottom="108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7410" w:sz="10" w:space="6"/>
      </w:pBdr>
      <w:tabs>
        <w:tab w:val="right" w:pos="9026"/>
      </w:tabs>
      <w:spacing w:before="100"/>
    </w:pPr>
    <w:r>
      <w:rPr>
        <w:rFonts w:ascii="Arial" w:cs="Arial" w:eastAsia="Arial" w:hAnsi="Arial"/>
        <w:color w:val="5B6B6A"/>
        <w:sz w:val="16"/>
        <w:szCs w:val="16"/>
      </w:rPr>
      <w:t xml:space="preserve">Bradford VTS  •  Consultation Skills  •  July 2026</w:t>
    </w:r>
    <w:r>
      <w:rPr>
        <w:rFonts w:ascii="Arial" w:cs="Arial" w:eastAsia="Arial" w:hAnsi="Arial"/>
        <w:color w:val="5B6B6A"/>
        <w:sz w:val="16"/>
        <w:szCs w:val="16"/>
      </w:rPr>
      <w:t xml:space="preserve">	Page </w:t>
    </w:r>
    <w:r>
      <w:rPr>
        <w:rFonts w:ascii="Arial" w:cs="Arial" w:eastAsia="Arial" w:hAnsi="Arial"/>
        <w:color w:val="5B6B6A"/>
        <w:sz w:val="16"/>
        <w:szCs w:val="16"/>
      </w:rPr>
      <w:fldChar w:fldCharType="begin"/>
      <w:instrText xml:space="preserve">PAGE</w:instrText>
      <w:fldChar w:fldCharType="separate"/>
      <w:fldChar w:fldCharType="end"/>
    </w:r>
    <w:r>
      <w:rPr>
        <w:rFonts w:ascii="Arial" w:cs="Arial" w:eastAsia="Arial" w:hAnsi="Arial"/>
        <w:color w:val="5B6B6A"/>
        <w:sz w:val="16"/>
        <w:szCs w:val="16"/>
      </w:rPr>
      <w:t xml:space="preserve"> of </w:t>
    </w:r>
    <w:r>
      <w:rPr>
        <w:rFonts w:ascii="Arial" w:cs="Arial" w:eastAsia="Arial" w:hAnsi="Arial"/>
        <w:color w:val="5B6B6A"/>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E5C5B" w:sz="10" w:space="6"/>
      </w:pBdr>
      <w:tabs>
        <w:tab w:val="right" w:pos="9026"/>
      </w:tabs>
      <w:spacing w:after="200"/>
    </w:pPr>
    <w:r>
      <w:rPr>
        <w:rFonts w:ascii="Arial" w:cs="Arial" w:eastAsia="Arial" w:hAnsi="Arial"/>
        <w:b/>
        <w:bCs/>
        <w:color w:val="0E5C5B"/>
        <w:sz w:val="16"/>
        <w:szCs w:val="16"/>
      </w:rPr>
      <w:t xml:space="preserve">BRADFORD VTS TEACHING AIDS</w:t>
    </w:r>
    <w:r>
      <w:rPr>
        <w:rFonts w:ascii="Arial" w:cs="Arial" w:eastAsia="Arial" w:hAnsi="Arial"/>
        <w:color w:val="5B6B6A"/>
        <w:sz w:val="16"/>
        <w:szCs w:val="16"/>
      </w:rPr>
      <w:t xml:space="preserve">	“Mini-Counselling” Tips for GPs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rFonts w:ascii="Arial" w:cs="Arial" w:eastAsia="Arial" w:hAnsi="Arial"/>
        <w:color w:val="B0741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4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169960b5dbfe0aa289375d45f900a9f09a847a81.png"/><Relationship Id="rId12" Type="http://schemas.openxmlformats.org/officeDocument/2006/relationships/image" Target="media/853df9f2ce824a67f14ae024a2cfc97040633b4a.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2026-07-05T15:54:14.535Z</dcterms:created>
  <dcterms:modified xsi:type="dcterms:W3CDTF">2026-07-05T15:54:14.535Z</dcterms:modified>
</cp:coreProperties>
</file>

<file path=docProps/custom.xml><?xml version="1.0" encoding="utf-8"?>
<Properties xmlns="http://schemas.openxmlformats.org/officeDocument/2006/custom-properties" xmlns:vt="http://schemas.openxmlformats.org/officeDocument/2006/docPropsVTypes"/>
</file>