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shd w:val="clear" w:color="auto" w:fill="BF4E14" w:themeFill="accent2" w:themeFillShade="BF"/>
        <w:tblCellMar>
          <w:left w:w="10" w:type="dxa"/>
          <w:right w:w="10" w:type="dxa"/>
        </w:tblCellMar>
        <w:tblLook w:val="04A0" w:firstRow="1" w:lastRow="0" w:firstColumn="1" w:lastColumn="0" w:noHBand="0" w:noVBand="1"/>
      </w:tblPr>
      <w:tblGrid>
        <w:gridCol w:w="9026"/>
      </w:tblGrid>
      <w:tr w:rsidR="00950A5A" w14:paraId="648D5321" w14:textId="77777777" w:rsidTr="00D1591B">
        <w:tc>
          <w:tcPr>
            <w:tcW w:w="9026" w:type="dxa"/>
            <w:shd w:val="clear" w:color="auto" w:fill="BF4E14" w:themeFill="accent2" w:themeFillShade="BF"/>
            <w:tcMar>
              <w:top w:w="180" w:type="dxa"/>
              <w:left w:w="240" w:type="dxa"/>
              <w:bottom w:w="180" w:type="dxa"/>
              <w:right w:w="240" w:type="dxa"/>
            </w:tcMar>
          </w:tcPr>
          <w:p w14:paraId="245B7B13" w14:textId="77777777" w:rsidR="00950A5A" w:rsidRDefault="00000000">
            <w:pPr>
              <w:jc w:val="center"/>
            </w:pPr>
            <w:r>
              <w:rPr>
                <w:b/>
                <w:bCs/>
                <w:color w:val="FFFFFF"/>
                <w:sz w:val="34"/>
                <w:szCs w:val="34"/>
              </w:rPr>
              <w:t>BRADFORD VTS TEACHING AIDS</w:t>
            </w:r>
          </w:p>
        </w:tc>
      </w:tr>
    </w:tbl>
    <w:p w14:paraId="1CBB00EB" w14:textId="77777777" w:rsidR="00950A5A" w:rsidRDefault="00000000">
      <w:pPr>
        <w:spacing w:before="160" w:after="1400"/>
        <w:jc w:val="center"/>
      </w:pPr>
      <w:r>
        <w:rPr>
          <w:b/>
          <w:bCs/>
          <w:color w:val="B07410"/>
          <w:sz w:val="22"/>
          <w:szCs w:val="22"/>
        </w:rPr>
        <w:t>Date: July 2026</w:t>
      </w:r>
    </w:p>
    <w:p w14:paraId="35C57CC6" w14:textId="7C5891E6" w:rsidR="00950A5A" w:rsidRDefault="00000000">
      <w:pPr>
        <w:spacing w:after="260"/>
        <w:jc w:val="center"/>
        <w:rPr>
          <w:b/>
          <w:bCs/>
          <w:color w:val="B07410"/>
          <w:sz w:val="88"/>
          <w:szCs w:val="88"/>
        </w:rPr>
      </w:pPr>
      <w:r>
        <w:rPr>
          <w:b/>
          <w:bCs/>
          <w:color w:val="B07410"/>
          <w:sz w:val="88"/>
          <w:szCs w:val="88"/>
        </w:rPr>
        <w:t>EMERGENCIES</w:t>
      </w:r>
    </w:p>
    <w:p w14:paraId="3A4CFC5D" w14:textId="665A74EA" w:rsidR="00784586" w:rsidRDefault="00784586">
      <w:pPr>
        <w:spacing w:after="260"/>
        <w:jc w:val="center"/>
        <w:rPr>
          <w:b/>
          <w:bCs/>
          <w:color w:val="B07410"/>
          <w:sz w:val="88"/>
          <w:szCs w:val="88"/>
        </w:rPr>
      </w:pPr>
      <w:r>
        <w:rPr>
          <w:b/>
          <w:bCs/>
          <w:color w:val="B07410"/>
          <w:sz w:val="88"/>
          <w:szCs w:val="88"/>
        </w:rPr>
        <w:t>In</w:t>
      </w:r>
    </w:p>
    <w:p w14:paraId="374425DA" w14:textId="737A3C16" w:rsidR="00784586" w:rsidRDefault="00784586" w:rsidP="00784586">
      <w:pPr>
        <w:spacing w:after="120"/>
        <w:jc w:val="center"/>
      </w:pPr>
      <w:r>
        <w:rPr>
          <w:b/>
          <w:bCs/>
          <w:color w:val="0E5C5B"/>
          <w:sz w:val="88"/>
          <w:szCs w:val="88"/>
        </w:rPr>
        <w:t>PSYCHIATR</w:t>
      </w:r>
      <w:r>
        <w:rPr>
          <w:b/>
          <w:bCs/>
          <w:color w:val="0E5C5B"/>
          <w:sz w:val="88"/>
          <w:szCs w:val="88"/>
        </w:rPr>
        <w:t>Y</w:t>
      </w:r>
    </w:p>
    <w:p w14:paraId="78B73F2B" w14:textId="77777777" w:rsidR="00784586" w:rsidRDefault="00784586">
      <w:pPr>
        <w:spacing w:after="260"/>
        <w:jc w:val="center"/>
      </w:pPr>
    </w:p>
    <w:p w14:paraId="74507FDC" w14:textId="77777777" w:rsidR="00950A5A" w:rsidRDefault="00000000">
      <w:pPr>
        <w:spacing w:after="160"/>
        <w:jc w:val="center"/>
      </w:pPr>
      <w:r>
        <w:rPr>
          <w:color w:val="5A6A6A"/>
          <w:sz w:val="30"/>
          <w:szCs w:val="30"/>
        </w:rPr>
        <w:t>A teaching session guide for GP trainees</w:t>
      </w:r>
    </w:p>
    <w:p w14:paraId="4F460326" w14:textId="77777777" w:rsidR="00950A5A" w:rsidRDefault="00000000">
      <w:pPr>
        <w:spacing w:after="900"/>
        <w:jc w:val="center"/>
      </w:pPr>
      <w:r>
        <w:rPr>
          <w:i/>
          <w:iCs/>
          <w:color w:val="5A6A6A"/>
          <w:sz w:val="23"/>
          <w:szCs w:val="23"/>
        </w:rPr>
        <w:t>Recognising, assessing and managing acute mental health crises in primary care</w:t>
      </w: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6"/>
        <w:gridCol w:w="2256"/>
        <w:gridCol w:w="2257"/>
        <w:gridCol w:w="2257"/>
      </w:tblGrid>
      <w:tr w:rsidR="00950A5A" w14:paraId="53BBC6F0" w14:textId="77777777">
        <w:tc>
          <w:tcPr>
            <w:tcW w:w="2256" w:type="dxa"/>
            <w:shd w:val="clear" w:color="auto" w:fill="E7F1F1"/>
            <w:tcMar>
              <w:top w:w="140" w:type="dxa"/>
              <w:left w:w="80" w:type="dxa"/>
              <w:bottom w:w="140" w:type="dxa"/>
              <w:right w:w="80" w:type="dxa"/>
            </w:tcMar>
            <w:vAlign w:val="center"/>
          </w:tcPr>
          <w:p w14:paraId="4BF395C1" w14:textId="77777777" w:rsidR="00950A5A" w:rsidRDefault="00000000">
            <w:pPr>
              <w:jc w:val="center"/>
            </w:pPr>
            <w:r>
              <w:rPr>
                <w:b/>
                <w:bCs/>
                <w:color w:val="0A4342"/>
                <w:sz w:val="19"/>
                <w:szCs w:val="19"/>
              </w:rPr>
              <w:t>PRESENTATIONS</w:t>
            </w:r>
          </w:p>
        </w:tc>
        <w:tc>
          <w:tcPr>
            <w:tcW w:w="2256" w:type="dxa"/>
            <w:shd w:val="clear" w:color="auto" w:fill="FDF3E3"/>
            <w:tcMar>
              <w:top w:w="140" w:type="dxa"/>
              <w:left w:w="80" w:type="dxa"/>
              <w:bottom w:w="140" w:type="dxa"/>
              <w:right w:w="80" w:type="dxa"/>
            </w:tcMar>
            <w:vAlign w:val="center"/>
          </w:tcPr>
          <w:p w14:paraId="5AC4FBDB" w14:textId="77777777" w:rsidR="00950A5A" w:rsidRDefault="00000000">
            <w:pPr>
              <w:jc w:val="center"/>
            </w:pPr>
            <w:r>
              <w:rPr>
                <w:b/>
                <w:bCs/>
                <w:color w:val="7A5109"/>
                <w:sz w:val="19"/>
                <w:szCs w:val="19"/>
              </w:rPr>
              <w:t>ASSESSMENT</w:t>
            </w:r>
          </w:p>
        </w:tc>
        <w:tc>
          <w:tcPr>
            <w:tcW w:w="2256" w:type="dxa"/>
            <w:shd w:val="clear" w:color="auto" w:fill="E7F1F1"/>
            <w:tcMar>
              <w:top w:w="140" w:type="dxa"/>
              <w:left w:w="80" w:type="dxa"/>
              <w:bottom w:w="140" w:type="dxa"/>
              <w:right w:w="80" w:type="dxa"/>
            </w:tcMar>
            <w:vAlign w:val="center"/>
          </w:tcPr>
          <w:p w14:paraId="51FEEC3B" w14:textId="77777777" w:rsidR="00950A5A" w:rsidRDefault="00000000">
            <w:pPr>
              <w:jc w:val="center"/>
            </w:pPr>
            <w:r>
              <w:rPr>
                <w:b/>
                <w:bCs/>
                <w:color w:val="0A4342"/>
                <w:sz w:val="19"/>
                <w:szCs w:val="19"/>
              </w:rPr>
              <w:t>MANAGEMENT</w:t>
            </w:r>
          </w:p>
        </w:tc>
        <w:tc>
          <w:tcPr>
            <w:tcW w:w="2256" w:type="dxa"/>
            <w:shd w:val="clear" w:color="auto" w:fill="FDF3E3"/>
            <w:tcMar>
              <w:top w:w="140" w:type="dxa"/>
              <w:left w:w="80" w:type="dxa"/>
              <w:bottom w:w="140" w:type="dxa"/>
              <w:right w:w="80" w:type="dxa"/>
            </w:tcMar>
            <w:vAlign w:val="center"/>
          </w:tcPr>
          <w:p w14:paraId="3BB96DF3" w14:textId="77777777" w:rsidR="00950A5A" w:rsidRDefault="00000000">
            <w:pPr>
              <w:jc w:val="center"/>
            </w:pPr>
            <w:r>
              <w:rPr>
                <w:b/>
                <w:bCs/>
                <w:color w:val="7A5109"/>
                <w:sz w:val="19"/>
                <w:szCs w:val="19"/>
              </w:rPr>
              <w:t>THE MHA</w:t>
            </w:r>
          </w:p>
        </w:tc>
      </w:tr>
    </w:tbl>
    <w:p w14:paraId="65CBBFD9" w14:textId="77777777" w:rsidR="00950A5A" w:rsidRDefault="00950A5A">
      <w:pPr>
        <w:pageBreakBefore/>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6B71E0F7" w14:textId="77777777">
        <w:trPr>
          <w:cantSplit/>
        </w:trPr>
        <w:tc>
          <w:tcPr>
            <w:tcW w:w="800" w:type="dxa"/>
            <w:shd w:val="clear" w:color="auto" w:fill="B07410"/>
            <w:tcMar>
              <w:top w:w="100" w:type="dxa"/>
              <w:left w:w="80" w:type="dxa"/>
              <w:bottom w:w="100" w:type="dxa"/>
              <w:right w:w="80" w:type="dxa"/>
            </w:tcMar>
            <w:vAlign w:val="center"/>
          </w:tcPr>
          <w:p w14:paraId="548BDFCB" w14:textId="77777777" w:rsidR="00950A5A" w:rsidRDefault="00000000">
            <w:pPr>
              <w:jc w:val="center"/>
            </w:pPr>
            <w:r>
              <w:rPr>
                <w:b/>
                <w:bCs/>
                <w:color w:val="FFFFFF"/>
                <w:sz w:val="32"/>
                <w:szCs w:val="32"/>
              </w:rPr>
              <w:t>1</w:t>
            </w:r>
          </w:p>
        </w:tc>
        <w:tc>
          <w:tcPr>
            <w:tcW w:w="8226" w:type="dxa"/>
            <w:shd w:val="clear" w:color="auto" w:fill="0E5C5B"/>
            <w:tcMar>
              <w:top w:w="100" w:type="dxa"/>
              <w:left w:w="200" w:type="dxa"/>
              <w:bottom w:w="100" w:type="dxa"/>
              <w:right w:w="120" w:type="dxa"/>
            </w:tcMar>
            <w:vAlign w:val="center"/>
          </w:tcPr>
          <w:p w14:paraId="1515412C" w14:textId="77777777" w:rsidR="00950A5A" w:rsidRDefault="00000000">
            <w:r>
              <w:rPr>
                <w:b/>
                <w:bCs/>
                <w:color w:val="FFFFFF"/>
                <w:sz w:val="28"/>
                <w:szCs w:val="28"/>
              </w:rPr>
              <w:t>POTENTIAL SCENARIOS</w:t>
            </w:r>
          </w:p>
        </w:tc>
      </w:tr>
    </w:tbl>
    <w:p w14:paraId="0AD0557A" w14:textId="77777777" w:rsidR="00950A5A" w:rsidRDefault="00950A5A">
      <w:pPr>
        <w:spacing w:after="80"/>
      </w:pPr>
    </w:p>
    <w:p w14:paraId="756BD29A" w14:textId="77777777" w:rsidR="00950A5A" w:rsidRDefault="00000000">
      <w:pPr>
        <w:spacing w:before="60" w:after="120" w:line="300" w:lineRule="auto"/>
      </w:pPr>
      <w:r>
        <w:rPr>
          <w:b/>
          <w:bCs/>
        </w:rPr>
        <w:t xml:space="preserve">Trainee led. </w:t>
      </w:r>
      <w:r>
        <w:t>Open the session by asking trainees to describe psychiatric emergencies they have encountered or fear encountering — in surgery, on a home visit, or out of hours. Use their scenarios as the working material for the rest of the session.</w:t>
      </w:r>
    </w:p>
    <w:tbl>
      <w:tblPr>
        <w:tblW w:w="9026" w:type="dxa"/>
        <w:tblBorders>
          <w:top w:val="none" w:sz="0" w:space="0" w:color="FFFFFF"/>
          <w:left w:val="single" w:sz="24" w:space="0" w:color="B07410"/>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50A5A" w14:paraId="0764E66A" w14:textId="77777777">
        <w:trPr>
          <w:cantSplit/>
        </w:trPr>
        <w:tc>
          <w:tcPr>
            <w:tcW w:w="9026" w:type="dxa"/>
            <w:shd w:val="clear" w:color="auto" w:fill="FDF3E3"/>
            <w:tcMar>
              <w:top w:w="60" w:type="dxa"/>
              <w:left w:w="200" w:type="dxa"/>
              <w:bottom w:w="60" w:type="dxa"/>
              <w:right w:w="200" w:type="dxa"/>
            </w:tcMar>
          </w:tcPr>
          <w:p w14:paraId="447B615F" w14:textId="77777777" w:rsidR="00950A5A" w:rsidRDefault="00000000">
            <w:pPr>
              <w:spacing w:before="60" w:after="60"/>
            </w:pPr>
            <w:r>
              <w:rPr>
                <w:b/>
                <w:bCs/>
                <w:color w:val="7A5109"/>
              </w:rPr>
              <w:t>FACILITATOR PROMPTS — IF THE GROUP NEEDS A STARTER</w:t>
            </w:r>
          </w:p>
          <w:p w14:paraId="4C534411" w14:textId="77777777" w:rsidR="00950A5A" w:rsidRDefault="00000000">
            <w:pPr>
              <w:spacing w:after="50"/>
            </w:pPr>
            <w:r>
              <w:rPr>
                <w:sz w:val="20"/>
                <w:szCs w:val="20"/>
              </w:rPr>
              <w:t>A call from a family: their son has stopped sleeping, is barricaded in his room and says the neighbours are transmitting thoughts into his head.</w:t>
            </w:r>
          </w:p>
          <w:p w14:paraId="31670FC0" w14:textId="77777777" w:rsidR="00950A5A" w:rsidRDefault="00000000">
            <w:pPr>
              <w:spacing w:after="50"/>
            </w:pPr>
            <w:r>
              <w:rPr>
                <w:sz w:val="20"/>
                <w:szCs w:val="20"/>
              </w:rPr>
              <w:t>A patient attends surgery having taken an overdose two hours ago “just to make it stop”.</w:t>
            </w:r>
          </w:p>
          <w:p w14:paraId="59D40ED7" w14:textId="77777777" w:rsidR="00950A5A" w:rsidRDefault="00000000">
            <w:pPr>
              <w:spacing w:after="50"/>
            </w:pPr>
            <w:r>
              <w:rPr>
                <w:sz w:val="20"/>
                <w:szCs w:val="20"/>
              </w:rPr>
              <w:t>A new mother, two weeks postnatal, whose partner reports she believes the baby is possessed.</w:t>
            </w:r>
          </w:p>
          <w:p w14:paraId="374A42FF" w14:textId="77777777" w:rsidR="00950A5A" w:rsidRDefault="00000000">
            <w:pPr>
              <w:spacing w:after="50"/>
            </w:pPr>
            <w:r>
              <w:rPr>
                <w:sz w:val="20"/>
                <w:szCs w:val="20"/>
              </w:rPr>
              <w:t>An elderly man living alone, found by a neighbour in squalor, refusing all help.</w:t>
            </w:r>
          </w:p>
          <w:p w14:paraId="36F8F1E6" w14:textId="77777777" w:rsidR="00950A5A" w:rsidRDefault="00000000">
            <w:pPr>
              <w:spacing w:after="60"/>
            </w:pPr>
            <w:r>
              <w:rPr>
                <w:sz w:val="20"/>
                <w:szCs w:val="20"/>
              </w:rPr>
              <w:t>An angry, intoxicated patient demanding benzodiazepines and refusing to leave the waiting room.</w:t>
            </w:r>
          </w:p>
        </w:tc>
      </w:tr>
    </w:tbl>
    <w:p w14:paraId="44E82C87" w14:textId="77777777" w:rsidR="00950A5A" w:rsidRDefault="00950A5A">
      <w:pPr>
        <w:spacing w:after="200"/>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7B8286A2" w14:textId="77777777">
        <w:trPr>
          <w:cantSplit/>
        </w:trPr>
        <w:tc>
          <w:tcPr>
            <w:tcW w:w="800" w:type="dxa"/>
            <w:shd w:val="clear" w:color="auto" w:fill="B07410"/>
            <w:tcMar>
              <w:top w:w="100" w:type="dxa"/>
              <w:left w:w="80" w:type="dxa"/>
              <w:bottom w:w="100" w:type="dxa"/>
              <w:right w:w="80" w:type="dxa"/>
            </w:tcMar>
            <w:vAlign w:val="center"/>
          </w:tcPr>
          <w:p w14:paraId="1A00FD7A" w14:textId="77777777" w:rsidR="00950A5A" w:rsidRDefault="00000000">
            <w:pPr>
              <w:jc w:val="center"/>
            </w:pPr>
            <w:r>
              <w:rPr>
                <w:b/>
                <w:bCs/>
                <w:color w:val="FFFFFF"/>
                <w:sz w:val="32"/>
                <w:szCs w:val="32"/>
              </w:rPr>
              <w:t>2</w:t>
            </w:r>
          </w:p>
        </w:tc>
        <w:tc>
          <w:tcPr>
            <w:tcW w:w="8226" w:type="dxa"/>
            <w:shd w:val="clear" w:color="auto" w:fill="0E5C5B"/>
            <w:tcMar>
              <w:top w:w="100" w:type="dxa"/>
              <w:left w:w="200" w:type="dxa"/>
              <w:bottom w:w="100" w:type="dxa"/>
              <w:right w:w="120" w:type="dxa"/>
            </w:tcMar>
            <w:vAlign w:val="center"/>
          </w:tcPr>
          <w:p w14:paraId="33090145" w14:textId="77777777" w:rsidR="00950A5A" w:rsidRDefault="00000000">
            <w:r>
              <w:rPr>
                <w:b/>
                <w:bCs/>
                <w:color w:val="FFFFFF"/>
                <w:sz w:val="28"/>
                <w:szCs w:val="28"/>
              </w:rPr>
              <w:t>PRESENTATIONS</w:t>
            </w:r>
          </w:p>
        </w:tc>
      </w:tr>
    </w:tbl>
    <w:p w14:paraId="5973FB7F" w14:textId="77777777" w:rsidR="00950A5A" w:rsidRDefault="00950A5A">
      <w:pPr>
        <w:spacing w:after="80"/>
      </w:pPr>
    </w:p>
    <w:tbl>
      <w:tblPr>
        <w:tblW w:w="9026" w:type="dxa"/>
        <w:tblBorders>
          <w:top w:val="none" w:sz="0" w:space="0" w:color="FFFFFF"/>
          <w:left w:val="none" w:sz="0" w:space="0" w:color="FFFFFF"/>
          <w:bottom w:val="none" w:sz="0" w:space="0" w:color="FFFFFF"/>
          <w:right w:val="none" w:sz="0" w:space="0" w:color="FFFFFF"/>
          <w:insideH w:val="single" w:sz="4" w:space="0" w:color="D6E4E4"/>
          <w:insideV w:val="none" w:sz="0" w:space="0" w:color="FFFFFF"/>
        </w:tblBorders>
        <w:tblCellMar>
          <w:left w:w="10" w:type="dxa"/>
          <w:right w:w="10" w:type="dxa"/>
        </w:tblCellMar>
        <w:tblLook w:val="04A0" w:firstRow="1" w:lastRow="0" w:firstColumn="1" w:lastColumn="0" w:noHBand="0" w:noVBand="1"/>
      </w:tblPr>
      <w:tblGrid>
        <w:gridCol w:w="2500"/>
        <w:gridCol w:w="6526"/>
      </w:tblGrid>
      <w:tr w:rsidR="00950A5A" w14:paraId="59575033" w14:textId="77777777">
        <w:trPr>
          <w:cantSplit/>
          <w:tblHeader/>
        </w:trPr>
        <w:tc>
          <w:tcPr>
            <w:tcW w:w="2500" w:type="dxa"/>
            <w:shd w:val="clear" w:color="auto" w:fill="0E5C5B"/>
            <w:tcMar>
              <w:top w:w="90" w:type="dxa"/>
              <w:left w:w="140" w:type="dxa"/>
              <w:bottom w:w="90" w:type="dxa"/>
              <w:right w:w="100" w:type="dxa"/>
            </w:tcMar>
          </w:tcPr>
          <w:p w14:paraId="518420B6" w14:textId="77777777" w:rsidR="00950A5A" w:rsidRDefault="00000000">
            <w:pPr>
              <w:spacing w:before="40" w:after="40"/>
            </w:pPr>
            <w:r>
              <w:rPr>
                <w:b/>
                <w:bCs/>
                <w:color w:val="FFFFFF"/>
                <w:sz w:val="20"/>
                <w:szCs w:val="20"/>
              </w:rPr>
              <w:t>PRESENTATION</w:t>
            </w:r>
          </w:p>
        </w:tc>
        <w:tc>
          <w:tcPr>
            <w:tcW w:w="6526" w:type="dxa"/>
            <w:shd w:val="clear" w:color="auto" w:fill="0E5C5B"/>
            <w:tcMar>
              <w:top w:w="90" w:type="dxa"/>
              <w:left w:w="140" w:type="dxa"/>
              <w:bottom w:w="90" w:type="dxa"/>
              <w:right w:w="100" w:type="dxa"/>
            </w:tcMar>
          </w:tcPr>
          <w:p w14:paraId="54E7BD55" w14:textId="77777777" w:rsidR="00950A5A" w:rsidRDefault="00000000">
            <w:pPr>
              <w:spacing w:before="40" w:after="40"/>
            </w:pPr>
            <w:r>
              <w:rPr>
                <w:b/>
                <w:bCs/>
                <w:color w:val="FFFFFF"/>
                <w:sz w:val="20"/>
                <w:szCs w:val="20"/>
              </w:rPr>
              <w:t>INCLUDES / THINK OF</w:t>
            </w:r>
          </w:p>
        </w:tc>
      </w:tr>
      <w:tr w:rsidR="00950A5A" w14:paraId="38E626CE" w14:textId="77777777">
        <w:trPr>
          <w:cantSplit/>
        </w:trPr>
        <w:tc>
          <w:tcPr>
            <w:tcW w:w="2500" w:type="dxa"/>
            <w:shd w:val="clear" w:color="auto" w:fill="FFFFFF"/>
            <w:tcMar>
              <w:top w:w="80" w:type="dxa"/>
              <w:left w:w="140" w:type="dxa"/>
              <w:bottom w:w="80" w:type="dxa"/>
              <w:right w:w="100" w:type="dxa"/>
            </w:tcMar>
          </w:tcPr>
          <w:p w14:paraId="05ACAB11" w14:textId="77777777" w:rsidR="00950A5A" w:rsidRDefault="00000000">
            <w:pPr>
              <w:spacing w:before="40" w:after="40"/>
            </w:pPr>
            <w:r>
              <w:rPr>
                <w:b/>
                <w:bCs/>
                <w:color w:val="0A4342"/>
                <w:sz w:val="20"/>
                <w:szCs w:val="20"/>
              </w:rPr>
              <w:t>I.  Psychoses</w:t>
            </w:r>
          </w:p>
        </w:tc>
        <w:tc>
          <w:tcPr>
            <w:tcW w:w="6526" w:type="dxa"/>
            <w:shd w:val="clear" w:color="auto" w:fill="FFFFFF"/>
            <w:tcMar>
              <w:top w:w="80" w:type="dxa"/>
              <w:left w:w="140" w:type="dxa"/>
              <w:bottom w:w="80" w:type="dxa"/>
              <w:right w:w="100" w:type="dxa"/>
            </w:tcMar>
          </w:tcPr>
          <w:p w14:paraId="4C2B6C4A" w14:textId="77777777" w:rsidR="00950A5A" w:rsidRDefault="00000000">
            <w:pPr>
              <w:spacing w:before="40" w:after="40"/>
            </w:pPr>
            <w:r>
              <w:rPr>
                <w:sz w:val="20"/>
                <w:szCs w:val="20"/>
              </w:rPr>
              <w:t>Schizophrenia • drug-related psychoses • paranoid psychosis • severe depression with psychotic features • puerperal (postpartum) psychosis • mania (bipolar disorder) • acute confusional states (delirium — always exclude an organic cause)</w:t>
            </w:r>
          </w:p>
        </w:tc>
      </w:tr>
      <w:tr w:rsidR="00950A5A" w14:paraId="498AE358" w14:textId="77777777">
        <w:trPr>
          <w:cantSplit/>
        </w:trPr>
        <w:tc>
          <w:tcPr>
            <w:tcW w:w="2500" w:type="dxa"/>
            <w:shd w:val="clear" w:color="auto" w:fill="F3F8F8"/>
            <w:tcMar>
              <w:top w:w="80" w:type="dxa"/>
              <w:left w:w="140" w:type="dxa"/>
              <w:bottom w:w="80" w:type="dxa"/>
              <w:right w:w="100" w:type="dxa"/>
            </w:tcMar>
          </w:tcPr>
          <w:p w14:paraId="706B7118" w14:textId="77777777" w:rsidR="00950A5A" w:rsidRDefault="00000000">
            <w:pPr>
              <w:spacing w:before="40" w:after="40"/>
            </w:pPr>
            <w:r>
              <w:rPr>
                <w:b/>
                <w:bCs/>
                <w:color w:val="0A4342"/>
                <w:sz w:val="20"/>
                <w:szCs w:val="20"/>
              </w:rPr>
              <w:t>II.  Suicide</w:t>
            </w:r>
          </w:p>
        </w:tc>
        <w:tc>
          <w:tcPr>
            <w:tcW w:w="6526" w:type="dxa"/>
            <w:shd w:val="clear" w:color="auto" w:fill="F3F8F8"/>
            <w:tcMar>
              <w:top w:w="80" w:type="dxa"/>
              <w:left w:w="140" w:type="dxa"/>
              <w:bottom w:w="80" w:type="dxa"/>
              <w:right w:w="100" w:type="dxa"/>
            </w:tcMar>
          </w:tcPr>
          <w:p w14:paraId="64DE91C3" w14:textId="77777777" w:rsidR="00950A5A" w:rsidRDefault="00000000">
            <w:pPr>
              <w:spacing w:before="40" w:after="40"/>
            </w:pPr>
            <w:r>
              <w:rPr>
                <w:sz w:val="20"/>
                <w:szCs w:val="20"/>
              </w:rPr>
              <w:t>Suicidal ideation, plans or acts • self-harm and overdose • the aftermath of an attempt</w:t>
            </w:r>
          </w:p>
        </w:tc>
      </w:tr>
      <w:tr w:rsidR="00950A5A" w14:paraId="71F20A96" w14:textId="77777777">
        <w:trPr>
          <w:cantSplit/>
        </w:trPr>
        <w:tc>
          <w:tcPr>
            <w:tcW w:w="2500" w:type="dxa"/>
            <w:shd w:val="clear" w:color="auto" w:fill="FFFFFF"/>
            <w:tcMar>
              <w:top w:w="80" w:type="dxa"/>
              <w:left w:w="140" w:type="dxa"/>
              <w:bottom w:w="80" w:type="dxa"/>
              <w:right w:w="100" w:type="dxa"/>
            </w:tcMar>
          </w:tcPr>
          <w:p w14:paraId="70408A52" w14:textId="77777777" w:rsidR="00950A5A" w:rsidRDefault="00000000">
            <w:pPr>
              <w:spacing w:before="40" w:after="40"/>
            </w:pPr>
            <w:r>
              <w:rPr>
                <w:b/>
                <w:bCs/>
                <w:color w:val="0A4342"/>
                <w:sz w:val="20"/>
                <w:szCs w:val="20"/>
              </w:rPr>
              <w:t>III.  Self neglect</w:t>
            </w:r>
          </w:p>
        </w:tc>
        <w:tc>
          <w:tcPr>
            <w:tcW w:w="6526" w:type="dxa"/>
            <w:shd w:val="clear" w:color="auto" w:fill="FFFFFF"/>
            <w:tcMar>
              <w:top w:w="80" w:type="dxa"/>
              <w:left w:w="140" w:type="dxa"/>
              <w:bottom w:w="80" w:type="dxa"/>
              <w:right w:w="100" w:type="dxa"/>
            </w:tcMar>
          </w:tcPr>
          <w:p w14:paraId="77076672" w14:textId="77777777" w:rsidR="00950A5A" w:rsidRDefault="00000000">
            <w:pPr>
              <w:spacing w:before="40" w:after="40"/>
            </w:pPr>
            <w:r>
              <w:rPr>
                <w:sz w:val="20"/>
                <w:szCs w:val="20"/>
              </w:rPr>
              <w:t>Severe self-neglect from depression, psychosis, dementia or frailty • refusal of essential care</w:t>
            </w:r>
          </w:p>
        </w:tc>
      </w:tr>
      <w:tr w:rsidR="00950A5A" w14:paraId="1FAE03CD" w14:textId="77777777">
        <w:trPr>
          <w:cantSplit/>
        </w:trPr>
        <w:tc>
          <w:tcPr>
            <w:tcW w:w="2500" w:type="dxa"/>
            <w:shd w:val="clear" w:color="auto" w:fill="F3F8F8"/>
            <w:tcMar>
              <w:top w:w="80" w:type="dxa"/>
              <w:left w:w="140" w:type="dxa"/>
              <w:bottom w:w="80" w:type="dxa"/>
              <w:right w:w="100" w:type="dxa"/>
            </w:tcMar>
          </w:tcPr>
          <w:p w14:paraId="6D8D2156" w14:textId="77777777" w:rsidR="00950A5A" w:rsidRDefault="00000000">
            <w:pPr>
              <w:spacing w:before="40" w:after="40"/>
            </w:pPr>
            <w:r>
              <w:rPr>
                <w:b/>
                <w:bCs/>
                <w:color w:val="0A4342"/>
                <w:sz w:val="20"/>
                <w:szCs w:val="20"/>
              </w:rPr>
              <w:t>IV.  Risk to a third party</w:t>
            </w:r>
          </w:p>
        </w:tc>
        <w:tc>
          <w:tcPr>
            <w:tcW w:w="6526" w:type="dxa"/>
            <w:shd w:val="clear" w:color="auto" w:fill="F3F8F8"/>
            <w:tcMar>
              <w:top w:w="80" w:type="dxa"/>
              <w:left w:w="140" w:type="dxa"/>
              <w:bottom w:w="80" w:type="dxa"/>
              <w:right w:w="100" w:type="dxa"/>
            </w:tcMar>
          </w:tcPr>
          <w:p w14:paraId="5A44E264" w14:textId="77777777" w:rsidR="00950A5A" w:rsidRDefault="00000000">
            <w:pPr>
              <w:spacing w:before="40" w:after="40"/>
            </w:pPr>
            <w:r>
              <w:rPr>
                <w:sz w:val="20"/>
                <w:szCs w:val="20"/>
              </w:rPr>
              <w:t>Threats or violence driven by mental disorder • risk to children, partners, carers or the public</w:t>
            </w:r>
          </w:p>
        </w:tc>
      </w:tr>
    </w:tbl>
    <w:p w14:paraId="71D49168" w14:textId="77777777" w:rsidR="00950A5A" w:rsidRDefault="00950A5A">
      <w:pPr>
        <w:spacing w:after="60"/>
      </w:pPr>
    </w:p>
    <w:tbl>
      <w:tblPr>
        <w:tblW w:w="9026" w:type="dxa"/>
        <w:tblBorders>
          <w:top w:val="none" w:sz="0" w:space="0" w:color="FFFFFF"/>
          <w:left w:val="single" w:sz="24" w:space="0" w:color="B23A3A"/>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50A5A" w14:paraId="6475F95A" w14:textId="77777777">
        <w:trPr>
          <w:cantSplit/>
        </w:trPr>
        <w:tc>
          <w:tcPr>
            <w:tcW w:w="9026" w:type="dxa"/>
            <w:shd w:val="clear" w:color="auto" w:fill="FBEAEA"/>
            <w:tcMar>
              <w:top w:w="60" w:type="dxa"/>
              <w:left w:w="200" w:type="dxa"/>
              <w:bottom w:w="60" w:type="dxa"/>
              <w:right w:w="200" w:type="dxa"/>
            </w:tcMar>
          </w:tcPr>
          <w:p w14:paraId="02DB3CFE" w14:textId="77777777" w:rsidR="00950A5A" w:rsidRDefault="00000000">
            <w:pPr>
              <w:spacing w:before="60" w:after="60"/>
            </w:pPr>
            <w:r>
              <w:rPr>
                <w:b/>
                <w:bCs/>
                <w:color w:val="7E2727"/>
              </w:rPr>
              <w:t>GO PREPARED FOR THE AGGRESSIVE PSYCHIATRIC PATIENT</w:t>
            </w:r>
          </w:p>
          <w:p w14:paraId="2FBF99A4" w14:textId="77777777" w:rsidR="00950A5A" w:rsidRDefault="00000000">
            <w:pPr>
              <w:spacing w:after="60"/>
            </w:pPr>
            <w:r>
              <w:rPr>
                <w:sz w:val="20"/>
                <w:szCs w:val="20"/>
              </w:rPr>
              <w:t>Aggression is a presentation, not a diagnosis. It may signal psychosis, intoxication, delirium, fear — or all four. Plan every urgent contact with your own safety, and that of your team, explicitly in mind (see Assessment).</w:t>
            </w:r>
          </w:p>
        </w:tc>
      </w:tr>
    </w:tbl>
    <w:p w14:paraId="1CEBDB32" w14:textId="77777777" w:rsidR="00950A5A" w:rsidRDefault="00950A5A">
      <w:pPr>
        <w:pageBreakBefore/>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7D03B7A7" w14:textId="77777777">
        <w:trPr>
          <w:cantSplit/>
        </w:trPr>
        <w:tc>
          <w:tcPr>
            <w:tcW w:w="800" w:type="dxa"/>
            <w:shd w:val="clear" w:color="auto" w:fill="B07410"/>
            <w:tcMar>
              <w:top w:w="100" w:type="dxa"/>
              <w:left w:w="80" w:type="dxa"/>
              <w:bottom w:w="100" w:type="dxa"/>
              <w:right w:w="80" w:type="dxa"/>
            </w:tcMar>
            <w:vAlign w:val="center"/>
          </w:tcPr>
          <w:p w14:paraId="1F44DD6A" w14:textId="77777777" w:rsidR="00950A5A" w:rsidRDefault="00000000">
            <w:pPr>
              <w:jc w:val="center"/>
            </w:pPr>
            <w:r>
              <w:rPr>
                <w:b/>
                <w:bCs/>
                <w:color w:val="FFFFFF"/>
                <w:sz w:val="32"/>
                <w:szCs w:val="32"/>
              </w:rPr>
              <w:t>3</w:t>
            </w:r>
          </w:p>
        </w:tc>
        <w:tc>
          <w:tcPr>
            <w:tcW w:w="8226" w:type="dxa"/>
            <w:shd w:val="clear" w:color="auto" w:fill="0E5C5B"/>
            <w:tcMar>
              <w:top w:w="100" w:type="dxa"/>
              <w:left w:w="200" w:type="dxa"/>
              <w:bottom w:w="100" w:type="dxa"/>
              <w:right w:w="120" w:type="dxa"/>
            </w:tcMar>
            <w:vAlign w:val="center"/>
          </w:tcPr>
          <w:p w14:paraId="2FEEF397" w14:textId="77777777" w:rsidR="00950A5A" w:rsidRDefault="00000000">
            <w:r>
              <w:rPr>
                <w:b/>
                <w:bCs/>
                <w:color w:val="FFFFFF"/>
                <w:sz w:val="28"/>
                <w:szCs w:val="28"/>
              </w:rPr>
              <w:t>ASSESSMENT</w:t>
            </w:r>
          </w:p>
        </w:tc>
      </w:tr>
    </w:tbl>
    <w:p w14:paraId="12A96CAB" w14:textId="77777777" w:rsidR="00950A5A" w:rsidRDefault="00950A5A">
      <w:pPr>
        <w:spacing w:after="80"/>
      </w:pPr>
    </w:p>
    <w:p w14:paraId="08BA9E49" w14:textId="77777777" w:rsidR="00950A5A" w:rsidRDefault="00000000">
      <w:pPr>
        <w:keepNext/>
        <w:spacing w:before="60" w:after="100"/>
      </w:pPr>
      <w:r>
        <w:rPr>
          <w:b/>
          <w:bCs/>
          <w:color w:val="0A4342"/>
          <w:sz w:val="23"/>
          <w:szCs w:val="23"/>
        </w:rPr>
        <w:t>Before you see the patient</w:t>
      </w:r>
    </w:p>
    <w:p w14:paraId="7A5718E7" w14:textId="77777777" w:rsidR="00950A5A" w:rsidRDefault="00000000">
      <w:pPr>
        <w:pStyle w:val="ListParagraph"/>
        <w:numPr>
          <w:ilvl w:val="0"/>
          <w:numId w:val="2"/>
        </w:numPr>
        <w:spacing w:before="30" w:after="60" w:line="290" w:lineRule="auto"/>
      </w:pPr>
      <w:r>
        <w:rPr>
          <w:b/>
          <w:bCs/>
        </w:rPr>
        <w:t xml:space="preserve">Triage — is this for you at all? </w:t>
      </w:r>
      <w:r>
        <w:t>Consider whether the Crisis Resolution and Home Treatment Team (CRHTT) should attend, jointly or instead. Patients, carers or the GP can reach the local crisis service 24/7 via NHS 111 (select the mental health option).</w:t>
      </w:r>
    </w:p>
    <w:p w14:paraId="7A635392" w14:textId="77777777" w:rsidR="00950A5A" w:rsidRDefault="00000000">
      <w:pPr>
        <w:pStyle w:val="ListParagraph"/>
        <w:numPr>
          <w:ilvl w:val="0"/>
          <w:numId w:val="2"/>
        </w:numPr>
        <w:spacing w:before="30" w:after="60" w:line="290" w:lineRule="auto"/>
      </w:pPr>
      <w:r>
        <w:rPr>
          <w:b/>
          <w:bCs/>
        </w:rPr>
        <w:t xml:space="preserve">Be prepared — delegate. </w:t>
      </w:r>
      <w:r>
        <w:t>Gather the notes, past psychiatric history, medication and any risk flags. Ask reception to hold your calls; delegate what can wait.</w:t>
      </w:r>
    </w:p>
    <w:p w14:paraId="4F89F968" w14:textId="77777777" w:rsidR="00950A5A" w:rsidRDefault="00000000">
      <w:pPr>
        <w:pStyle w:val="ListParagraph"/>
        <w:numPr>
          <w:ilvl w:val="0"/>
          <w:numId w:val="2"/>
        </w:numPr>
        <w:spacing w:before="30" w:after="60" w:line="290" w:lineRule="auto"/>
      </w:pPr>
      <w:r>
        <w:rPr>
          <w:b/>
          <w:bCs/>
        </w:rPr>
        <w:t xml:space="preserve">Personal safety and risk. </w:t>
      </w:r>
      <w:r>
        <w:t>Tell someone where you are going and when to expect you back. Do not visit alone if violence is a realistic possibility — involve the crisis team or police. In the room: sit nearest the door, keep an exit clear, remove obvious weapons/hazards.</w:t>
      </w:r>
    </w:p>
    <w:p w14:paraId="7B31DDE0" w14:textId="77777777" w:rsidR="00950A5A" w:rsidRDefault="00000000">
      <w:pPr>
        <w:keepNext/>
        <w:spacing w:before="220" w:after="100"/>
      </w:pPr>
      <w:r>
        <w:rPr>
          <w:b/>
          <w:bCs/>
          <w:color w:val="0A4342"/>
          <w:sz w:val="23"/>
          <w:szCs w:val="23"/>
        </w:rPr>
        <w:t>Assessing the patient</w:t>
      </w:r>
    </w:p>
    <w:p w14:paraId="4319C513" w14:textId="77777777" w:rsidR="00950A5A" w:rsidRDefault="00000000">
      <w:pPr>
        <w:spacing w:before="60" w:after="120" w:line="300" w:lineRule="auto"/>
      </w:pPr>
      <w:r>
        <w:t>A focused mental state examination in an emergency should establish:</w:t>
      </w:r>
    </w:p>
    <w:p w14:paraId="4EAA368E" w14:textId="77777777" w:rsidR="00950A5A" w:rsidRDefault="00000000">
      <w:pPr>
        <w:pStyle w:val="ListParagraph"/>
        <w:numPr>
          <w:ilvl w:val="0"/>
          <w:numId w:val="2"/>
        </w:numPr>
        <w:spacing w:before="30" w:after="60" w:line="290" w:lineRule="auto"/>
      </w:pPr>
      <w:r>
        <w:t>Suicide risk — ideation, plans, means, intent, previous attempts, protective factors</w:t>
      </w:r>
    </w:p>
    <w:p w14:paraId="72FBB874" w14:textId="77777777" w:rsidR="00950A5A" w:rsidRDefault="00000000">
      <w:pPr>
        <w:pStyle w:val="ListParagraph"/>
        <w:numPr>
          <w:ilvl w:val="0"/>
          <w:numId w:val="2"/>
        </w:numPr>
        <w:spacing w:before="30" w:after="60" w:line="290" w:lineRule="auto"/>
      </w:pPr>
      <w:r>
        <w:t>Depressed or elevated mood</w:t>
      </w:r>
    </w:p>
    <w:p w14:paraId="3DE0364C" w14:textId="77777777" w:rsidR="00950A5A" w:rsidRDefault="00000000">
      <w:pPr>
        <w:pStyle w:val="ListParagraph"/>
        <w:numPr>
          <w:ilvl w:val="0"/>
          <w:numId w:val="2"/>
        </w:numPr>
        <w:spacing w:before="30" w:after="60" w:line="290" w:lineRule="auto"/>
      </w:pPr>
      <w:r>
        <w:t>Insight — does the patient recognise they are unwell and will they accept help?</w:t>
      </w:r>
    </w:p>
    <w:p w14:paraId="5D8FDAB3" w14:textId="77777777" w:rsidR="00950A5A" w:rsidRDefault="00000000">
      <w:pPr>
        <w:pStyle w:val="ListParagraph"/>
        <w:numPr>
          <w:ilvl w:val="0"/>
          <w:numId w:val="2"/>
        </w:numPr>
        <w:spacing w:before="30" w:after="60" w:line="290" w:lineRule="auto"/>
      </w:pPr>
      <w:r>
        <w:t>Paranoia</w:t>
      </w:r>
    </w:p>
    <w:p w14:paraId="72C5DDBD" w14:textId="77777777" w:rsidR="00950A5A" w:rsidRDefault="00000000">
      <w:pPr>
        <w:pStyle w:val="ListParagraph"/>
        <w:numPr>
          <w:ilvl w:val="0"/>
          <w:numId w:val="2"/>
        </w:numPr>
        <w:spacing w:before="30" w:after="60" w:line="290" w:lineRule="auto"/>
      </w:pPr>
      <w:r>
        <w:t>Thought disorder</w:t>
      </w:r>
    </w:p>
    <w:p w14:paraId="2BD89E43" w14:textId="77777777" w:rsidR="00950A5A" w:rsidRDefault="00000000">
      <w:pPr>
        <w:pStyle w:val="ListParagraph"/>
        <w:numPr>
          <w:ilvl w:val="0"/>
          <w:numId w:val="2"/>
        </w:numPr>
        <w:spacing w:before="30" w:after="60" w:line="290" w:lineRule="auto"/>
      </w:pPr>
      <w:r>
        <w:t>Hallucinations or delusions — especially command hallucinations</w:t>
      </w:r>
    </w:p>
    <w:p w14:paraId="303C3AE5" w14:textId="77777777" w:rsidR="00950A5A" w:rsidRDefault="00000000">
      <w:pPr>
        <w:pStyle w:val="ListParagraph"/>
        <w:numPr>
          <w:ilvl w:val="0"/>
          <w:numId w:val="2"/>
        </w:numPr>
        <w:spacing w:before="30" w:after="60" w:line="290" w:lineRule="auto"/>
      </w:pPr>
      <w:r>
        <w:t>Risk to themselves or others — including any children or dependants at home</w:t>
      </w:r>
    </w:p>
    <w:tbl>
      <w:tblPr>
        <w:tblW w:w="9026" w:type="dxa"/>
        <w:tblBorders>
          <w:top w:val="none" w:sz="0" w:space="0" w:color="FFFFFF"/>
          <w:left w:val="single" w:sz="24" w:space="0" w:color="0E5C5B"/>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50A5A" w14:paraId="0C68B523" w14:textId="77777777">
        <w:trPr>
          <w:cantSplit/>
        </w:trPr>
        <w:tc>
          <w:tcPr>
            <w:tcW w:w="9026" w:type="dxa"/>
            <w:shd w:val="clear" w:color="auto" w:fill="E7F1F1"/>
            <w:tcMar>
              <w:top w:w="60" w:type="dxa"/>
              <w:left w:w="200" w:type="dxa"/>
              <w:bottom w:w="60" w:type="dxa"/>
              <w:right w:w="200" w:type="dxa"/>
            </w:tcMar>
          </w:tcPr>
          <w:p w14:paraId="11AC32C5" w14:textId="77777777" w:rsidR="00950A5A" w:rsidRDefault="00000000">
            <w:pPr>
              <w:spacing w:before="60" w:after="60"/>
            </w:pPr>
            <w:r>
              <w:rPr>
                <w:b/>
                <w:bCs/>
                <w:color w:val="0A4342"/>
              </w:rPr>
              <w:t>A NOTE ON “RISK SCORING” (NICE NG225, 2022)</w:t>
            </w:r>
          </w:p>
          <w:p w14:paraId="16245F4C" w14:textId="77777777" w:rsidR="00950A5A" w:rsidRDefault="00000000">
            <w:pPr>
              <w:spacing w:after="60"/>
            </w:pPr>
            <w:r>
              <w:rPr>
                <w:sz w:val="20"/>
                <w:szCs w:val="20"/>
              </w:rPr>
              <w:t>For people who have self-harmed, NICE now explicitly says: do not use risk assessment tools, scales or low/medium/high risk stratification to predict suicide or to decide who gets treatment. Assess the person — their needs, circumstances and safety — not a score.</w:t>
            </w:r>
          </w:p>
        </w:tc>
      </w:tr>
      <w:tr w:rsidR="00950A5A" w14:paraId="7B58873A" w14:textId="77777777">
        <w:tblPrEx>
          <w:tblBorders>
            <w:left w:val="single" w:sz="24" w:space="0" w:color="B23A3A"/>
          </w:tblBorders>
        </w:tblPrEx>
        <w:trPr>
          <w:cantSplit/>
        </w:trPr>
        <w:tc>
          <w:tcPr>
            <w:tcW w:w="9026" w:type="dxa"/>
            <w:shd w:val="clear" w:color="auto" w:fill="FBEAEA"/>
            <w:tcMar>
              <w:top w:w="60" w:type="dxa"/>
              <w:left w:w="200" w:type="dxa"/>
              <w:bottom w:w="60" w:type="dxa"/>
              <w:right w:w="200" w:type="dxa"/>
            </w:tcMar>
          </w:tcPr>
          <w:p w14:paraId="27F9C0FB" w14:textId="77777777" w:rsidR="00950A5A" w:rsidRDefault="00000000">
            <w:pPr>
              <w:spacing w:before="60" w:after="60"/>
            </w:pPr>
            <w:r>
              <w:rPr>
                <w:b/>
                <w:bCs/>
                <w:color w:val="7E2727"/>
              </w:rPr>
              <w:t>DON'T MISS THE ORGANIC MIMIC</w:t>
            </w:r>
          </w:p>
          <w:p w14:paraId="336D18AE" w14:textId="77777777" w:rsidR="00950A5A" w:rsidRDefault="00000000">
            <w:pPr>
              <w:spacing w:after="60"/>
            </w:pPr>
            <w:r>
              <w:rPr>
                <w:sz w:val="20"/>
                <w:szCs w:val="20"/>
              </w:rPr>
              <w:t>Acute confusion is delirium until proven otherwise. Check for hypoglycaemia, sepsis, hypoxia, head injury, drug or alcohol intoxication/withdrawal, and medication toxicity before attributing everything to psychiatric illness — especially in older people and anyone with fluctuating consciousness.</w:t>
            </w:r>
          </w:p>
        </w:tc>
      </w:tr>
    </w:tbl>
    <w:p w14:paraId="0E48A8DF" w14:textId="77777777" w:rsidR="00950A5A" w:rsidRDefault="00950A5A">
      <w:pPr>
        <w:pageBreakBefore/>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102C7474" w14:textId="77777777">
        <w:trPr>
          <w:cantSplit/>
        </w:trPr>
        <w:tc>
          <w:tcPr>
            <w:tcW w:w="800" w:type="dxa"/>
            <w:shd w:val="clear" w:color="auto" w:fill="B07410"/>
            <w:tcMar>
              <w:top w:w="100" w:type="dxa"/>
              <w:left w:w="80" w:type="dxa"/>
              <w:bottom w:w="100" w:type="dxa"/>
              <w:right w:w="80" w:type="dxa"/>
            </w:tcMar>
            <w:vAlign w:val="center"/>
          </w:tcPr>
          <w:p w14:paraId="14831C9A" w14:textId="77777777" w:rsidR="00950A5A" w:rsidRDefault="00000000">
            <w:pPr>
              <w:jc w:val="center"/>
            </w:pPr>
            <w:r>
              <w:rPr>
                <w:b/>
                <w:bCs/>
                <w:color w:val="FFFFFF"/>
                <w:sz w:val="32"/>
                <w:szCs w:val="32"/>
              </w:rPr>
              <w:t>4</w:t>
            </w:r>
          </w:p>
        </w:tc>
        <w:tc>
          <w:tcPr>
            <w:tcW w:w="8226" w:type="dxa"/>
            <w:shd w:val="clear" w:color="auto" w:fill="0E5C5B"/>
            <w:tcMar>
              <w:top w:w="100" w:type="dxa"/>
              <w:left w:w="200" w:type="dxa"/>
              <w:bottom w:w="100" w:type="dxa"/>
              <w:right w:w="120" w:type="dxa"/>
            </w:tcMar>
            <w:vAlign w:val="center"/>
          </w:tcPr>
          <w:p w14:paraId="04ECEC28" w14:textId="77777777" w:rsidR="00950A5A" w:rsidRDefault="00000000">
            <w:r>
              <w:rPr>
                <w:b/>
                <w:bCs/>
                <w:color w:val="FFFFFF"/>
                <w:sz w:val="28"/>
                <w:szCs w:val="28"/>
              </w:rPr>
              <w:t>MANAGEMENT</w:t>
            </w:r>
          </w:p>
        </w:tc>
      </w:tr>
    </w:tbl>
    <w:p w14:paraId="147C4948" w14:textId="77777777" w:rsidR="00950A5A" w:rsidRDefault="00950A5A">
      <w:pPr>
        <w:spacing w:after="80"/>
      </w:pPr>
    </w:p>
    <w:p w14:paraId="7F13F90A" w14:textId="77777777" w:rsidR="00950A5A" w:rsidRDefault="00000000">
      <w:pPr>
        <w:keepNext/>
        <w:spacing w:before="60" w:after="100"/>
      </w:pPr>
      <w:r>
        <w:rPr>
          <w:b/>
          <w:bCs/>
          <w:color w:val="0A4342"/>
          <w:sz w:val="23"/>
          <w:szCs w:val="23"/>
        </w:rPr>
        <w:t>a)  Defuse the situation if possible</w:t>
      </w:r>
    </w:p>
    <w:p w14:paraId="3C45E314" w14:textId="77777777" w:rsidR="00950A5A" w:rsidRDefault="00000000">
      <w:pPr>
        <w:spacing w:before="60" w:after="120" w:line="300" w:lineRule="auto"/>
      </w:pPr>
      <w:r>
        <w:t>De-escalation comes first (NICE NG10): a calm voice, space, one person talking, listening to the grievance, offering choices. Physical restraint and rapid tranquillisation are interventions for appropriately staffed and monitored settings — not for a GP alone in the community. If de-escalation fails and there is immediate danger, withdraw and call the police (999).</w:t>
      </w:r>
    </w:p>
    <w:p w14:paraId="60254636" w14:textId="77777777" w:rsidR="00950A5A" w:rsidRDefault="00000000">
      <w:pPr>
        <w:keepNext/>
        <w:spacing w:before="220" w:after="100"/>
      </w:pPr>
      <w:r>
        <w:rPr>
          <w:b/>
          <w:bCs/>
          <w:color w:val="0A4342"/>
          <w:sz w:val="23"/>
          <w:szCs w:val="23"/>
        </w:rPr>
        <w:t>b)  Try to admit informally if admission is required</w:t>
      </w:r>
    </w:p>
    <w:p w14:paraId="11037E8E" w14:textId="77777777" w:rsidR="00950A5A" w:rsidRDefault="00000000">
      <w:pPr>
        <w:spacing w:before="60" w:after="120" w:line="300" w:lineRule="auto"/>
      </w:pPr>
      <w:r>
        <w:rPr>
          <w:b/>
          <w:bCs/>
        </w:rPr>
        <w:t>Voluntary (informal) admission is always preferable</w:t>
      </w:r>
      <w:r>
        <w:t xml:space="preserve"> where the patient agrees and it is safe. Compulsion is a last resort, not a starting point.</w:t>
      </w:r>
    </w:p>
    <w:p w14:paraId="4E1AC781" w14:textId="77777777" w:rsidR="00950A5A" w:rsidRDefault="00000000">
      <w:pPr>
        <w:keepNext/>
        <w:spacing w:before="220" w:after="100"/>
      </w:pPr>
      <w:r>
        <w:rPr>
          <w:b/>
          <w:bCs/>
          <w:color w:val="0A4342"/>
          <w:sz w:val="23"/>
          <w:szCs w:val="23"/>
        </w:rPr>
        <w:t>c)  If required, use the Mental Health Act for compulsory admission</w:t>
      </w:r>
    </w:p>
    <w:p w14:paraId="7464895C" w14:textId="77777777" w:rsidR="00950A5A" w:rsidRDefault="00000000">
      <w:pPr>
        <w:spacing w:before="60" w:after="120" w:line="300" w:lineRule="auto"/>
      </w:pPr>
      <w:r>
        <w:t xml:space="preserve">Under the Mental Health Act 1983 (as amended 2007), the application for compulsory admission is made by an </w:t>
      </w:r>
      <w:r>
        <w:rPr>
          <w:b/>
          <w:bCs/>
        </w:rPr>
        <w:t>Approved Mental Health Professional (AMHP)</w:t>
      </w:r>
      <w:r>
        <w:t xml:space="preserve"> — the role that replaced the approved social worker in 2007 (or, rarely, the nearest relative), usually under Sections 2, 3 or 4. Two medical recommendations are needed, one from a </w:t>
      </w:r>
      <w:r>
        <w:rPr>
          <w:b/>
          <w:bCs/>
        </w:rPr>
        <w:t>section 12 approved</w:t>
      </w:r>
      <w:r>
        <w:t xml:space="preserve"> doctor; where practicable the other doctor should have previous acquaintance with the patient — which is exactly why the GP’s recommendation is so valued. Section 4 (genuine emergency) needs only one doctor.</w:t>
      </w:r>
    </w:p>
    <w:p w14:paraId="4FF68508" w14:textId="77777777" w:rsidR="00950A5A" w:rsidRDefault="00950A5A">
      <w:pPr>
        <w:spacing w:after="40"/>
      </w:pPr>
    </w:p>
    <w:tbl>
      <w:tblPr>
        <w:tblW w:w="9026" w:type="dxa"/>
        <w:tblBorders>
          <w:top w:val="none" w:sz="0" w:space="0" w:color="FFFFFF"/>
          <w:left w:val="none" w:sz="0" w:space="0" w:color="FFFFFF"/>
          <w:bottom w:val="none" w:sz="0" w:space="0" w:color="FFFFFF"/>
          <w:right w:val="none" w:sz="0" w:space="0" w:color="FFFFFF"/>
          <w:insideH w:val="single" w:sz="4" w:space="0" w:color="D6E4E4"/>
          <w:insideV w:val="none" w:sz="0" w:space="0" w:color="FFFFFF"/>
        </w:tblBorders>
        <w:tblCellMar>
          <w:left w:w="10" w:type="dxa"/>
          <w:right w:w="10" w:type="dxa"/>
        </w:tblCellMar>
        <w:tblLook w:val="04A0" w:firstRow="1" w:lastRow="0" w:firstColumn="1" w:lastColumn="0" w:noHBand="0" w:noVBand="1"/>
      </w:tblPr>
      <w:tblGrid>
        <w:gridCol w:w="1300"/>
        <w:gridCol w:w="2500"/>
        <w:gridCol w:w="1700"/>
        <w:gridCol w:w="3526"/>
      </w:tblGrid>
      <w:tr w:rsidR="00950A5A" w14:paraId="599AE279" w14:textId="77777777">
        <w:trPr>
          <w:cantSplit/>
          <w:tblHeader/>
        </w:trPr>
        <w:tc>
          <w:tcPr>
            <w:tcW w:w="1300" w:type="dxa"/>
            <w:shd w:val="clear" w:color="auto" w:fill="0E5C5B"/>
            <w:tcMar>
              <w:top w:w="90" w:type="dxa"/>
              <w:left w:w="120" w:type="dxa"/>
              <w:bottom w:w="90" w:type="dxa"/>
              <w:right w:w="80" w:type="dxa"/>
            </w:tcMar>
          </w:tcPr>
          <w:p w14:paraId="3F5A726D" w14:textId="77777777" w:rsidR="00950A5A" w:rsidRDefault="00000000">
            <w:pPr>
              <w:spacing w:before="40" w:after="40"/>
            </w:pPr>
            <w:r>
              <w:rPr>
                <w:b/>
                <w:bCs/>
                <w:color w:val="FFFFFF"/>
                <w:sz w:val="19"/>
                <w:szCs w:val="19"/>
              </w:rPr>
              <w:t>SECTION</w:t>
            </w:r>
          </w:p>
        </w:tc>
        <w:tc>
          <w:tcPr>
            <w:tcW w:w="2500" w:type="dxa"/>
            <w:shd w:val="clear" w:color="auto" w:fill="0E5C5B"/>
            <w:tcMar>
              <w:top w:w="90" w:type="dxa"/>
              <w:left w:w="120" w:type="dxa"/>
              <w:bottom w:w="90" w:type="dxa"/>
              <w:right w:w="80" w:type="dxa"/>
            </w:tcMar>
          </w:tcPr>
          <w:p w14:paraId="0BE4965E" w14:textId="77777777" w:rsidR="00950A5A" w:rsidRDefault="00000000">
            <w:pPr>
              <w:spacing w:before="40" w:after="40"/>
            </w:pPr>
            <w:r>
              <w:rPr>
                <w:b/>
                <w:bCs/>
                <w:color w:val="FFFFFF"/>
                <w:sz w:val="19"/>
                <w:szCs w:val="19"/>
              </w:rPr>
              <w:t>PURPOSE</w:t>
            </w:r>
          </w:p>
        </w:tc>
        <w:tc>
          <w:tcPr>
            <w:tcW w:w="1700" w:type="dxa"/>
            <w:shd w:val="clear" w:color="auto" w:fill="0E5C5B"/>
            <w:tcMar>
              <w:top w:w="90" w:type="dxa"/>
              <w:left w:w="120" w:type="dxa"/>
              <w:bottom w:w="90" w:type="dxa"/>
              <w:right w:w="80" w:type="dxa"/>
            </w:tcMar>
          </w:tcPr>
          <w:p w14:paraId="5B6954A9" w14:textId="77777777" w:rsidR="00950A5A" w:rsidRDefault="00000000">
            <w:pPr>
              <w:spacing w:before="40" w:after="40"/>
            </w:pPr>
            <w:r>
              <w:rPr>
                <w:b/>
                <w:bCs/>
                <w:color w:val="FFFFFF"/>
                <w:sz w:val="19"/>
                <w:szCs w:val="19"/>
              </w:rPr>
              <w:t>DURATION</w:t>
            </w:r>
          </w:p>
        </w:tc>
        <w:tc>
          <w:tcPr>
            <w:tcW w:w="3526" w:type="dxa"/>
            <w:shd w:val="clear" w:color="auto" w:fill="0E5C5B"/>
            <w:tcMar>
              <w:top w:w="90" w:type="dxa"/>
              <w:left w:w="120" w:type="dxa"/>
              <w:bottom w:w="90" w:type="dxa"/>
              <w:right w:w="80" w:type="dxa"/>
            </w:tcMar>
          </w:tcPr>
          <w:p w14:paraId="72E1C04B" w14:textId="77777777" w:rsidR="00950A5A" w:rsidRDefault="00000000">
            <w:pPr>
              <w:spacing w:before="40" w:after="40"/>
            </w:pPr>
            <w:r>
              <w:rPr>
                <w:b/>
                <w:bCs/>
                <w:color w:val="FFFFFF"/>
                <w:sz w:val="19"/>
                <w:szCs w:val="19"/>
              </w:rPr>
              <w:t>WHO IS NEEDED</w:t>
            </w:r>
          </w:p>
        </w:tc>
      </w:tr>
      <w:tr w:rsidR="00950A5A" w14:paraId="51F5CD85" w14:textId="77777777">
        <w:trPr>
          <w:cantSplit/>
        </w:trPr>
        <w:tc>
          <w:tcPr>
            <w:tcW w:w="1300" w:type="dxa"/>
            <w:shd w:val="clear" w:color="auto" w:fill="FFFFFF"/>
            <w:tcMar>
              <w:top w:w="80" w:type="dxa"/>
              <w:left w:w="120" w:type="dxa"/>
              <w:bottom w:w="80" w:type="dxa"/>
              <w:right w:w="80" w:type="dxa"/>
            </w:tcMar>
          </w:tcPr>
          <w:p w14:paraId="25EF2515" w14:textId="77777777" w:rsidR="00950A5A" w:rsidRDefault="00000000">
            <w:pPr>
              <w:spacing w:before="40" w:after="40"/>
            </w:pPr>
            <w:r>
              <w:rPr>
                <w:b/>
                <w:bCs/>
                <w:color w:val="0A4342"/>
                <w:sz w:val="19"/>
                <w:szCs w:val="19"/>
              </w:rPr>
              <w:t>2</w:t>
            </w:r>
          </w:p>
        </w:tc>
        <w:tc>
          <w:tcPr>
            <w:tcW w:w="2500" w:type="dxa"/>
            <w:shd w:val="clear" w:color="auto" w:fill="FFFFFF"/>
            <w:tcMar>
              <w:top w:w="80" w:type="dxa"/>
              <w:left w:w="120" w:type="dxa"/>
              <w:bottom w:w="80" w:type="dxa"/>
              <w:right w:w="80" w:type="dxa"/>
            </w:tcMar>
          </w:tcPr>
          <w:p w14:paraId="626E6A66" w14:textId="77777777" w:rsidR="00950A5A" w:rsidRDefault="00000000">
            <w:pPr>
              <w:spacing w:before="40" w:after="40"/>
            </w:pPr>
            <w:r>
              <w:rPr>
                <w:sz w:val="19"/>
                <w:szCs w:val="19"/>
              </w:rPr>
              <w:t>Admission for assessment (± treatment)</w:t>
            </w:r>
          </w:p>
        </w:tc>
        <w:tc>
          <w:tcPr>
            <w:tcW w:w="1700" w:type="dxa"/>
            <w:shd w:val="clear" w:color="auto" w:fill="FFFFFF"/>
            <w:tcMar>
              <w:top w:w="80" w:type="dxa"/>
              <w:left w:w="120" w:type="dxa"/>
              <w:bottom w:w="80" w:type="dxa"/>
              <w:right w:w="80" w:type="dxa"/>
            </w:tcMar>
          </w:tcPr>
          <w:p w14:paraId="40F4A7BE" w14:textId="77777777" w:rsidR="00950A5A" w:rsidRDefault="00000000">
            <w:pPr>
              <w:spacing w:before="40" w:after="40"/>
            </w:pPr>
            <w:r>
              <w:rPr>
                <w:sz w:val="19"/>
                <w:szCs w:val="19"/>
              </w:rPr>
              <w:t>Up to 28 days (not renewable)</w:t>
            </w:r>
          </w:p>
        </w:tc>
        <w:tc>
          <w:tcPr>
            <w:tcW w:w="3526" w:type="dxa"/>
            <w:shd w:val="clear" w:color="auto" w:fill="FFFFFF"/>
            <w:tcMar>
              <w:top w:w="80" w:type="dxa"/>
              <w:left w:w="120" w:type="dxa"/>
              <w:bottom w:w="80" w:type="dxa"/>
              <w:right w:w="80" w:type="dxa"/>
            </w:tcMar>
          </w:tcPr>
          <w:p w14:paraId="04D3F1F4" w14:textId="77777777" w:rsidR="00950A5A" w:rsidRDefault="00000000">
            <w:pPr>
              <w:spacing w:before="40" w:after="40"/>
            </w:pPr>
            <w:r>
              <w:rPr>
                <w:sz w:val="19"/>
                <w:szCs w:val="19"/>
              </w:rPr>
              <w:t>AMHP application + 2 doctors, at least one section 12 approved; one should ideally know the patient (often the GP)</w:t>
            </w:r>
          </w:p>
        </w:tc>
      </w:tr>
      <w:tr w:rsidR="00950A5A" w14:paraId="70B80A44" w14:textId="77777777">
        <w:trPr>
          <w:cantSplit/>
        </w:trPr>
        <w:tc>
          <w:tcPr>
            <w:tcW w:w="1300" w:type="dxa"/>
            <w:shd w:val="clear" w:color="auto" w:fill="F3F8F8"/>
            <w:tcMar>
              <w:top w:w="80" w:type="dxa"/>
              <w:left w:w="120" w:type="dxa"/>
              <w:bottom w:w="80" w:type="dxa"/>
              <w:right w:w="80" w:type="dxa"/>
            </w:tcMar>
          </w:tcPr>
          <w:p w14:paraId="5DDA43C7" w14:textId="77777777" w:rsidR="00950A5A" w:rsidRDefault="00000000">
            <w:pPr>
              <w:spacing w:before="40" w:after="40"/>
            </w:pPr>
            <w:r>
              <w:rPr>
                <w:b/>
                <w:bCs/>
                <w:color w:val="0A4342"/>
                <w:sz w:val="19"/>
                <w:szCs w:val="19"/>
              </w:rPr>
              <w:t>3</w:t>
            </w:r>
          </w:p>
        </w:tc>
        <w:tc>
          <w:tcPr>
            <w:tcW w:w="2500" w:type="dxa"/>
            <w:shd w:val="clear" w:color="auto" w:fill="F3F8F8"/>
            <w:tcMar>
              <w:top w:w="80" w:type="dxa"/>
              <w:left w:w="120" w:type="dxa"/>
              <w:bottom w:w="80" w:type="dxa"/>
              <w:right w:w="80" w:type="dxa"/>
            </w:tcMar>
          </w:tcPr>
          <w:p w14:paraId="196708AE" w14:textId="77777777" w:rsidR="00950A5A" w:rsidRDefault="00000000">
            <w:pPr>
              <w:spacing w:before="40" w:after="40"/>
            </w:pPr>
            <w:r>
              <w:rPr>
                <w:sz w:val="19"/>
                <w:szCs w:val="19"/>
              </w:rPr>
              <w:t>Admission for treatment</w:t>
            </w:r>
          </w:p>
        </w:tc>
        <w:tc>
          <w:tcPr>
            <w:tcW w:w="1700" w:type="dxa"/>
            <w:shd w:val="clear" w:color="auto" w:fill="F3F8F8"/>
            <w:tcMar>
              <w:top w:w="80" w:type="dxa"/>
              <w:left w:w="120" w:type="dxa"/>
              <w:bottom w:w="80" w:type="dxa"/>
              <w:right w:w="80" w:type="dxa"/>
            </w:tcMar>
          </w:tcPr>
          <w:p w14:paraId="20C4B775" w14:textId="77777777" w:rsidR="00950A5A" w:rsidRDefault="00000000">
            <w:pPr>
              <w:spacing w:before="40" w:after="40"/>
            </w:pPr>
            <w:r>
              <w:rPr>
                <w:sz w:val="19"/>
                <w:szCs w:val="19"/>
              </w:rPr>
              <w:t>Up to 6 months (renewable)</w:t>
            </w:r>
          </w:p>
        </w:tc>
        <w:tc>
          <w:tcPr>
            <w:tcW w:w="3526" w:type="dxa"/>
            <w:shd w:val="clear" w:color="auto" w:fill="F3F8F8"/>
            <w:tcMar>
              <w:top w:w="80" w:type="dxa"/>
              <w:left w:w="120" w:type="dxa"/>
              <w:bottom w:w="80" w:type="dxa"/>
              <w:right w:w="80" w:type="dxa"/>
            </w:tcMar>
          </w:tcPr>
          <w:p w14:paraId="35BEB87B" w14:textId="77777777" w:rsidR="00950A5A" w:rsidRDefault="00000000">
            <w:pPr>
              <w:spacing w:before="40" w:after="40"/>
            </w:pPr>
            <w:r>
              <w:rPr>
                <w:sz w:val="19"/>
                <w:szCs w:val="19"/>
              </w:rPr>
              <w:t>As for Section 2; the treatment plan must be clear and appropriate treatment available</w:t>
            </w:r>
          </w:p>
        </w:tc>
      </w:tr>
      <w:tr w:rsidR="00950A5A" w14:paraId="15712A0D" w14:textId="77777777">
        <w:trPr>
          <w:cantSplit/>
        </w:trPr>
        <w:tc>
          <w:tcPr>
            <w:tcW w:w="1300" w:type="dxa"/>
            <w:shd w:val="clear" w:color="auto" w:fill="FFFFFF"/>
            <w:tcMar>
              <w:top w:w="80" w:type="dxa"/>
              <w:left w:w="120" w:type="dxa"/>
              <w:bottom w:w="80" w:type="dxa"/>
              <w:right w:w="80" w:type="dxa"/>
            </w:tcMar>
          </w:tcPr>
          <w:p w14:paraId="5F6ECCC2" w14:textId="77777777" w:rsidR="00950A5A" w:rsidRDefault="00000000">
            <w:pPr>
              <w:spacing w:before="40" w:after="40"/>
            </w:pPr>
            <w:r>
              <w:rPr>
                <w:b/>
                <w:bCs/>
                <w:color w:val="0A4342"/>
                <w:sz w:val="19"/>
                <w:szCs w:val="19"/>
              </w:rPr>
              <w:t>4</w:t>
            </w:r>
          </w:p>
        </w:tc>
        <w:tc>
          <w:tcPr>
            <w:tcW w:w="2500" w:type="dxa"/>
            <w:shd w:val="clear" w:color="auto" w:fill="FFFFFF"/>
            <w:tcMar>
              <w:top w:w="80" w:type="dxa"/>
              <w:left w:w="120" w:type="dxa"/>
              <w:bottom w:w="80" w:type="dxa"/>
              <w:right w:w="80" w:type="dxa"/>
            </w:tcMar>
          </w:tcPr>
          <w:p w14:paraId="38B22AA2" w14:textId="77777777" w:rsidR="00950A5A" w:rsidRDefault="00000000">
            <w:pPr>
              <w:spacing w:before="40" w:after="40"/>
            </w:pPr>
            <w:r>
              <w:rPr>
                <w:sz w:val="19"/>
                <w:szCs w:val="19"/>
              </w:rPr>
              <w:t>Emergency admission when waiting for a second doctor would cause undesirable delay</w:t>
            </w:r>
          </w:p>
        </w:tc>
        <w:tc>
          <w:tcPr>
            <w:tcW w:w="1700" w:type="dxa"/>
            <w:shd w:val="clear" w:color="auto" w:fill="FFFFFF"/>
            <w:tcMar>
              <w:top w:w="80" w:type="dxa"/>
              <w:left w:w="120" w:type="dxa"/>
              <w:bottom w:w="80" w:type="dxa"/>
              <w:right w:w="80" w:type="dxa"/>
            </w:tcMar>
          </w:tcPr>
          <w:p w14:paraId="261A61DE" w14:textId="77777777" w:rsidR="00950A5A" w:rsidRDefault="00000000">
            <w:pPr>
              <w:spacing w:before="40" w:after="40"/>
            </w:pPr>
            <w:r>
              <w:rPr>
                <w:sz w:val="19"/>
                <w:szCs w:val="19"/>
              </w:rPr>
              <w:t>Up to 72 hours</w:t>
            </w:r>
          </w:p>
        </w:tc>
        <w:tc>
          <w:tcPr>
            <w:tcW w:w="3526" w:type="dxa"/>
            <w:shd w:val="clear" w:color="auto" w:fill="FFFFFF"/>
            <w:tcMar>
              <w:top w:w="80" w:type="dxa"/>
              <w:left w:w="120" w:type="dxa"/>
              <w:bottom w:w="80" w:type="dxa"/>
              <w:right w:w="80" w:type="dxa"/>
            </w:tcMar>
          </w:tcPr>
          <w:p w14:paraId="5D295365" w14:textId="77777777" w:rsidR="00950A5A" w:rsidRDefault="00000000">
            <w:pPr>
              <w:spacing w:before="40" w:after="40"/>
            </w:pPr>
            <w:r>
              <w:rPr>
                <w:sz w:val="19"/>
                <w:szCs w:val="19"/>
              </w:rPr>
              <w:t>AMHP application + 1 doctor (ideally one who knows the patient); converted to Section 2 by a second recommendation in hospital</w:t>
            </w:r>
          </w:p>
        </w:tc>
      </w:tr>
      <w:tr w:rsidR="00950A5A" w14:paraId="166276ED" w14:textId="77777777">
        <w:trPr>
          <w:cantSplit/>
        </w:trPr>
        <w:tc>
          <w:tcPr>
            <w:tcW w:w="1300" w:type="dxa"/>
            <w:shd w:val="clear" w:color="auto" w:fill="F3F8F8"/>
            <w:tcMar>
              <w:top w:w="80" w:type="dxa"/>
              <w:left w:w="120" w:type="dxa"/>
              <w:bottom w:w="80" w:type="dxa"/>
              <w:right w:w="80" w:type="dxa"/>
            </w:tcMar>
          </w:tcPr>
          <w:p w14:paraId="3166FED4" w14:textId="77777777" w:rsidR="00950A5A" w:rsidRDefault="00000000">
            <w:pPr>
              <w:spacing w:before="40" w:after="40"/>
            </w:pPr>
            <w:r>
              <w:rPr>
                <w:b/>
                <w:bCs/>
                <w:color w:val="0A4342"/>
                <w:sz w:val="19"/>
                <w:szCs w:val="19"/>
              </w:rPr>
              <w:t>5(2)</w:t>
            </w:r>
          </w:p>
        </w:tc>
        <w:tc>
          <w:tcPr>
            <w:tcW w:w="2500" w:type="dxa"/>
            <w:shd w:val="clear" w:color="auto" w:fill="F3F8F8"/>
            <w:tcMar>
              <w:top w:w="80" w:type="dxa"/>
              <w:left w:w="120" w:type="dxa"/>
              <w:bottom w:w="80" w:type="dxa"/>
              <w:right w:w="80" w:type="dxa"/>
            </w:tcMar>
          </w:tcPr>
          <w:p w14:paraId="574AD724" w14:textId="77777777" w:rsidR="00950A5A" w:rsidRDefault="00000000">
            <w:pPr>
              <w:spacing w:before="40" w:after="40"/>
            </w:pPr>
            <w:r>
              <w:rPr>
                <w:sz w:val="19"/>
                <w:szCs w:val="19"/>
              </w:rPr>
              <w:t>Doctor's holding power for a patient already admitted informally</w:t>
            </w:r>
          </w:p>
        </w:tc>
        <w:tc>
          <w:tcPr>
            <w:tcW w:w="1700" w:type="dxa"/>
            <w:shd w:val="clear" w:color="auto" w:fill="F3F8F8"/>
            <w:tcMar>
              <w:top w:w="80" w:type="dxa"/>
              <w:left w:w="120" w:type="dxa"/>
              <w:bottom w:w="80" w:type="dxa"/>
              <w:right w:w="80" w:type="dxa"/>
            </w:tcMar>
          </w:tcPr>
          <w:p w14:paraId="6D2C6EE5" w14:textId="77777777" w:rsidR="00950A5A" w:rsidRDefault="00000000">
            <w:pPr>
              <w:spacing w:before="40" w:after="40"/>
            </w:pPr>
            <w:r>
              <w:rPr>
                <w:sz w:val="19"/>
                <w:szCs w:val="19"/>
              </w:rPr>
              <w:t>Up to 72 hours</w:t>
            </w:r>
          </w:p>
        </w:tc>
        <w:tc>
          <w:tcPr>
            <w:tcW w:w="3526" w:type="dxa"/>
            <w:shd w:val="clear" w:color="auto" w:fill="F3F8F8"/>
            <w:tcMar>
              <w:top w:w="80" w:type="dxa"/>
              <w:left w:w="120" w:type="dxa"/>
              <w:bottom w:w="80" w:type="dxa"/>
              <w:right w:w="80" w:type="dxa"/>
            </w:tcMar>
          </w:tcPr>
          <w:p w14:paraId="5CA739D5" w14:textId="77777777" w:rsidR="00950A5A" w:rsidRDefault="00000000">
            <w:pPr>
              <w:spacing w:before="40" w:after="40"/>
            </w:pPr>
            <w:r>
              <w:rPr>
                <w:sz w:val="19"/>
                <w:szCs w:val="19"/>
              </w:rPr>
              <w:t>One doctor in hospital — cannot be used in A&amp;E or the community</w:t>
            </w:r>
          </w:p>
        </w:tc>
      </w:tr>
      <w:tr w:rsidR="00950A5A" w14:paraId="40C4BAF7" w14:textId="77777777">
        <w:trPr>
          <w:cantSplit/>
        </w:trPr>
        <w:tc>
          <w:tcPr>
            <w:tcW w:w="1300" w:type="dxa"/>
            <w:shd w:val="clear" w:color="auto" w:fill="FFFFFF"/>
            <w:tcMar>
              <w:top w:w="80" w:type="dxa"/>
              <w:left w:w="120" w:type="dxa"/>
              <w:bottom w:w="80" w:type="dxa"/>
              <w:right w:w="80" w:type="dxa"/>
            </w:tcMar>
          </w:tcPr>
          <w:p w14:paraId="5A790DB4" w14:textId="77777777" w:rsidR="00950A5A" w:rsidRDefault="00000000">
            <w:pPr>
              <w:spacing w:before="40" w:after="40"/>
            </w:pPr>
            <w:r>
              <w:rPr>
                <w:b/>
                <w:bCs/>
                <w:color w:val="0A4342"/>
                <w:sz w:val="19"/>
                <w:szCs w:val="19"/>
              </w:rPr>
              <w:t>135</w:t>
            </w:r>
          </w:p>
        </w:tc>
        <w:tc>
          <w:tcPr>
            <w:tcW w:w="2500" w:type="dxa"/>
            <w:shd w:val="clear" w:color="auto" w:fill="FFFFFF"/>
            <w:tcMar>
              <w:top w:w="80" w:type="dxa"/>
              <w:left w:w="120" w:type="dxa"/>
              <w:bottom w:w="80" w:type="dxa"/>
              <w:right w:w="80" w:type="dxa"/>
            </w:tcMar>
          </w:tcPr>
          <w:p w14:paraId="710FA7A7" w14:textId="77777777" w:rsidR="00950A5A" w:rsidRDefault="00000000">
            <w:pPr>
              <w:spacing w:before="40" w:after="40"/>
            </w:pPr>
            <w:r>
              <w:rPr>
                <w:sz w:val="19"/>
                <w:szCs w:val="19"/>
              </w:rPr>
              <w:t>Warrant to enter private premises to remove a person to a place of safety</w:t>
            </w:r>
          </w:p>
        </w:tc>
        <w:tc>
          <w:tcPr>
            <w:tcW w:w="1700" w:type="dxa"/>
            <w:shd w:val="clear" w:color="auto" w:fill="FFFFFF"/>
            <w:tcMar>
              <w:top w:w="80" w:type="dxa"/>
              <w:left w:w="120" w:type="dxa"/>
              <w:bottom w:w="80" w:type="dxa"/>
              <w:right w:w="80" w:type="dxa"/>
            </w:tcMar>
          </w:tcPr>
          <w:p w14:paraId="009F95C7" w14:textId="77777777" w:rsidR="00950A5A" w:rsidRDefault="00000000">
            <w:pPr>
              <w:spacing w:before="40" w:after="40"/>
            </w:pPr>
            <w:r>
              <w:rPr>
                <w:sz w:val="19"/>
                <w:szCs w:val="19"/>
              </w:rPr>
              <w:t>Up to 24 hours</w:t>
            </w:r>
          </w:p>
        </w:tc>
        <w:tc>
          <w:tcPr>
            <w:tcW w:w="3526" w:type="dxa"/>
            <w:shd w:val="clear" w:color="auto" w:fill="FFFFFF"/>
            <w:tcMar>
              <w:top w:w="80" w:type="dxa"/>
              <w:left w:w="120" w:type="dxa"/>
              <w:bottom w:w="80" w:type="dxa"/>
              <w:right w:w="80" w:type="dxa"/>
            </w:tcMar>
          </w:tcPr>
          <w:p w14:paraId="05419A2F" w14:textId="77777777" w:rsidR="00950A5A" w:rsidRDefault="00000000">
            <w:pPr>
              <w:spacing w:before="40" w:after="40"/>
            </w:pPr>
            <w:r>
              <w:rPr>
                <w:sz w:val="19"/>
                <w:szCs w:val="19"/>
              </w:rPr>
              <w:t>Magistrate's warrant obtained by an AMHP; executed by police</w:t>
            </w:r>
          </w:p>
        </w:tc>
      </w:tr>
      <w:tr w:rsidR="00950A5A" w14:paraId="33863648" w14:textId="77777777">
        <w:trPr>
          <w:cantSplit/>
        </w:trPr>
        <w:tc>
          <w:tcPr>
            <w:tcW w:w="1300" w:type="dxa"/>
            <w:shd w:val="clear" w:color="auto" w:fill="F3F8F8"/>
            <w:tcMar>
              <w:top w:w="80" w:type="dxa"/>
              <w:left w:w="120" w:type="dxa"/>
              <w:bottom w:w="80" w:type="dxa"/>
              <w:right w:w="80" w:type="dxa"/>
            </w:tcMar>
          </w:tcPr>
          <w:p w14:paraId="56457C6A" w14:textId="77777777" w:rsidR="00950A5A" w:rsidRDefault="00000000">
            <w:pPr>
              <w:spacing w:before="40" w:after="40"/>
            </w:pPr>
            <w:r>
              <w:rPr>
                <w:b/>
                <w:bCs/>
                <w:color w:val="0A4342"/>
                <w:sz w:val="19"/>
                <w:szCs w:val="19"/>
              </w:rPr>
              <w:t>136</w:t>
            </w:r>
          </w:p>
        </w:tc>
        <w:tc>
          <w:tcPr>
            <w:tcW w:w="2500" w:type="dxa"/>
            <w:shd w:val="clear" w:color="auto" w:fill="F3F8F8"/>
            <w:tcMar>
              <w:top w:w="80" w:type="dxa"/>
              <w:left w:w="120" w:type="dxa"/>
              <w:bottom w:w="80" w:type="dxa"/>
              <w:right w:w="80" w:type="dxa"/>
            </w:tcMar>
          </w:tcPr>
          <w:p w14:paraId="42C2D190" w14:textId="77777777" w:rsidR="00950A5A" w:rsidRDefault="00000000">
            <w:pPr>
              <w:spacing w:before="40" w:after="40"/>
            </w:pPr>
            <w:r>
              <w:rPr>
                <w:sz w:val="19"/>
                <w:szCs w:val="19"/>
              </w:rPr>
              <w:t>Police power to take a person from a public place to a place of safety</w:t>
            </w:r>
          </w:p>
        </w:tc>
        <w:tc>
          <w:tcPr>
            <w:tcW w:w="1700" w:type="dxa"/>
            <w:shd w:val="clear" w:color="auto" w:fill="F3F8F8"/>
            <w:tcMar>
              <w:top w:w="80" w:type="dxa"/>
              <w:left w:w="120" w:type="dxa"/>
              <w:bottom w:w="80" w:type="dxa"/>
              <w:right w:w="80" w:type="dxa"/>
            </w:tcMar>
          </w:tcPr>
          <w:p w14:paraId="46EE6019" w14:textId="77777777" w:rsidR="00950A5A" w:rsidRDefault="00000000">
            <w:pPr>
              <w:spacing w:before="40" w:after="40"/>
            </w:pPr>
            <w:r>
              <w:rPr>
                <w:sz w:val="19"/>
                <w:szCs w:val="19"/>
              </w:rPr>
              <w:t>Up to 24 hours (+12-hour extension)</w:t>
            </w:r>
          </w:p>
        </w:tc>
        <w:tc>
          <w:tcPr>
            <w:tcW w:w="3526" w:type="dxa"/>
            <w:shd w:val="clear" w:color="auto" w:fill="F3F8F8"/>
            <w:tcMar>
              <w:top w:w="80" w:type="dxa"/>
              <w:left w:w="120" w:type="dxa"/>
              <w:bottom w:w="80" w:type="dxa"/>
              <w:right w:w="80" w:type="dxa"/>
            </w:tcMar>
          </w:tcPr>
          <w:p w14:paraId="41E9704E" w14:textId="77777777" w:rsidR="00950A5A" w:rsidRDefault="00000000">
            <w:pPr>
              <w:spacing w:before="40" w:after="40"/>
            </w:pPr>
            <w:r>
              <w:rPr>
                <w:sz w:val="19"/>
                <w:szCs w:val="19"/>
              </w:rPr>
              <w:t>Police officer; assessment then by doctor and AMHP</w:t>
            </w:r>
          </w:p>
        </w:tc>
      </w:tr>
    </w:tbl>
    <w:p w14:paraId="3EDD28BF" w14:textId="77777777" w:rsidR="00950A5A" w:rsidRDefault="00950A5A">
      <w:pPr>
        <w:spacing w:after="40"/>
      </w:pPr>
    </w:p>
    <w:p w14:paraId="4570F0E4" w14:textId="77777777" w:rsidR="00950A5A" w:rsidRDefault="00000000">
      <w:pPr>
        <w:keepNext/>
        <w:spacing w:before="220" w:after="100"/>
      </w:pPr>
      <w:r>
        <w:rPr>
          <w:b/>
          <w:bCs/>
          <w:color w:val="0A4342"/>
          <w:sz w:val="23"/>
          <w:szCs w:val="23"/>
        </w:rPr>
        <w:lastRenderedPageBreak/>
        <w:t>d)  Where to look things up</w:t>
      </w:r>
    </w:p>
    <w:p w14:paraId="18D63BF0" w14:textId="77777777" w:rsidR="00950A5A" w:rsidRDefault="00000000">
      <w:pPr>
        <w:spacing w:before="60" w:after="120" w:line="300" w:lineRule="auto"/>
      </w:pPr>
      <w:r>
        <w:t>A fuller summary of the Act and the rules on compulsory admission is in the Mental Health Act 1983 Code of Practice (2015) and the companion Bradford VTS guide “A Guide to the Mental Health Act — Compulsory Admission to Hospital”. Note: the Mental Health Act 2025 received Royal Assent in 2025 and will change some of these arrangements as it is phased in — check current guidance.</w:t>
      </w:r>
    </w:p>
    <w:p w14:paraId="6DC6293F" w14:textId="77777777" w:rsidR="00950A5A" w:rsidRDefault="00000000">
      <w:pPr>
        <w:keepNext/>
        <w:spacing w:before="220" w:after="100"/>
      </w:pPr>
      <w:r>
        <w:rPr>
          <w:b/>
          <w:bCs/>
          <w:color w:val="0A4342"/>
          <w:sz w:val="23"/>
          <w:szCs w:val="23"/>
        </w:rPr>
        <w:t>e)  Arrangements — how to contact the AMHP</w:t>
      </w:r>
    </w:p>
    <w:p w14:paraId="66294587" w14:textId="77777777" w:rsidR="00950A5A" w:rsidRDefault="00000000">
      <w:pPr>
        <w:spacing w:before="60" w:after="120" w:line="300" w:lineRule="auto"/>
      </w:pPr>
      <w:r>
        <w:t>Know your local route before you need it: AMHPs are contacted through the local authority AMHP/duty service, usually via the mental health trust switchboard or the crisis team (CRHTT). Out of hours this is typically the emergency duty team. Keep the numbers where you can find them.</w:t>
      </w:r>
    </w:p>
    <w:p w14:paraId="585D3EC2" w14:textId="77777777" w:rsidR="00950A5A" w:rsidRDefault="00000000">
      <w:pPr>
        <w:keepNext/>
        <w:spacing w:before="240" w:after="100"/>
      </w:pPr>
      <w:r>
        <w:rPr>
          <w:b/>
          <w:bCs/>
          <w:color w:val="0A4342"/>
          <w:sz w:val="23"/>
          <w:szCs w:val="23"/>
        </w:rPr>
        <w:t>The pathway at a glance</w:t>
      </w:r>
    </w:p>
    <w:p w14:paraId="0C3D75D7" w14:textId="77777777" w:rsidR="00950A5A" w:rsidRDefault="00000000">
      <w:pPr>
        <w:spacing w:before="60" w:after="60"/>
        <w:jc w:val="center"/>
      </w:pPr>
      <w:r>
        <w:rPr>
          <w:noProof/>
        </w:rPr>
        <w:drawing>
          <wp:inline distT="0" distB="0" distL="0" distR="0" wp14:anchorId="7A09FD0E" wp14:editId="6C3E0A4E">
            <wp:extent cx="5476875" cy="4238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476875" cy="4238625"/>
                    </a:xfrm>
                    <a:prstGeom prst="rect">
                      <a:avLst/>
                    </a:prstGeom>
                  </pic:spPr>
                </pic:pic>
              </a:graphicData>
            </a:graphic>
          </wp:inline>
        </w:drawing>
      </w:r>
    </w:p>
    <w:p w14:paraId="2CDE7905" w14:textId="77777777" w:rsidR="00950A5A" w:rsidRDefault="00950A5A">
      <w:pPr>
        <w:pageBreakBefore/>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19A4C43F" w14:textId="77777777">
        <w:trPr>
          <w:cantSplit/>
        </w:trPr>
        <w:tc>
          <w:tcPr>
            <w:tcW w:w="800" w:type="dxa"/>
            <w:shd w:val="clear" w:color="auto" w:fill="B07410"/>
            <w:tcMar>
              <w:top w:w="100" w:type="dxa"/>
              <w:left w:w="80" w:type="dxa"/>
              <w:bottom w:w="100" w:type="dxa"/>
              <w:right w:w="80" w:type="dxa"/>
            </w:tcMar>
            <w:vAlign w:val="center"/>
          </w:tcPr>
          <w:p w14:paraId="6DD58C55" w14:textId="77777777" w:rsidR="00950A5A" w:rsidRDefault="00000000">
            <w:pPr>
              <w:jc w:val="center"/>
            </w:pPr>
            <w:r>
              <w:rPr>
                <w:b/>
                <w:bCs/>
                <w:color w:val="FFFFFF"/>
                <w:sz w:val="32"/>
                <w:szCs w:val="32"/>
              </w:rPr>
              <w:t>5</w:t>
            </w:r>
          </w:p>
        </w:tc>
        <w:tc>
          <w:tcPr>
            <w:tcW w:w="8226" w:type="dxa"/>
            <w:shd w:val="clear" w:color="auto" w:fill="0E5C5B"/>
            <w:tcMar>
              <w:top w:w="100" w:type="dxa"/>
              <w:left w:w="200" w:type="dxa"/>
              <w:bottom w:w="100" w:type="dxa"/>
              <w:right w:w="120" w:type="dxa"/>
            </w:tcMar>
            <w:vAlign w:val="center"/>
          </w:tcPr>
          <w:p w14:paraId="347578B7" w14:textId="77777777" w:rsidR="00950A5A" w:rsidRDefault="00000000">
            <w:r>
              <w:rPr>
                <w:b/>
                <w:bCs/>
                <w:color w:val="FFFFFF"/>
                <w:sz w:val="28"/>
                <w:szCs w:val="28"/>
              </w:rPr>
              <w:t>PATIENTS' RIGHTS</w:t>
            </w:r>
          </w:p>
        </w:tc>
      </w:tr>
    </w:tbl>
    <w:p w14:paraId="61096E77" w14:textId="77777777" w:rsidR="00950A5A" w:rsidRDefault="00950A5A">
      <w:pPr>
        <w:spacing w:after="80"/>
      </w:pPr>
    </w:p>
    <w:p w14:paraId="41DFB34E" w14:textId="77777777" w:rsidR="00950A5A" w:rsidRDefault="00000000">
      <w:pPr>
        <w:spacing w:before="60" w:after="120" w:line="300" w:lineRule="auto"/>
      </w:pPr>
      <w:r>
        <w:t>Discussion points for the group:</w:t>
      </w:r>
    </w:p>
    <w:p w14:paraId="3DEE9CA4" w14:textId="77777777" w:rsidR="00950A5A" w:rsidRDefault="00000000">
      <w:pPr>
        <w:pStyle w:val="ListParagraph"/>
        <w:numPr>
          <w:ilvl w:val="0"/>
          <w:numId w:val="2"/>
        </w:numPr>
        <w:spacing w:before="30" w:after="60" w:line="290" w:lineRule="auto"/>
      </w:pPr>
      <w:r>
        <w:t>Detained patients must be told their rights (Section 132): why they are detained, for how long, and how to appeal to the Mental Health Tribunal</w:t>
      </w:r>
    </w:p>
    <w:p w14:paraId="05FC093D" w14:textId="77777777" w:rsidR="00950A5A" w:rsidRDefault="00000000">
      <w:pPr>
        <w:pStyle w:val="ListParagraph"/>
        <w:numPr>
          <w:ilvl w:val="0"/>
          <w:numId w:val="2"/>
        </w:numPr>
        <w:spacing w:before="30" w:after="60" w:line="290" w:lineRule="auto"/>
      </w:pPr>
      <w:r>
        <w:t>Every detained patient has a right to an Independent Mental Health Advocate (IMHA)</w:t>
      </w:r>
    </w:p>
    <w:p w14:paraId="30FB0B7B" w14:textId="77777777" w:rsidR="00950A5A" w:rsidRDefault="00000000">
      <w:pPr>
        <w:pStyle w:val="ListParagraph"/>
        <w:numPr>
          <w:ilvl w:val="0"/>
          <w:numId w:val="2"/>
        </w:numPr>
        <w:spacing w:before="30" w:after="60" w:line="290" w:lineRule="auto"/>
      </w:pPr>
      <w:r>
        <w:t>The nearest relative has defined powers, including (in some circumstances) to object to Section 3 or request discharge</w:t>
      </w:r>
    </w:p>
    <w:p w14:paraId="29F42881" w14:textId="77777777" w:rsidR="00950A5A" w:rsidRDefault="00000000">
      <w:pPr>
        <w:pStyle w:val="ListParagraph"/>
        <w:numPr>
          <w:ilvl w:val="0"/>
          <w:numId w:val="2"/>
        </w:numPr>
        <w:spacing w:before="30" w:after="60" w:line="290" w:lineRule="auto"/>
      </w:pPr>
      <w:r>
        <w:t>Informal patients keep the right to refuse treatment and to leave — detention powers exist precisely because informal status is voluntary</w:t>
      </w:r>
    </w:p>
    <w:p w14:paraId="16C2A6E5" w14:textId="77777777" w:rsidR="00950A5A" w:rsidRDefault="00950A5A">
      <w:pPr>
        <w:spacing w:after="200"/>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352D5255" w14:textId="77777777">
        <w:trPr>
          <w:cantSplit/>
        </w:trPr>
        <w:tc>
          <w:tcPr>
            <w:tcW w:w="800" w:type="dxa"/>
            <w:shd w:val="clear" w:color="auto" w:fill="B07410"/>
            <w:tcMar>
              <w:top w:w="100" w:type="dxa"/>
              <w:left w:w="80" w:type="dxa"/>
              <w:bottom w:w="100" w:type="dxa"/>
              <w:right w:w="80" w:type="dxa"/>
            </w:tcMar>
            <w:vAlign w:val="center"/>
          </w:tcPr>
          <w:p w14:paraId="4489645A" w14:textId="77777777" w:rsidR="00950A5A" w:rsidRDefault="00000000">
            <w:pPr>
              <w:jc w:val="center"/>
            </w:pPr>
            <w:r>
              <w:rPr>
                <w:b/>
                <w:bCs/>
                <w:color w:val="FFFFFF"/>
                <w:sz w:val="32"/>
                <w:szCs w:val="32"/>
              </w:rPr>
              <w:t>6</w:t>
            </w:r>
          </w:p>
        </w:tc>
        <w:tc>
          <w:tcPr>
            <w:tcW w:w="8226" w:type="dxa"/>
            <w:shd w:val="clear" w:color="auto" w:fill="0E5C5B"/>
            <w:tcMar>
              <w:top w:w="100" w:type="dxa"/>
              <w:left w:w="200" w:type="dxa"/>
              <w:bottom w:w="100" w:type="dxa"/>
              <w:right w:w="120" w:type="dxa"/>
            </w:tcMar>
            <w:vAlign w:val="center"/>
          </w:tcPr>
          <w:p w14:paraId="65DB9D45" w14:textId="77777777" w:rsidR="00950A5A" w:rsidRDefault="00000000">
            <w:r>
              <w:rPr>
                <w:b/>
                <w:bCs/>
                <w:color w:val="FFFFFF"/>
                <w:sz w:val="28"/>
                <w:szCs w:val="28"/>
              </w:rPr>
              <w:t>DOCTOR / PATIENT RELATIONSHIP ISSUES</w:t>
            </w:r>
          </w:p>
        </w:tc>
      </w:tr>
    </w:tbl>
    <w:p w14:paraId="26BC60CB" w14:textId="77777777" w:rsidR="00950A5A" w:rsidRDefault="00950A5A">
      <w:pPr>
        <w:spacing w:after="80"/>
      </w:pPr>
    </w:p>
    <w:p w14:paraId="23DA2463" w14:textId="77777777" w:rsidR="00950A5A" w:rsidRDefault="00000000">
      <w:pPr>
        <w:spacing w:before="60" w:after="120" w:line="300" w:lineRule="auto"/>
      </w:pPr>
      <w:r>
        <w:t>Discussion points for the group:</w:t>
      </w:r>
    </w:p>
    <w:p w14:paraId="02B2BF3D" w14:textId="77777777" w:rsidR="00950A5A" w:rsidRDefault="00000000">
      <w:pPr>
        <w:pStyle w:val="ListParagraph"/>
        <w:numPr>
          <w:ilvl w:val="0"/>
          <w:numId w:val="2"/>
        </w:numPr>
        <w:spacing w:before="30" w:after="60" w:line="290" w:lineRule="auto"/>
      </w:pPr>
      <w:r>
        <w:t>How does being party to a section affect the ongoing GP–patient relationship — and how do you repair trust afterwards?</w:t>
      </w:r>
    </w:p>
    <w:p w14:paraId="1E5F2F66" w14:textId="77777777" w:rsidR="00950A5A" w:rsidRDefault="00000000">
      <w:pPr>
        <w:pStyle w:val="ListParagraph"/>
        <w:numPr>
          <w:ilvl w:val="0"/>
          <w:numId w:val="2"/>
        </w:numPr>
        <w:spacing w:before="30" w:after="60" w:line="290" w:lineRule="auto"/>
      </w:pPr>
      <w:r>
        <w:t>Confidentiality versus safety: when can (and should) you share information with family, the crisis team or the police?</w:t>
      </w:r>
    </w:p>
    <w:p w14:paraId="44AA244A" w14:textId="77777777" w:rsidR="00950A5A" w:rsidRDefault="00000000">
      <w:pPr>
        <w:pStyle w:val="ListParagraph"/>
        <w:numPr>
          <w:ilvl w:val="0"/>
          <w:numId w:val="2"/>
        </w:numPr>
        <w:spacing w:before="30" w:after="60" w:line="290" w:lineRule="auto"/>
      </w:pPr>
      <w:r>
        <w:t>Managing your own feelings — fear, guilt, frustration — and debriefing with colleagues</w:t>
      </w:r>
    </w:p>
    <w:p w14:paraId="4E3EF942" w14:textId="77777777" w:rsidR="00950A5A" w:rsidRDefault="00000000">
      <w:pPr>
        <w:pStyle w:val="ListParagraph"/>
        <w:numPr>
          <w:ilvl w:val="0"/>
          <w:numId w:val="2"/>
        </w:numPr>
        <w:spacing w:before="30" w:after="60" w:line="290" w:lineRule="auto"/>
      </w:pPr>
      <w:r>
        <w:t>The patient who refuses everything but lacks nothing in capacity: respecting autonomy while managing risk</w:t>
      </w:r>
    </w:p>
    <w:p w14:paraId="60ED32AA" w14:textId="77777777" w:rsidR="00950A5A" w:rsidRDefault="00950A5A">
      <w:pPr>
        <w:spacing w:after="200"/>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322CE147" w14:textId="77777777">
        <w:trPr>
          <w:cantSplit/>
        </w:trPr>
        <w:tc>
          <w:tcPr>
            <w:tcW w:w="800" w:type="dxa"/>
            <w:shd w:val="clear" w:color="auto" w:fill="B07410"/>
            <w:tcMar>
              <w:top w:w="100" w:type="dxa"/>
              <w:left w:w="80" w:type="dxa"/>
              <w:bottom w:w="100" w:type="dxa"/>
              <w:right w:w="80" w:type="dxa"/>
            </w:tcMar>
            <w:vAlign w:val="center"/>
          </w:tcPr>
          <w:p w14:paraId="06BD8DDC" w14:textId="77777777" w:rsidR="00950A5A" w:rsidRDefault="00000000">
            <w:pPr>
              <w:jc w:val="center"/>
            </w:pPr>
            <w:r>
              <w:rPr>
                <w:b/>
                <w:bCs/>
                <w:color w:val="FFFFFF"/>
                <w:sz w:val="32"/>
                <w:szCs w:val="32"/>
              </w:rPr>
              <w:t>7</w:t>
            </w:r>
          </w:p>
        </w:tc>
        <w:tc>
          <w:tcPr>
            <w:tcW w:w="8226" w:type="dxa"/>
            <w:shd w:val="clear" w:color="auto" w:fill="0E5C5B"/>
            <w:tcMar>
              <w:top w:w="100" w:type="dxa"/>
              <w:left w:w="200" w:type="dxa"/>
              <w:bottom w:w="100" w:type="dxa"/>
              <w:right w:w="120" w:type="dxa"/>
            </w:tcMar>
            <w:vAlign w:val="center"/>
          </w:tcPr>
          <w:p w14:paraId="30F7EC31" w14:textId="77777777" w:rsidR="00950A5A" w:rsidRDefault="00000000">
            <w:r>
              <w:rPr>
                <w:b/>
                <w:bCs/>
                <w:color w:val="FFFFFF"/>
                <w:sz w:val="28"/>
                <w:szCs w:val="28"/>
              </w:rPr>
              <w:t>SECTIONING ARRANGEMENTS</w:t>
            </w:r>
          </w:p>
        </w:tc>
      </w:tr>
    </w:tbl>
    <w:p w14:paraId="7ECB3396" w14:textId="77777777" w:rsidR="00950A5A" w:rsidRDefault="00950A5A">
      <w:pPr>
        <w:spacing w:after="80"/>
      </w:pPr>
    </w:p>
    <w:p w14:paraId="5486F6AE" w14:textId="77777777" w:rsidR="00950A5A" w:rsidRDefault="00000000">
      <w:pPr>
        <w:pStyle w:val="ListParagraph"/>
        <w:numPr>
          <w:ilvl w:val="0"/>
          <w:numId w:val="2"/>
        </w:numPr>
        <w:spacing w:before="30" w:after="60" w:line="290" w:lineRule="auto"/>
      </w:pPr>
      <w:r>
        <w:rPr>
          <w:b/>
          <w:bCs/>
        </w:rPr>
        <w:t xml:space="preserve">Place. </w:t>
      </w:r>
      <w:r>
        <w:t>Where will the assessment happen — home, surgery, place of safety? If entry to private premises is refused, the AMHP can obtain a Section 135 warrant so police can gain entry.</w:t>
      </w:r>
    </w:p>
    <w:p w14:paraId="58B24E58" w14:textId="77777777" w:rsidR="00950A5A" w:rsidRDefault="00000000">
      <w:pPr>
        <w:pStyle w:val="ListParagraph"/>
        <w:numPr>
          <w:ilvl w:val="0"/>
          <w:numId w:val="2"/>
        </w:numPr>
        <w:spacing w:before="30" w:after="60" w:line="290" w:lineRule="auto"/>
      </w:pPr>
      <w:r>
        <w:rPr>
          <w:b/>
          <w:bCs/>
        </w:rPr>
        <w:t xml:space="preserve">Who will be present. </w:t>
      </w:r>
      <w:r>
        <w:t>AMHP, section 12 doctor, second doctor (often the GP), family — agree roles before you arrive.</w:t>
      </w:r>
    </w:p>
    <w:p w14:paraId="4B747DB4" w14:textId="77777777" w:rsidR="00950A5A" w:rsidRDefault="00000000">
      <w:pPr>
        <w:pStyle w:val="ListParagraph"/>
        <w:numPr>
          <w:ilvl w:val="0"/>
          <w:numId w:val="2"/>
        </w:numPr>
        <w:spacing w:before="30" w:after="60" w:line="290" w:lineRule="auto"/>
      </w:pPr>
      <w:r>
        <w:rPr>
          <w:b/>
          <w:bCs/>
        </w:rPr>
        <w:t xml:space="preserve">Need for ambulance, police etc. </w:t>
      </w:r>
      <w:r>
        <w:t>Conveyance to hospital is organised by the AMHP, normally by ambulance; police attend only where there is significant risk of violence or resistance.</w:t>
      </w:r>
    </w:p>
    <w:p w14:paraId="4F074645" w14:textId="77777777" w:rsidR="00950A5A" w:rsidRDefault="00000000">
      <w:pPr>
        <w:pStyle w:val="ListParagraph"/>
        <w:numPr>
          <w:ilvl w:val="0"/>
          <w:numId w:val="2"/>
        </w:numPr>
        <w:spacing w:before="30" w:after="60" w:line="290" w:lineRule="auto"/>
      </w:pPr>
      <w:r>
        <w:rPr>
          <w:b/>
          <w:bCs/>
        </w:rPr>
        <w:t xml:space="preserve">A bed. </w:t>
      </w:r>
      <w:r>
        <w:t>The application must name a hospital — confirming the bed is part of the arrangements, not an afterthought.</w:t>
      </w:r>
    </w:p>
    <w:p w14:paraId="651FA3C6" w14:textId="77777777" w:rsidR="00950A5A" w:rsidRDefault="00950A5A">
      <w:pPr>
        <w:pageBreakBefore/>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3388F350" w14:textId="77777777">
        <w:trPr>
          <w:cantSplit/>
        </w:trPr>
        <w:tc>
          <w:tcPr>
            <w:tcW w:w="800" w:type="dxa"/>
            <w:shd w:val="clear" w:color="auto" w:fill="B07410"/>
            <w:tcMar>
              <w:top w:w="100" w:type="dxa"/>
              <w:left w:w="80" w:type="dxa"/>
              <w:bottom w:w="100" w:type="dxa"/>
              <w:right w:w="80" w:type="dxa"/>
            </w:tcMar>
            <w:vAlign w:val="center"/>
          </w:tcPr>
          <w:p w14:paraId="09DAD38D" w14:textId="77777777" w:rsidR="00950A5A" w:rsidRDefault="00000000">
            <w:pPr>
              <w:jc w:val="center"/>
            </w:pPr>
            <w:r>
              <w:rPr>
                <w:b/>
                <w:bCs/>
                <w:color w:val="FFFFFF"/>
                <w:sz w:val="32"/>
                <w:szCs w:val="32"/>
              </w:rPr>
              <w:t>8</w:t>
            </w:r>
          </w:p>
        </w:tc>
        <w:tc>
          <w:tcPr>
            <w:tcW w:w="8226" w:type="dxa"/>
            <w:shd w:val="clear" w:color="auto" w:fill="0E5C5B"/>
            <w:tcMar>
              <w:top w:w="100" w:type="dxa"/>
              <w:left w:w="200" w:type="dxa"/>
              <w:bottom w:w="100" w:type="dxa"/>
              <w:right w:w="120" w:type="dxa"/>
            </w:tcMar>
            <w:vAlign w:val="center"/>
          </w:tcPr>
          <w:p w14:paraId="2AF27BED" w14:textId="77777777" w:rsidR="00950A5A" w:rsidRDefault="00000000">
            <w:r>
              <w:rPr>
                <w:b/>
                <w:bCs/>
                <w:color w:val="FFFFFF"/>
                <w:sz w:val="28"/>
                <w:szCs w:val="28"/>
              </w:rPr>
              <w:t>SUBSEQUENT FOLLOW-UP</w:t>
            </w:r>
          </w:p>
        </w:tc>
      </w:tr>
    </w:tbl>
    <w:p w14:paraId="27EB1117" w14:textId="77777777" w:rsidR="00950A5A" w:rsidRDefault="00950A5A">
      <w:pPr>
        <w:spacing w:after="80"/>
      </w:pPr>
    </w:p>
    <w:p w14:paraId="7FFB6EB3" w14:textId="77777777" w:rsidR="00950A5A" w:rsidRDefault="00000000">
      <w:pPr>
        <w:pStyle w:val="ListParagraph"/>
        <w:numPr>
          <w:ilvl w:val="0"/>
          <w:numId w:val="2"/>
        </w:numPr>
        <w:spacing w:before="30" w:after="60" w:line="290" w:lineRule="auto"/>
      </w:pPr>
      <w:r>
        <w:t>Ensure the practice is told of admission, leave (Section 17) and discharge — and read the discharge summary and care plan</w:t>
      </w:r>
    </w:p>
    <w:p w14:paraId="6BD2D6F0" w14:textId="77777777" w:rsidR="00950A5A" w:rsidRDefault="00000000">
      <w:pPr>
        <w:pStyle w:val="ListParagraph"/>
        <w:numPr>
          <w:ilvl w:val="0"/>
          <w:numId w:val="2"/>
        </w:numPr>
        <w:spacing w:before="30" w:after="60" w:line="290" w:lineRule="auto"/>
      </w:pPr>
      <w:r>
        <w:t>Patients discharged from mental health inpatient care should be followed up within 72 hours — know who is doing it</w:t>
      </w:r>
    </w:p>
    <w:p w14:paraId="128CB697" w14:textId="77777777" w:rsidR="00950A5A" w:rsidRDefault="00000000">
      <w:pPr>
        <w:pStyle w:val="ListParagraph"/>
        <w:numPr>
          <w:ilvl w:val="0"/>
          <w:numId w:val="2"/>
        </w:numPr>
        <w:spacing w:before="30" w:after="60" w:line="290" w:lineRule="auto"/>
      </w:pPr>
      <w:r>
        <w:t>Review physical health, medication (and its monitoring) and safeguarding at the first GP contact after discharge</w:t>
      </w:r>
    </w:p>
    <w:p w14:paraId="3B458D02" w14:textId="77777777" w:rsidR="00950A5A" w:rsidRDefault="00000000">
      <w:pPr>
        <w:pStyle w:val="ListParagraph"/>
        <w:numPr>
          <w:ilvl w:val="0"/>
          <w:numId w:val="2"/>
        </w:numPr>
        <w:spacing w:before="30" w:after="60" w:line="290" w:lineRule="auto"/>
      </w:pPr>
      <w:r>
        <w:t>Support the family and carers — they were part of the emergency too, and often hold the early-warning signs of relapse</w:t>
      </w:r>
    </w:p>
    <w:p w14:paraId="763F4A82" w14:textId="77777777" w:rsidR="00950A5A" w:rsidRDefault="00000000">
      <w:pPr>
        <w:pStyle w:val="ListParagraph"/>
        <w:numPr>
          <w:ilvl w:val="0"/>
          <w:numId w:val="2"/>
        </w:numPr>
        <w:spacing w:before="30" w:after="60" w:line="290" w:lineRule="auto"/>
      </w:pPr>
      <w:r>
        <w:t>Reflect and debrief as a practice: what would you do differently next time?</w:t>
      </w:r>
    </w:p>
    <w:p w14:paraId="751A53AF" w14:textId="77777777" w:rsidR="00950A5A" w:rsidRDefault="00950A5A">
      <w:pPr>
        <w:spacing w:after="240"/>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23E18E27" w14:textId="77777777">
        <w:trPr>
          <w:cantSplit/>
        </w:trPr>
        <w:tc>
          <w:tcPr>
            <w:tcW w:w="800" w:type="dxa"/>
            <w:shd w:val="clear" w:color="auto" w:fill="B07410"/>
            <w:tcMar>
              <w:top w:w="100" w:type="dxa"/>
              <w:left w:w="80" w:type="dxa"/>
              <w:bottom w:w="100" w:type="dxa"/>
              <w:right w:w="80" w:type="dxa"/>
            </w:tcMar>
            <w:vAlign w:val="center"/>
          </w:tcPr>
          <w:p w14:paraId="0E096786" w14:textId="77777777" w:rsidR="00950A5A" w:rsidRDefault="00000000">
            <w:pPr>
              <w:jc w:val="center"/>
            </w:pPr>
            <w:r>
              <w:rPr>
                <w:b/>
                <w:bCs/>
                <w:color w:val="FFFFFF"/>
                <w:sz w:val="32"/>
                <w:szCs w:val="32"/>
              </w:rPr>
              <w:t>9</w:t>
            </w:r>
          </w:p>
        </w:tc>
        <w:tc>
          <w:tcPr>
            <w:tcW w:w="8226" w:type="dxa"/>
            <w:shd w:val="clear" w:color="auto" w:fill="0E5C5B"/>
            <w:tcMar>
              <w:top w:w="100" w:type="dxa"/>
              <w:left w:w="200" w:type="dxa"/>
              <w:bottom w:w="100" w:type="dxa"/>
              <w:right w:w="120" w:type="dxa"/>
            </w:tcMar>
            <w:vAlign w:val="center"/>
          </w:tcPr>
          <w:p w14:paraId="19D53867" w14:textId="77777777" w:rsidR="00950A5A" w:rsidRDefault="00000000">
            <w:r>
              <w:rPr>
                <w:b/>
                <w:bCs/>
                <w:color w:val="FFFFFF"/>
                <w:sz w:val="28"/>
                <w:szCs w:val="28"/>
              </w:rPr>
              <w:t>WORTH ADDING TO THE SESSION (NEW)</w:t>
            </w:r>
          </w:p>
        </w:tc>
      </w:tr>
    </w:tbl>
    <w:p w14:paraId="1F1733A1" w14:textId="77777777" w:rsidR="00950A5A" w:rsidRDefault="00950A5A">
      <w:pPr>
        <w:spacing w:after="80"/>
      </w:pPr>
    </w:p>
    <w:p w14:paraId="58246993" w14:textId="77777777" w:rsidR="00950A5A" w:rsidRDefault="00000000">
      <w:pPr>
        <w:spacing w:before="60" w:after="120" w:line="300" w:lineRule="auto"/>
      </w:pPr>
      <w:r>
        <w:rPr>
          <w:i/>
          <w:iCs/>
          <w:color w:val="5A6A6A"/>
        </w:rPr>
        <w:t>The following topics were not in the original teaching aid but are now core knowledge for UK general practice, so they have been added.</w:t>
      </w:r>
    </w:p>
    <w:tbl>
      <w:tblPr>
        <w:tblW w:w="9026" w:type="dxa"/>
        <w:tblBorders>
          <w:top w:val="none" w:sz="0" w:space="0" w:color="FFFFFF"/>
          <w:left w:val="single" w:sz="24" w:space="0" w:color="0E5C5B"/>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950A5A" w14:paraId="06AA11F8" w14:textId="77777777">
        <w:trPr>
          <w:cantSplit/>
        </w:trPr>
        <w:tc>
          <w:tcPr>
            <w:tcW w:w="9026" w:type="dxa"/>
            <w:shd w:val="clear" w:color="auto" w:fill="E7F1F1"/>
            <w:tcMar>
              <w:top w:w="60" w:type="dxa"/>
              <w:left w:w="200" w:type="dxa"/>
              <w:bottom w:w="60" w:type="dxa"/>
              <w:right w:w="200" w:type="dxa"/>
            </w:tcMar>
          </w:tcPr>
          <w:p w14:paraId="07F30E30" w14:textId="77777777" w:rsidR="00950A5A" w:rsidRDefault="00000000">
            <w:pPr>
              <w:spacing w:before="60" w:after="60"/>
            </w:pPr>
            <w:r>
              <w:rPr>
                <w:b/>
                <w:bCs/>
                <w:color w:val="0A4342"/>
              </w:rPr>
              <w:t>MENTAL HEALTH ACT vs MENTAL CAPACITY ACT</w:t>
            </w:r>
          </w:p>
          <w:p w14:paraId="1273FC7D" w14:textId="77777777" w:rsidR="00950A5A" w:rsidRDefault="00000000">
            <w:pPr>
              <w:spacing w:after="60"/>
            </w:pPr>
            <w:r>
              <w:rPr>
                <w:sz w:val="20"/>
                <w:szCs w:val="20"/>
              </w:rPr>
              <w:t>The MHA authorises assessment and treatment of mental disorder, even in someone with capacity who refuses. The Mental Capacity Act 2005 covers decisions for people who lack capacity, and only allows treatment in their best interests — it cannot be used simply to treat mental illness compulsorily. If the objection is to psychiatric admission and treatment for mental disorder, think MHA.</w:t>
            </w:r>
          </w:p>
        </w:tc>
      </w:tr>
      <w:tr w:rsidR="00950A5A" w14:paraId="2869F87D" w14:textId="77777777">
        <w:tblPrEx>
          <w:tblBorders>
            <w:left w:val="single" w:sz="24" w:space="0" w:color="2E7D4F"/>
          </w:tblBorders>
        </w:tblPrEx>
        <w:trPr>
          <w:cantSplit/>
        </w:trPr>
        <w:tc>
          <w:tcPr>
            <w:tcW w:w="9026" w:type="dxa"/>
            <w:shd w:val="clear" w:color="auto" w:fill="EAF4EC"/>
            <w:tcMar>
              <w:top w:w="60" w:type="dxa"/>
              <w:left w:w="200" w:type="dxa"/>
              <w:bottom w:w="60" w:type="dxa"/>
              <w:right w:w="200" w:type="dxa"/>
            </w:tcMar>
          </w:tcPr>
          <w:p w14:paraId="4580004E" w14:textId="77777777" w:rsidR="00950A5A" w:rsidRDefault="00000000">
            <w:pPr>
              <w:spacing w:before="60" w:after="60"/>
            </w:pPr>
            <w:r>
              <w:rPr>
                <w:b/>
                <w:bCs/>
                <w:color w:val="1F5A38"/>
              </w:rPr>
              <w:t>GETTING URGENT HELP — NHS 111 ‘SELECT MENTAL HEALTH OPTION’</w:t>
            </w:r>
          </w:p>
          <w:p w14:paraId="5A98866D" w14:textId="77777777" w:rsidR="00950A5A" w:rsidRDefault="00000000">
            <w:pPr>
              <w:spacing w:after="60"/>
            </w:pPr>
            <w:r>
              <w:rPr>
                <w:sz w:val="20"/>
                <w:szCs w:val="20"/>
              </w:rPr>
              <w:t>Since April 2024, anyone in England — patients, carers or professionals — can access the local 24/7 crisis service by calling NHS 111 and selecting the mental health option. It covers all ages, including children. Life-threatening emergencies still go to 999 / A&amp;E.</w:t>
            </w:r>
          </w:p>
        </w:tc>
      </w:tr>
      <w:tr w:rsidR="00950A5A" w14:paraId="3F2B27FD" w14:textId="77777777">
        <w:tblPrEx>
          <w:tblBorders>
            <w:left w:val="single" w:sz="24" w:space="0" w:color="2E7D4F"/>
          </w:tblBorders>
        </w:tblPrEx>
        <w:trPr>
          <w:cantSplit/>
        </w:trPr>
        <w:tc>
          <w:tcPr>
            <w:tcW w:w="9026" w:type="dxa"/>
            <w:shd w:val="clear" w:color="auto" w:fill="EAF4EC"/>
            <w:tcMar>
              <w:top w:w="60" w:type="dxa"/>
              <w:left w:w="200" w:type="dxa"/>
              <w:bottom w:w="60" w:type="dxa"/>
              <w:right w:w="200" w:type="dxa"/>
            </w:tcMar>
          </w:tcPr>
          <w:p w14:paraId="046E94AD" w14:textId="77777777" w:rsidR="00950A5A" w:rsidRDefault="00000000">
            <w:pPr>
              <w:spacing w:before="60" w:after="60"/>
            </w:pPr>
            <w:r>
              <w:rPr>
                <w:b/>
                <w:bCs/>
                <w:color w:val="1F5A38"/>
              </w:rPr>
              <w:t>FIRST-EPISODE PSYCHOSIS — WHAT THE GP SHOULD (AND SHOULDN'T) DO</w:t>
            </w:r>
          </w:p>
          <w:p w14:paraId="214A6C58" w14:textId="77777777" w:rsidR="00950A5A" w:rsidRDefault="00000000">
            <w:pPr>
              <w:spacing w:after="60"/>
            </w:pPr>
            <w:r>
              <w:rPr>
                <w:sz w:val="20"/>
                <w:szCs w:val="20"/>
              </w:rPr>
              <w:t>Refer urgently to the Early Intervention in Psychosis (EIP) service — the national standard is that treatment starts within 2 weeks of referral. Do not start an antipsychotic for a first presentation of sustained psychotic symptoms in primary care unless it is done in consultation with a consultant psychiatrist (NICE CG178).</w:t>
            </w:r>
          </w:p>
        </w:tc>
      </w:tr>
      <w:tr w:rsidR="00950A5A" w14:paraId="7D87A003" w14:textId="77777777">
        <w:tblPrEx>
          <w:tblBorders>
            <w:left w:val="single" w:sz="24" w:space="0" w:color="B23A3A"/>
          </w:tblBorders>
        </w:tblPrEx>
        <w:trPr>
          <w:cantSplit/>
        </w:trPr>
        <w:tc>
          <w:tcPr>
            <w:tcW w:w="9026" w:type="dxa"/>
            <w:shd w:val="clear" w:color="auto" w:fill="FBEAEA"/>
            <w:tcMar>
              <w:top w:w="60" w:type="dxa"/>
              <w:left w:w="200" w:type="dxa"/>
              <w:bottom w:w="60" w:type="dxa"/>
              <w:right w:w="200" w:type="dxa"/>
            </w:tcMar>
          </w:tcPr>
          <w:p w14:paraId="75A9DB57" w14:textId="77777777" w:rsidR="00950A5A" w:rsidRDefault="00000000">
            <w:pPr>
              <w:spacing w:before="60" w:after="60"/>
            </w:pPr>
            <w:r>
              <w:rPr>
                <w:b/>
                <w:bCs/>
                <w:color w:val="7E2727"/>
              </w:rPr>
              <w:t>SAFEGUARDING — THINK BEYOND THE PATIENT</w:t>
            </w:r>
          </w:p>
          <w:p w14:paraId="10508EEC" w14:textId="77777777" w:rsidR="00950A5A" w:rsidRDefault="00000000">
            <w:pPr>
              <w:spacing w:after="60"/>
            </w:pPr>
            <w:r>
              <w:rPr>
                <w:sz w:val="20"/>
                <w:szCs w:val="20"/>
              </w:rPr>
              <w:t>In every psychiatric emergency ask: who else is at home? Children of a parent in crisis, dependent adults, and carers may all need a safeguarding referral. Puerperal psychosis is a psychiatric emergency in its own right — same-day specialist (perinatal) assessment, and never leave mother and baby unsupervised while acutely psychotic.</w:t>
            </w:r>
          </w:p>
        </w:tc>
      </w:tr>
    </w:tbl>
    <w:p w14:paraId="5712A0B4" w14:textId="77777777" w:rsidR="00950A5A" w:rsidRDefault="00950A5A">
      <w:pPr>
        <w:pageBreakBefore/>
      </w:pPr>
    </w:p>
    <w:tbl>
      <w:tblPr>
        <w:tblW w:w="9026"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8226"/>
      </w:tblGrid>
      <w:tr w:rsidR="00950A5A" w14:paraId="22569C25" w14:textId="77777777">
        <w:trPr>
          <w:cantSplit/>
        </w:trPr>
        <w:tc>
          <w:tcPr>
            <w:tcW w:w="800" w:type="dxa"/>
            <w:shd w:val="clear" w:color="auto" w:fill="B07410"/>
            <w:tcMar>
              <w:top w:w="100" w:type="dxa"/>
              <w:left w:w="80" w:type="dxa"/>
              <w:bottom w:w="100" w:type="dxa"/>
              <w:right w:w="80" w:type="dxa"/>
            </w:tcMar>
            <w:vAlign w:val="center"/>
          </w:tcPr>
          <w:p w14:paraId="00ABFEEC" w14:textId="77777777" w:rsidR="00950A5A" w:rsidRDefault="00000000">
            <w:pPr>
              <w:jc w:val="center"/>
            </w:pPr>
            <w:r>
              <w:rPr>
                <w:b/>
                <w:bCs/>
                <w:color w:val="FFFFFF"/>
                <w:sz w:val="32"/>
                <w:szCs w:val="32"/>
              </w:rPr>
              <w:t>A</w:t>
            </w:r>
          </w:p>
        </w:tc>
        <w:tc>
          <w:tcPr>
            <w:tcW w:w="8226" w:type="dxa"/>
            <w:shd w:val="clear" w:color="auto" w:fill="0E5C5B"/>
            <w:tcMar>
              <w:top w:w="100" w:type="dxa"/>
              <w:left w:w="200" w:type="dxa"/>
              <w:bottom w:w="100" w:type="dxa"/>
              <w:right w:w="120" w:type="dxa"/>
            </w:tcMar>
            <w:vAlign w:val="center"/>
          </w:tcPr>
          <w:p w14:paraId="615F5BEE" w14:textId="77777777" w:rsidR="00950A5A" w:rsidRDefault="00000000">
            <w:r>
              <w:rPr>
                <w:b/>
                <w:bCs/>
                <w:color w:val="FFFFFF"/>
                <w:sz w:val="28"/>
                <w:szCs w:val="28"/>
              </w:rPr>
              <w:t>WHAT WAS UPDATED, AND WHY</w:t>
            </w:r>
          </w:p>
        </w:tc>
      </w:tr>
    </w:tbl>
    <w:p w14:paraId="6FB0FED8" w14:textId="77777777" w:rsidR="00950A5A" w:rsidRDefault="00950A5A">
      <w:pPr>
        <w:spacing w:after="80"/>
      </w:pPr>
    </w:p>
    <w:p w14:paraId="742DA8A4" w14:textId="77777777" w:rsidR="00950A5A" w:rsidRDefault="00000000">
      <w:pPr>
        <w:spacing w:before="40" w:after="90" w:line="270" w:lineRule="auto"/>
      </w:pPr>
      <w:r>
        <w:rPr>
          <w:i/>
          <w:iCs/>
          <w:color w:val="5A6A6A"/>
          <w:sz w:val="20"/>
          <w:szCs w:val="20"/>
        </w:rPr>
        <w:t>This teaching aid keeps the structure, section order and teaching intent of the original document. The clinical and legal content below was corrected or updated against current UK guidance (verified July 2026).</w:t>
      </w:r>
    </w:p>
    <w:tbl>
      <w:tblPr>
        <w:tblW w:w="9026" w:type="dxa"/>
        <w:tblBorders>
          <w:top w:val="none" w:sz="0" w:space="0" w:color="FFFFFF"/>
          <w:left w:val="none" w:sz="0" w:space="0" w:color="FFFFFF"/>
          <w:bottom w:val="none" w:sz="0" w:space="0" w:color="FFFFFF"/>
          <w:right w:val="none" w:sz="0" w:space="0" w:color="FFFFFF"/>
          <w:insideH w:val="single" w:sz="4" w:space="0" w:color="D6E4E4"/>
          <w:insideV w:val="none" w:sz="0" w:space="0" w:color="FFFFFF"/>
        </w:tblBorders>
        <w:tblCellMar>
          <w:left w:w="10" w:type="dxa"/>
          <w:right w:w="10" w:type="dxa"/>
        </w:tblCellMar>
        <w:tblLook w:val="04A0" w:firstRow="1" w:lastRow="0" w:firstColumn="1" w:lastColumn="0" w:noHBand="0" w:noVBand="1"/>
      </w:tblPr>
      <w:tblGrid>
        <w:gridCol w:w="3600"/>
        <w:gridCol w:w="5426"/>
      </w:tblGrid>
      <w:tr w:rsidR="00950A5A" w14:paraId="3C4B4D94" w14:textId="77777777">
        <w:trPr>
          <w:cantSplit/>
          <w:tblHeader/>
        </w:trPr>
        <w:tc>
          <w:tcPr>
            <w:tcW w:w="3600" w:type="dxa"/>
            <w:shd w:val="clear" w:color="auto" w:fill="0E5C5B"/>
            <w:tcMar>
              <w:top w:w="80" w:type="dxa"/>
              <w:left w:w="120" w:type="dxa"/>
              <w:bottom w:w="80" w:type="dxa"/>
              <w:right w:w="80" w:type="dxa"/>
            </w:tcMar>
          </w:tcPr>
          <w:p w14:paraId="16AB854E" w14:textId="77777777" w:rsidR="00950A5A" w:rsidRDefault="00000000">
            <w:pPr>
              <w:spacing w:before="40" w:after="40"/>
            </w:pPr>
            <w:r>
              <w:rPr>
                <w:b/>
                <w:bCs/>
                <w:color w:val="FFFFFF"/>
                <w:sz w:val="18"/>
                <w:szCs w:val="18"/>
              </w:rPr>
              <w:t>ORIGINAL</w:t>
            </w:r>
          </w:p>
        </w:tc>
        <w:tc>
          <w:tcPr>
            <w:tcW w:w="5426" w:type="dxa"/>
            <w:shd w:val="clear" w:color="auto" w:fill="0E5C5B"/>
            <w:tcMar>
              <w:top w:w="80" w:type="dxa"/>
              <w:left w:w="120" w:type="dxa"/>
              <w:bottom w:w="80" w:type="dxa"/>
              <w:right w:w="80" w:type="dxa"/>
            </w:tcMar>
          </w:tcPr>
          <w:p w14:paraId="4D25C033" w14:textId="77777777" w:rsidR="00950A5A" w:rsidRDefault="00000000">
            <w:pPr>
              <w:spacing w:before="40" w:after="40"/>
            </w:pPr>
            <w:r>
              <w:rPr>
                <w:b/>
                <w:bCs/>
                <w:color w:val="FFFFFF"/>
                <w:sz w:val="18"/>
                <w:szCs w:val="18"/>
              </w:rPr>
              <w:t>UPDATED TO — AND SOURCE</w:t>
            </w:r>
          </w:p>
        </w:tc>
      </w:tr>
      <w:tr w:rsidR="00950A5A" w14:paraId="395C7C99" w14:textId="77777777">
        <w:trPr>
          <w:cantSplit/>
        </w:trPr>
        <w:tc>
          <w:tcPr>
            <w:tcW w:w="3600" w:type="dxa"/>
            <w:shd w:val="clear" w:color="auto" w:fill="FFFFFF"/>
            <w:tcMar>
              <w:top w:w="30" w:type="dxa"/>
              <w:left w:w="120" w:type="dxa"/>
              <w:bottom w:w="30" w:type="dxa"/>
              <w:right w:w="80" w:type="dxa"/>
            </w:tcMar>
          </w:tcPr>
          <w:p w14:paraId="2FEBF392" w14:textId="77777777" w:rsidR="00950A5A" w:rsidRDefault="00000000">
            <w:pPr>
              <w:spacing w:before="20" w:after="20"/>
            </w:pPr>
            <w:r>
              <w:rPr>
                <w:sz w:val="17"/>
                <w:szCs w:val="17"/>
              </w:rPr>
              <w:t>“Application must be made by an approved social worker”</w:t>
            </w:r>
          </w:p>
        </w:tc>
        <w:tc>
          <w:tcPr>
            <w:tcW w:w="5426" w:type="dxa"/>
            <w:shd w:val="clear" w:color="auto" w:fill="FFFFFF"/>
            <w:tcMar>
              <w:top w:w="30" w:type="dxa"/>
              <w:left w:w="120" w:type="dxa"/>
              <w:bottom w:w="30" w:type="dxa"/>
              <w:right w:w="80" w:type="dxa"/>
            </w:tcMar>
          </w:tcPr>
          <w:p w14:paraId="09EBE27D" w14:textId="77777777" w:rsidR="00950A5A" w:rsidRDefault="00000000">
            <w:pPr>
              <w:spacing w:before="20" w:after="20"/>
            </w:pPr>
            <w:r>
              <w:rPr>
                <w:sz w:val="17"/>
                <w:szCs w:val="17"/>
              </w:rPr>
              <w:t>Applications are made by an Approved Mental Health Professional (AMHP) — the ASW role was abolished in 2007. Source: MHA 1983 (as amended 2007); Code of Practice 2015.</w:t>
            </w:r>
          </w:p>
        </w:tc>
      </w:tr>
      <w:tr w:rsidR="00950A5A" w14:paraId="1A22DEC8" w14:textId="77777777">
        <w:trPr>
          <w:cantSplit/>
        </w:trPr>
        <w:tc>
          <w:tcPr>
            <w:tcW w:w="3600" w:type="dxa"/>
            <w:shd w:val="clear" w:color="auto" w:fill="F3F8F8"/>
            <w:tcMar>
              <w:top w:w="30" w:type="dxa"/>
              <w:left w:w="120" w:type="dxa"/>
              <w:bottom w:w="30" w:type="dxa"/>
              <w:right w:w="80" w:type="dxa"/>
            </w:tcMar>
          </w:tcPr>
          <w:p w14:paraId="2C24D359" w14:textId="77777777" w:rsidR="00950A5A" w:rsidRDefault="00000000">
            <w:pPr>
              <w:spacing w:before="20" w:after="20"/>
            </w:pPr>
            <w:r>
              <w:rPr>
                <w:sz w:val="17"/>
                <w:szCs w:val="17"/>
              </w:rPr>
              <w:t>“Usually two doctors… one of whom must be approved” (unqualified)</w:t>
            </w:r>
          </w:p>
        </w:tc>
        <w:tc>
          <w:tcPr>
            <w:tcW w:w="5426" w:type="dxa"/>
            <w:shd w:val="clear" w:color="auto" w:fill="F3F8F8"/>
            <w:tcMar>
              <w:top w:w="30" w:type="dxa"/>
              <w:left w:w="120" w:type="dxa"/>
              <w:bottom w:w="30" w:type="dxa"/>
              <w:right w:w="80" w:type="dxa"/>
            </w:tcMar>
          </w:tcPr>
          <w:p w14:paraId="1BCCC80A" w14:textId="77777777" w:rsidR="00950A5A" w:rsidRDefault="00000000">
            <w:pPr>
              <w:spacing w:before="20" w:after="20"/>
            </w:pPr>
            <w:r>
              <w:rPr>
                <w:sz w:val="17"/>
                <w:szCs w:val="17"/>
              </w:rPr>
              <w:t>Clarified: two doctors for Sections 2 and 3 (one section 12 approved, one ideally knowing the patient); Section 4 needs only one doctor. Source: MHA 1983 ss.2–4, 12.</w:t>
            </w:r>
          </w:p>
        </w:tc>
      </w:tr>
      <w:tr w:rsidR="00950A5A" w14:paraId="1DB8BD16" w14:textId="77777777">
        <w:trPr>
          <w:cantSplit/>
        </w:trPr>
        <w:tc>
          <w:tcPr>
            <w:tcW w:w="3600" w:type="dxa"/>
            <w:shd w:val="clear" w:color="auto" w:fill="FFFFFF"/>
            <w:tcMar>
              <w:top w:w="30" w:type="dxa"/>
              <w:left w:w="120" w:type="dxa"/>
              <w:bottom w:w="30" w:type="dxa"/>
              <w:right w:w="80" w:type="dxa"/>
            </w:tcMar>
          </w:tcPr>
          <w:p w14:paraId="46C96C82" w14:textId="77777777" w:rsidR="00950A5A" w:rsidRDefault="00000000">
            <w:pPr>
              <w:spacing w:before="20" w:after="20"/>
            </w:pPr>
            <w:r>
              <w:rPr>
                <w:sz w:val="17"/>
                <w:szCs w:val="17"/>
              </w:rPr>
              <w:t>“Triage — ?Crisis Response Team”</w:t>
            </w:r>
          </w:p>
        </w:tc>
        <w:tc>
          <w:tcPr>
            <w:tcW w:w="5426" w:type="dxa"/>
            <w:shd w:val="clear" w:color="auto" w:fill="FFFFFF"/>
            <w:tcMar>
              <w:top w:w="30" w:type="dxa"/>
              <w:left w:w="120" w:type="dxa"/>
              <w:bottom w:w="30" w:type="dxa"/>
              <w:right w:w="80" w:type="dxa"/>
            </w:tcMar>
          </w:tcPr>
          <w:p w14:paraId="38548680" w14:textId="77777777" w:rsidR="00950A5A" w:rsidRDefault="00000000">
            <w:pPr>
              <w:spacing w:before="20" w:after="20"/>
            </w:pPr>
            <w:r>
              <w:rPr>
                <w:sz w:val="17"/>
                <w:szCs w:val="17"/>
              </w:rPr>
              <w:t>Updated to Crisis Resolution and Home Treatment Team (CRHTT), now accessed 24/7 via NHS 111 ‘select mental health option’ (national since April 2024). Source: NHS England.</w:t>
            </w:r>
          </w:p>
        </w:tc>
      </w:tr>
      <w:tr w:rsidR="00950A5A" w14:paraId="3FC5F58C" w14:textId="77777777">
        <w:trPr>
          <w:cantSplit/>
        </w:trPr>
        <w:tc>
          <w:tcPr>
            <w:tcW w:w="3600" w:type="dxa"/>
            <w:shd w:val="clear" w:color="auto" w:fill="F3F8F8"/>
            <w:tcMar>
              <w:top w:w="30" w:type="dxa"/>
              <w:left w:w="120" w:type="dxa"/>
              <w:bottom w:w="30" w:type="dxa"/>
              <w:right w:w="80" w:type="dxa"/>
            </w:tcMar>
          </w:tcPr>
          <w:p w14:paraId="533AADA3" w14:textId="77777777" w:rsidR="00950A5A" w:rsidRDefault="00000000">
            <w:pPr>
              <w:spacing w:before="20" w:after="20"/>
            </w:pPr>
            <w:r>
              <w:rPr>
                <w:sz w:val="17"/>
                <w:szCs w:val="17"/>
              </w:rPr>
              <w:t>“Hypomania” listed among emergency psychoses</w:t>
            </w:r>
          </w:p>
        </w:tc>
        <w:tc>
          <w:tcPr>
            <w:tcW w:w="5426" w:type="dxa"/>
            <w:shd w:val="clear" w:color="auto" w:fill="F3F8F8"/>
            <w:tcMar>
              <w:top w:w="30" w:type="dxa"/>
              <w:left w:w="120" w:type="dxa"/>
              <w:bottom w:w="30" w:type="dxa"/>
              <w:right w:w="80" w:type="dxa"/>
            </w:tcMar>
          </w:tcPr>
          <w:p w14:paraId="0D242C58" w14:textId="77777777" w:rsidR="00950A5A" w:rsidRDefault="00000000">
            <w:pPr>
              <w:spacing w:before="20" w:after="20"/>
            </w:pPr>
            <w:r>
              <w:rPr>
                <w:sz w:val="17"/>
                <w:szCs w:val="17"/>
              </w:rPr>
              <w:t>Reworded to mania (bipolar disorder): mania — especially with psychotic features — is the emergency; hypomania by definition lacks psychotic features and severe impairment. Source: NICE CG185 / ICD-11.</w:t>
            </w:r>
          </w:p>
        </w:tc>
      </w:tr>
      <w:tr w:rsidR="00950A5A" w14:paraId="7B8214A4" w14:textId="77777777">
        <w:trPr>
          <w:cantSplit/>
        </w:trPr>
        <w:tc>
          <w:tcPr>
            <w:tcW w:w="3600" w:type="dxa"/>
            <w:shd w:val="clear" w:color="auto" w:fill="FFFFFF"/>
            <w:tcMar>
              <w:top w:w="30" w:type="dxa"/>
              <w:left w:w="120" w:type="dxa"/>
              <w:bottom w:w="30" w:type="dxa"/>
              <w:right w:w="80" w:type="dxa"/>
            </w:tcMar>
          </w:tcPr>
          <w:p w14:paraId="2869E3F0" w14:textId="77777777" w:rsidR="00950A5A" w:rsidRDefault="00000000">
            <w:pPr>
              <w:spacing w:before="20" w:after="20"/>
            </w:pPr>
            <w:r>
              <w:rPr>
                <w:sz w:val="17"/>
                <w:szCs w:val="17"/>
              </w:rPr>
              <w:t>“Toxic confusional states”</w:t>
            </w:r>
          </w:p>
        </w:tc>
        <w:tc>
          <w:tcPr>
            <w:tcW w:w="5426" w:type="dxa"/>
            <w:shd w:val="clear" w:color="auto" w:fill="FFFFFF"/>
            <w:tcMar>
              <w:top w:w="30" w:type="dxa"/>
              <w:left w:w="120" w:type="dxa"/>
              <w:bottom w:w="30" w:type="dxa"/>
              <w:right w:w="80" w:type="dxa"/>
            </w:tcMar>
          </w:tcPr>
          <w:p w14:paraId="015A2D22" w14:textId="77777777" w:rsidR="00950A5A" w:rsidRDefault="00000000">
            <w:pPr>
              <w:spacing w:before="20" w:after="20"/>
            </w:pPr>
            <w:r>
              <w:rPr>
                <w:sz w:val="17"/>
                <w:szCs w:val="17"/>
              </w:rPr>
              <w:t>Updated to current terminology — delirium (acute confusional state) — with an explicit ‘exclude organic causes’ warning. Source: NICE CG103 (delirium).</w:t>
            </w:r>
          </w:p>
        </w:tc>
      </w:tr>
      <w:tr w:rsidR="00950A5A" w14:paraId="70909406" w14:textId="77777777">
        <w:trPr>
          <w:cantSplit/>
        </w:trPr>
        <w:tc>
          <w:tcPr>
            <w:tcW w:w="3600" w:type="dxa"/>
            <w:shd w:val="clear" w:color="auto" w:fill="F3F8F8"/>
            <w:tcMar>
              <w:top w:w="30" w:type="dxa"/>
              <w:left w:w="120" w:type="dxa"/>
              <w:bottom w:w="30" w:type="dxa"/>
              <w:right w:w="80" w:type="dxa"/>
            </w:tcMar>
          </w:tcPr>
          <w:p w14:paraId="485EC69F" w14:textId="77777777" w:rsidR="00950A5A" w:rsidRDefault="00000000">
            <w:pPr>
              <w:spacing w:before="20" w:after="20"/>
            </w:pPr>
            <w:r>
              <w:rPr>
                <w:sz w:val="17"/>
                <w:szCs w:val="17"/>
              </w:rPr>
              <w:t>“If not possible ?restraint ?chemical”</w:t>
            </w:r>
          </w:p>
        </w:tc>
        <w:tc>
          <w:tcPr>
            <w:tcW w:w="5426" w:type="dxa"/>
            <w:shd w:val="clear" w:color="auto" w:fill="F3F8F8"/>
            <w:tcMar>
              <w:top w:w="30" w:type="dxa"/>
              <w:left w:w="120" w:type="dxa"/>
              <w:bottom w:w="30" w:type="dxa"/>
              <w:right w:w="80" w:type="dxa"/>
            </w:tcMar>
          </w:tcPr>
          <w:p w14:paraId="76F6AE7B" w14:textId="77777777" w:rsidR="00950A5A" w:rsidRDefault="00000000">
            <w:pPr>
              <w:spacing w:before="20" w:after="20"/>
            </w:pPr>
            <w:r>
              <w:rPr>
                <w:sz w:val="17"/>
                <w:szCs w:val="17"/>
              </w:rPr>
              <w:t>Corrected: de-escalation comes first; restraint and rapid tranquillisation belong in staffed, monitored settings — not GP-alone community care. Source: NICE NG10 (2015).</w:t>
            </w:r>
          </w:p>
        </w:tc>
      </w:tr>
      <w:tr w:rsidR="00950A5A" w14:paraId="0B680224" w14:textId="77777777">
        <w:trPr>
          <w:cantSplit/>
        </w:trPr>
        <w:tc>
          <w:tcPr>
            <w:tcW w:w="3600" w:type="dxa"/>
            <w:shd w:val="clear" w:color="auto" w:fill="FFFFFF"/>
            <w:tcMar>
              <w:top w:w="30" w:type="dxa"/>
              <w:left w:w="120" w:type="dxa"/>
              <w:bottom w:w="30" w:type="dxa"/>
              <w:right w:w="80" w:type="dxa"/>
            </w:tcMar>
          </w:tcPr>
          <w:p w14:paraId="758BA762" w14:textId="77777777" w:rsidR="00950A5A" w:rsidRDefault="00000000">
            <w:pPr>
              <w:spacing w:before="20" w:after="20"/>
            </w:pPr>
            <w:r>
              <w:rPr>
                <w:sz w:val="17"/>
                <w:szCs w:val="17"/>
              </w:rPr>
              <w:t>Risk assessment (implicit checklist approach)</w:t>
            </w:r>
          </w:p>
        </w:tc>
        <w:tc>
          <w:tcPr>
            <w:tcW w:w="5426" w:type="dxa"/>
            <w:shd w:val="clear" w:color="auto" w:fill="FFFFFF"/>
            <w:tcMar>
              <w:top w:w="30" w:type="dxa"/>
              <w:left w:w="120" w:type="dxa"/>
              <w:bottom w:w="30" w:type="dxa"/>
              <w:right w:w="80" w:type="dxa"/>
            </w:tcMar>
          </w:tcPr>
          <w:p w14:paraId="09A14886" w14:textId="77777777" w:rsidR="00950A5A" w:rsidRDefault="00000000">
            <w:pPr>
              <w:spacing w:before="20" w:after="20"/>
            </w:pPr>
            <w:r>
              <w:rPr>
                <w:sz w:val="17"/>
                <w:szCs w:val="17"/>
              </w:rPr>
              <w:t>Added: do not use risk tools/scales or low–medium–high stratification to predict suicide or allocate care — use person-centred psychosocial assessment. Source: NICE NG225 (2022).</w:t>
            </w:r>
          </w:p>
        </w:tc>
      </w:tr>
      <w:tr w:rsidR="00950A5A" w14:paraId="2B575D0C" w14:textId="77777777">
        <w:trPr>
          <w:cantSplit/>
        </w:trPr>
        <w:tc>
          <w:tcPr>
            <w:tcW w:w="3600" w:type="dxa"/>
            <w:shd w:val="clear" w:color="auto" w:fill="F3F8F8"/>
            <w:tcMar>
              <w:top w:w="30" w:type="dxa"/>
              <w:left w:w="120" w:type="dxa"/>
              <w:bottom w:w="30" w:type="dxa"/>
              <w:right w:w="80" w:type="dxa"/>
            </w:tcMar>
          </w:tcPr>
          <w:p w14:paraId="3026E12B" w14:textId="77777777" w:rsidR="00950A5A" w:rsidRDefault="00000000">
            <w:pPr>
              <w:spacing w:before="20" w:after="20"/>
            </w:pPr>
            <w:r>
              <w:rPr>
                <w:sz w:val="17"/>
                <w:szCs w:val="17"/>
              </w:rPr>
              <w:t>New content (Section 9)</w:t>
            </w:r>
          </w:p>
        </w:tc>
        <w:tc>
          <w:tcPr>
            <w:tcW w:w="5426" w:type="dxa"/>
            <w:shd w:val="clear" w:color="auto" w:fill="F3F8F8"/>
            <w:tcMar>
              <w:top w:w="30" w:type="dxa"/>
              <w:left w:w="120" w:type="dxa"/>
              <w:bottom w:w="30" w:type="dxa"/>
              <w:right w:w="80" w:type="dxa"/>
            </w:tcMar>
          </w:tcPr>
          <w:p w14:paraId="5E98EA0A" w14:textId="77777777" w:rsidR="00950A5A" w:rsidRDefault="00000000">
            <w:pPr>
              <w:spacing w:before="20" w:after="20"/>
            </w:pPr>
            <w:r>
              <w:rPr>
                <w:sz w:val="17"/>
                <w:szCs w:val="17"/>
              </w:rPr>
              <w:t>MHA vs MCA; NHS 111 mental health option; first-episode psychosis — EIP 2-week standard, no antipsychotic initiation in primary care without consultant advice (NICE CG178/QS80); safeguarding and puerperal psychosis (NICE CG192).</w:t>
            </w:r>
          </w:p>
        </w:tc>
      </w:tr>
    </w:tbl>
    <w:p w14:paraId="51995FEA" w14:textId="77777777" w:rsidR="00950A5A" w:rsidRDefault="00000000">
      <w:pPr>
        <w:spacing w:before="100" w:line="250" w:lineRule="auto"/>
      </w:pPr>
      <w:r>
        <w:rPr>
          <w:i/>
          <w:iCs/>
          <w:color w:val="5A6A6A"/>
          <w:sz w:val="17"/>
          <w:szCs w:val="17"/>
        </w:rPr>
        <w:t>Legal horizon: the Mental Health Act 2025 will amend detention criteria and roles as it is phased in — check implementation updates (GOV.UK / DHSC).</w:t>
      </w:r>
    </w:p>
    <w:p w14:paraId="04016396" w14:textId="77777777" w:rsidR="00950A5A" w:rsidRDefault="00950A5A">
      <w:pPr>
        <w:pBdr>
          <w:top w:val="single" w:sz="8" w:space="0" w:color="B07410"/>
        </w:pBdr>
        <w:spacing w:before="200" w:after="60"/>
      </w:pPr>
    </w:p>
    <w:p w14:paraId="44562139" w14:textId="77777777" w:rsidR="00950A5A" w:rsidRDefault="00000000">
      <w:pPr>
        <w:spacing w:after="60"/>
      </w:pPr>
      <w:r>
        <w:rPr>
          <w:b/>
          <w:bCs/>
          <w:color w:val="B07410"/>
          <w:sz w:val="19"/>
          <w:szCs w:val="19"/>
        </w:rPr>
        <w:t>DISCLAIMER</w:t>
      </w:r>
    </w:p>
    <w:p w14:paraId="3745563C" w14:textId="77777777" w:rsidR="00950A5A" w:rsidRDefault="00000000">
      <w:pPr>
        <w:spacing w:line="270" w:lineRule="auto"/>
      </w:pPr>
      <w:r>
        <w:rPr>
          <w:i/>
          <w:iCs/>
          <w:color w:val="5A6A6A"/>
          <w:sz w:val="18"/>
          <w:szCs w:val="18"/>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local policies, and relevant regulatory bodies before applying in practice.</w:t>
      </w:r>
    </w:p>
    <w:sectPr w:rsidR="00950A5A">
      <w:headerReference w:type="default" r:id="rId8"/>
      <w:footerReference w:type="default" r:id="rId9"/>
      <w:headerReference w:type="first" r:id="rId10"/>
      <w:footerReference w:type="first" r:id="rId11"/>
      <w:pgSz w:w="11906" w:h="16838"/>
      <w:pgMar w:top="1296" w:right="1440" w:bottom="1296"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5BD8C" w14:textId="77777777" w:rsidR="00C40EFA" w:rsidRDefault="00C40EFA">
      <w:r>
        <w:separator/>
      </w:r>
    </w:p>
  </w:endnote>
  <w:endnote w:type="continuationSeparator" w:id="0">
    <w:p w14:paraId="68021C2E" w14:textId="77777777" w:rsidR="00C40EFA" w:rsidRDefault="00C40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9BAA" w14:textId="77777777" w:rsidR="00950A5A" w:rsidRDefault="00000000">
    <w:pPr>
      <w:pBdr>
        <w:top w:val="single" w:sz="6" w:space="0" w:color="D6E4E4"/>
      </w:pBdr>
      <w:spacing w:before="60"/>
      <w:jc w:val="center"/>
    </w:pPr>
    <w:r>
      <w:rPr>
        <w:color w:val="5A6A6A"/>
        <w:sz w:val="16"/>
        <w:szCs w:val="16"/>
      </w:rPr>
      <w:t xml:space="preserve">Bradford VTS  •  July 2026  •  Page </w:t>
    </w:r>
    <w:r>
      <w:rPr>
        <w:color w:val="5A6A6A"/>
        <w:sz w:val="16"/>
        <w:szCs w:val="16"/>
      </w:rPr>
      <w:fldChar w:fldCharType="begin"/>
    </w:r>
    <w:r>
      <w:rPr>
        <w:color w:val="5A6A6A"/>
        <w:sz w:val="16"/>
        <w:szCs w:val="16"/>
      </w:rPr>
      <w:instrText>PAGE</w:instrText>
    </w:r>
    <w:r>
      <w:rPr>
        <w:color w:val="5A6A6A"/>
        <w:sz w:val="16"/>
        <w:szCs w:val="16"/>
      </w:rPr>
      <w:fldChar w:fldCharType="separate"/>
    </w:r>
    <w:r w:rsidR="00D1591B">
      <w:rPr>
        <w:noProof/>
        <w:color w:val="5A6A6A"/>
        <w:sz w:val="16"/>
        <w:szCs w:val="16"/>
      </w:rPr>
      <w:t>2</w:t>
    </w:r>
    <w:r>
      <w:rPr>
        <w:color w:val="5A6A6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493D" w14:textId="77777777" w:rsidR="005777C6"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54C26" w14:textId="77777777" w:rsidR="00C40EFA" w:rsidRDefault="00C40EFA">
      <w:r>
        <w:separator/>
      </w:r>
    </w:p>
  </w:footnote>
  <w:footnote w:type="continuationSeparator" w:id="0">
    <w:p w14:paraId="409F5428" w14:textId="77777777" w:rsidR="00C40EFA" w:rsidRDefault="00C40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6E7F" w14:textId="77777777" w:rsidR="00950A5A" w:rsidRDefault="00000000">
    <w:pPr>
      <w:pBdr>
        <w:bottom w:val="single" w:sz="6" w:space="0" w:color="0E5C5B"/>
      </w:pBdr>
      <w:tabs>
        <w:tab w:val="right" w:pos="9026"/>
      </w:tabs>
      <w:spacing w:after="120"/>
    </w:pPr>
    <w:r>
      <w:rPr>
        <w:b/>
        <w:bCs/>
        <w:color w:val="0E5C5B"/>
        <w:sz w:val="16"/>
        <w:szCs w:val="16"/>
      </w:rPr>
      <w:t>BRADFORD VTS TEACHING AIDS</w:t>
    </w:r>
    <w:r>
      <w:rPr>
        <w:color w:val="5A6A6A"/>
        <w:sz w:val="16"/>
        <w:szCs w:val="16"/>
      </w:rPr>
      <w:tab/>
      <w:t>PSYCHIATRIC EMERGENCIES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5E1D" w14:textId="77777777" w:rsidR="005777C6"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33F74"/>
    <w:multiLevelType w:val="hybridMultilevel"/>
    <w:tmpl w:val="1F28CBF8"/>
    <w:lvl w:ilvl="0" w:tplc="78AE0FC2">
      <w:start w:val="1"/>
      <w:numFmt w:val="bullet"/>
      <w:lvlText w:val="•"/>
      <w:lvlJc w:val="left"/>
      <w:pPr>
        <w:ind w:left="460" w:hanging="240"/>
      </w:pPr>
      <w:rPr>
        <w:b/>
        <w:bCs/>
        <w:color w:val="B07410"/>
      </w:rPr>
    </w:lvl>
    <w:lvl w:ilvl="1" w:tplc="D01C43BE">
      <w:numFmt w:val="decimal"/>
      <w:lvlText w:val=""/>
      <w:lvlJc w:val="left"/>
    </w:lvl>
    <w:lvl w:ilvl="2" w:tplc="52CCB0C4">
      <w:numFmt w:val="decimal"/>
      <w:lvlText w:val=""/>
      <w:lvlJc w:val="left"/>
    </w:lvl>
    <w:lvl w:ilvl="3" w:tplc="BF68939E">
      <w:numFmt w:val="decimal"/>
      <w:lvlText w:val=""/>
      <w:lvlJc w:val="left"/>
    </w:lvl>
    <w:lvl w:ilvl="4" w:tplc="7A08EF8C">
      <w:numFmt w:val="decimal"/>
      <w:lvlText w:val=""/>
      <w:lvlJc w:val="left"/>
    </w:lvl>
    <w:lvl w:ilvl="5" w:tplc="88524352">
      <w:numFmt w:val="decimal"/>
      <w:lvlText w:val=""/>
      <w:lvlJc w:val="left"/>
    </w:lvl>
    <w:lvl w:ilvl="6" w:tplc="0FF213D8">
      <w:numFmt w:val="decimal"/>
      <w:lvlText w:val=""/>
      <w:lvlJc w:val="left"/>
    </w:lvl>
    <w:lvl w:ilvl="7" w:tplc="C2303434">
      <w:numFmt w:val="decimal"/>
      <w:lvlText w:val=""/>
      <w:lvlJc w:val="left"/>
    </w:lvl>
    <w:lvl w:ilvl="8" w:tplc="005AC546">
      <w:numFmt w:val="decimal"/>
      <w:lvlText w:val=""/>
      <w:lvlJc w:val="left"/>
    </w:lvl>
  </w:abstractNum>
  <w:abstractNum w:abstractNumId="1" w15:restartNumberingAfterBreak="0">
    <w:nsid w:val="20367FA3"/>
    <w:multiLevelType w:val="hybridMultilevel"/>
    <w:tmpl w:val="EDC2BBEE"/>
    <w:lvl w:ilvl="0" w:tplc="2EA2601C">
      <w:start w:val="1"/>
      <w:numFmt w:val="bullet"/>
      <w:lvlText w:val="●"/>
      <w:lvlJc w:val="left"/>
      <w:pPr>
        <w:ind w:left="720" w:hanging="360"/>
      </w:pPr>
    </w:lvl>
    <w:lvl w:ilvl="1" w:tplc="7EBE9C36">
      <w:start w:val="1"/>
      <w:numFmt w:val="bullet"/>
      <w:lvlText w:val="○"/>
      <w:lvlJc w:val="left"/>
      <w:pPr>
        <w:ind w:left="1440" w:hanging="360"/>
      </w:pPr>
    </w:lvl>
    <w:lvl w:ilvl="2" w:tplc="74043364">
      <w:start w:val="1"/>
      <w:numFmt w:val="bullet"/>
      <w:lvlText w:val="■"/>
      <w:lvlJc w:val="left"/>
      <w:pPr>
        <w:ind w:left="2160" w:hanging="360"/>
      </w:pPr>
    </w:lvl>
    <w:lvl w:ilvl="3" w:tplc="EED4CB8C">
      <w:start w:val="1"/>
      <w:numFmt w:val="bullet"/>
      <w:lvlText w:val="●"/>
      <w:lvlJc w:val="left"/>
      <w:pPr>
        <w:ind w:left="2880" w:hanging="360"/>
      </w:pPr>
    </w:lvl>
    <w:lvl w:ilvl="4" w:tplc="5B68FB86">
      <w:start w:val="1"/>
      <w:numFmt w:val="bullet"/>
      <w:lvlText w:val="○"/>
      <w:lvlJc w:val="left"/>
      <w:pPr>
        <w:ind w:left="3600" w:hanging="360"/>
      </w:pPr>
    </w:lvl>
    <w:lvl w:ilvl="5" w:tplc="012E9CE8">
      <w:start w:val="1"/>
      <w:numFmt w:val="bullet"/>
      <w:lvlText w:val="■"/>
      <w:lvlJc w:val="left"/>
      <w:pPr>
        <w:ind w:left="4320" w:hanging="360"/>
      </w:pPr>
    </w:lvl>
    <w:lvl w:ilvl="6" w:tplc="E40C1F54">
      <w:start w:val="1"/>
      <w:numFmt w:val="bullet"/>
      <w:lvlText w:val="●"/>
      <w:lvlJc w:val="left"/>
      <w:pPr>
        <w:ind w:left="5040" w:hanging="360"/>
      </w:pPr>
    </w:lvl>
    <w:lvl w:ilvl="7" w:tplc="64F45132">
      <w:start w:val="1"/>
      <w:numFmt w:val="bullet"/>
      <w:lvlText w:val="●"/>
      <w:lvlJc w:val="left"/>
      <w:pPr>
        <w:ind w:left="5760" w:hanging="360"/>
      </w:pPr>
    </w:lvl>
    <w:lvl w:ilvl="8" w:tplc="61C8C012">
      <w:start w:val="1"/>
      <w:numFmt w:val="bullet"/>
      <w:lvlText w:val="●"/>
      <w:lvlJc w:val="left"/>
      <w:pPr>
        <w:ind w:left="6480" w:hanging="360"/>
      </w:pPr>
    </w:lvl>
  </w:abstractNum>
  <w:num w:numId="1" w16cid:durableId="2001957559">
    <w:abstractNumId w:val="1"/>
    <w:lvlOverride w:ilvl="0">
      <w:startOverride w:val="1"/>
    </w:lvlOverride>
  </w:num>
  <w:num w:numId="2" w16cid:durableId="10654875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A5A"/>
    <w:rsid w:val="002C5AD1"/>
    <w:rsid w:val="00336CFE"/>
    <w:rsid w:val="005777C6"/>
    <w:rsid w:val="00784586"/>
    <w:rsid w:val="00950A5A"/>
    <w:rsid w:val="00C40EFA"/>
    <w:rsid w:val="00D15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AC85"/>
  <w15:docId w15:val="{A9DD263C-3D3C-407D-B6CC-CCB3E64C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F2A2A"/>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2064</Words>
  <Characters>11355</Characters>
  <Application>Microsoft Office Word</Application>
  <DocSecurity>0</DocSecurity>
  <Lines>306</Lines>
  <Paragraphs>183</Paragraphs>
  <ScaleCrop>false</ScaleCrop>
  <Company/>
  <LinksUpToDate>false</LinksUpToDate>
  <CharactersWithSpaces>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Ramesh Mehay</cp:lastModifiedBy>
  <cp:revision>3</cp:revision>
  <dcterms:created xsi:type="dcterms:W3CDTF">2026-07-06T16:41:00Z</dcterms:created>
  <dcterms:modified xsi:type="dcterms:W3CDTF">2026-07-06T16:56:00Z</dcterms:modified>
</cp:coreProperties>
</file>