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7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5600"/>
        <w:gridCol w:w="4378"/>
      </w:tblGrid>
      <w:tr w:rsidR="006B4D5F" w14:paraId="4F04D474" w14:textId="77777777">
        <w:tblPrEx>
          <w:tblCellMar>
            <w:top w:w="0" w:type="dxa"/>
            <w:bottom w:w="0" w:type="dxa"/>
          </w:tblCellMar>
        </w:tblPrEx>
        <w:trPr>
          <w:cantSplit/>
        </w:trPr>
        <w:tc>
          <w:tcPr>
            <w:tcW w:w="560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tbl>
            <w:tblPr>
              <w:tblW w:w="4820" w:type="dxa"/>
              <w:shd w:val="clear" w:color="auto" w:fill="BF4E14" w:themeFill="accent2" w:themeFillShade="BF"/>
              <w:tblCellMar>
                <w:left w:w="10" w:type="dxa"/>
                <w:right w:w="10" w:type="dxa"/>
              </w:tblCellMar>
              <w:tblLook w:val="0000" w:firstRow="0" w:lastRow="0" w:firstColumn="0" w:lastColumn="0" w:noHBand="0" w:noVBand="0"/>
            </w:tblPr>
            <w:tblGrid>
              <w:gridCol w:w="4820"/>
            </w:tblGrid>
            <w:tr w:rsidR="006B4D5F" w14:paraId="51CFFC96" w14:textId="77777777" w:rsidTr="0053176B">
              <w:tblPrEx>
                <w:tblCellMar>
                  <w:top w:w="0" w:type="dxa"/>
                  <w:bottom w:w="0" w:type="dxa"/>
                </w:tblCellMar>
              </w:tblPrEx>
              <w:trPr>
                <w:cantSplit/>
                <w:trHeight w:val="294"/>
              </w:trPr>
              <w:tc>
                <w:tcPr>
                  <w:tcW w:w="4820" w:type="dxa"/>
                  <w:shd w:val="clear" w:color="auto" w:fill="BF4E14" w:themeFill="accent2" w:themeFillShade="BF"/>
                  <w:tcMar>
                    <w:top w:w="130" w:type="dxa"/>
                    <w:left w:w="230" w:type="dxa"/>
                    <w:bottom w:w="130" w:type="dxa"/>
                    <w:right w:w="230" w:type="dxa"/>
                  </w:tcMar>
                </w:tcPr>
                <w:p w14:paraId="0429C750" w14:textId="77777777" w:rsidR="006B4D5F" w:rsidRDefault="00000000">
                  <w:pPr>
                    <w:keepLines/>
                  </w:pPr>
                  <w:r>
                    <w:rPr>
                      <w:b/>
                      <w:bCs/>
                      <w:color w:val="FFFFFF"/>
                      <w:spacing w:val="14"/>
                      <w:sz w:val="24"/>
                      <w:szCs w:val="24"/>
                    </w:rPr>
                    <w:t xml:space="preserve">BRADFORD VTS </w:t>
                  </w:r>
                  <w:r>
                    <w:rPr>
                      <w:b/>
                      <w:bCs/>
                      <w:color w:val="F0C987"/>
                      <w:spacing w:val="14"/>
                      <w:sz w:val="24"/>
                      <w:szCs w:val="24"/>
                    </w:rPr>
                    <w:t>TEACHING AIDS</w:t>
                  </w:r>
                </w:p>
              </w:tc>
            </w:tr>
          </w:tbl>
          <w:p w14:paraId="3319ECFF" w14:textId="77777777" w:rsidR="006B4D5F" w:rsidRDefault="006B4D5F"/>
        </w:tc>
        <w:tc>
          <w:tcPr>
            <w:tcW w:w="4378"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tbl>
            <w:tblPr>
              <w:tblW w:w="2200" w:type="dxa"/>
              <w:jc w:val="righ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2200"/>
            </w:tblGrid>
            <w:tr w:rsidR="006B4D5F" w14:paraId="64AB5822" w14:textId="77777777">
              <w:tblPrEx>
                <w:tblCellMar>
                  <w:top w:w="0" w:type="dxa"/>
                  <w:bottom w:w="0" w:type="dxa"/>
                </w:tblCellMar>
              </w:tblPrEx>
              <w:trPr>
                <w:cantSplit/>
                <w:jc w:val="right"/>
              </w:trPr>
              <w:tc>
                <w:tcPr>
                  <w:tcW w:w="2200" w:type="dxa"/>
                  <w:tcBorders>
                    <w:top w:val="single" w:sz="4" w:space="0" w:color="EADDC2"/>
                    <w:left w:val="single" w:sz="4" w:space="0" w:color="EADDC2"/>
                    <w:bottom w:val="single" w:sz="4" w:space="0" w:color="EADDC2"/>
                    <w:right w:val="single" w:sz="4" w:space="0" w:color="EADDC2"/>
                  </w:tcBorders>
                  <w:shd w:val="clear" w:color="auto" w:fill="FBF1DF"/>
                  <w:tcMar>
                    <w:top w:w="90" w:type="dxa"/>
                    <w:left w:w="0" w:type="dxa"/>
                    <w:bottom w:w="90" w:type="dxa"/>
                    <w:right w:w="0" w:type="dxa"/>
                  </w:tcMar>
                </w:tcPr>
                <w:p w14:paraId="04A5B8B3" w14:textId="77777777" w:rsidR="006B4D5F" w:rsidRDefault="00000000">
                  <w:pPr>
                    <w:keepLines/>
                    <w:spacing w:line="220" w:lineRule="auto"/>
                    <w:jc w:val="center"/>
                  </w:pPr>
                  <w:r>
                    <w:rPr>
                      <w:b/>
                      <w:bCs/>
                      <w:color w:val="B07410"/>
                      <w:spacing w:val="8"/>
                      <w:sz w:val="19"/>
                      <w:szCs w:val="19"/>
                    </w:rPr>
                    <w:t>JULY 2026</w:t>
                  </w:r>
                </w:p>
              </w:tc>
            </w:tr>
          </w:tbl>
          <w:p w14:paraId="1C60F788" w14:textId="77777777" w:rsidR="006B4D5F" w:rsidRDefault="006B4D5F"/>
        </w:tc>
      </w:tr>
    </w:tbl>
    <w:p w14:paraId="07573AE3" w14:textId="77777777" w:rsidR="006B4D5F" w:rsidRDefault="006B4D5F">
      <w:pPr>
        <w:spacing w:after="240" w:line="20" w:lineRule="auto"/>
      </w:pPr>
    </w:p>
    <w:p w14:paraId="387ADAA6" w14:textId="77777777" w:rsidR="006B4D5F" w:rsidRDefault="00000000">
      <w:pPr>
        <w:keepLines/>
        <w:pBdr>
          <w:left w:val="single" w:sz="34" w:space="0" w:color="B07410"/>
        </w:pBdr>
        <w:spacing w:before="60" w:after="60"/>
        <w:ind w:left="260"/>
      </w:pPr>
      <w:proofErr w:type="gramStart"/>
      <w:r>
        <w:rPr>
          <w:b/>
          <w:bCs/>
          <w:caps/>
          <w:color w:val="4A8B89"/>
          <w:spacing w:val="24"/>
          <w:sz w:val="17"/>
          <w:szCs w:val="17"/>
        </w:rPr>
        <w:t>PRESCRIBING  ·</w:t>
      </w:r>
      <w:proofErr w:type="gramEnd"/>
      <w:r>
        <w:rPr>
          <w:b/>
          <w:bCs/>
          <w:caps/>
          <w:color w:val="4A8B89"/>
          <w:spacing w:val="24"/>
          <w:sz w:val="17"/>
          <w:szCs w:val="17"/>
        </w:rPr>
        <w:t xml:space="preserve">  </w:t>
      </w:r>
      <w:proofErr w:type="gramStart"/>
      <w:r>
        <w:rPr>
          <w:b/>
          <w:bCs/>
          <w:caps/>
          <w:color w:val="4A8B89"/>
          <w:spacing w:val="24"/>
          <w:sz w:val="17"/>
          <w:szCs w:val="17"/>
        </w:rPr>
        <w:t>COMMUNICATION  ·</w:t>
      </w:r>
      <w:proofErr w:type="gramEnd"/>
      <w:r>
        <w:rPr>
          <w:b/>
          <w:bCs/>
          <w:caps/>
          <w:color w:val="4A8B89"/>
          <w:spacing w:val="24"/>
          <w:sz w:val="17"/>
          <w:szCs w:val="17"/>
        </w:rPr>
        <w:t xml:space="preserve">  SHARED DECISION-MAKING</w:t>
      </w:r>
    </w:p>
    <w:p w14:paraId="5C22F762" w14:textId="77777777" w:rsidR="006B4D5F" w:rsidRDefault="00000000">
      <w:pPr>
        <w:keepLines/>
        <w:pBdr>
          <w:left w:val="single" w:sz="34" w:space="0" w:color="B07410"/>
        </w:pBdr>
        <w:spacing w:after="60" w:line="300" w:lineRule="auto"/>
        <w:ind w:left="260"/>
      </w:pPr>
      <w:r>
        <w:rPr>
          <w:b/>
          <w:bCs/>
          <w:color w:val="0A4645"/>
          <w:sz w:val="54"/>
          <w:szCs w:val="54"/>
        </w:rPr>
        <w:t>The Nocebo Effect</w:t>
      </w:r>
    </w:p>
    <w:p w14:paraId="447945B7" w14:textId="77777777" w:rsidR="006B4D5F" w:rsidRPr="0053176B" w:rsidRDefault="00000000">
      <w:pPr>
        <w:keepLines/>
        <w:pBdr>
          <w:left w:val="single" w:sz="34" w:space="0" w:color="B07410"/>
        </w:pBdr>
        <w:spacing w:line="288" w:lineRule="auto"/>
        <w:ind w:left="260"/>
        <w:rPr>
          <w:sz w:val="20"/>
          <w:szCs w:val="20"/>
        </w:rPr>
      </w:pPr>
      <w:r w:rsidRPr="0053176B">
        <w:rPr>
          <w:color w:val="4A4A4A"/>
          <w:sz w:val="22"/>
          <w:szCs w:val="22"/>
        </w:rPr>
        <w:t>Worked examples with statins &amp; antidepressants — and what our words may be doing to tolerability</w:t>
      </w:r>
    </w:p>
    <w:p w14:paraId="7B745285" w14:textId="0FA6E250" w:rsidR="006B4D5F" w:rsidRPr="0053176B" w:rsidRDefault="00000000">
      <w:pPr>
        <w:keepLines/>
        <w:spacing w:before="180" w:after="60" w:line="260" w:lineRule="auto"/>
        <w:rPr>
          <w:sz w:val="18"/>
          <w:szCs w:val="18"/>
        </w:rPr>
      </w:pPr>
      <w:r w:rsidRPr="0053176B">
        <w:rPr>
          <w:color w:val="7D7D7D"/>
          <w:sz w:val="16"/>
          <w:szCs w:val="16"/>
        </w:rPr>
        <w:t xml:space="preserve">A teaching &amp; discussion piece by </w:t>
      </w:r>
      <w:r w:rsidR="0053176B" w:rsidRPr="0053176B">
        <w:rPr>
          <w:color w:val="7D7D7D"/>
          <w:sz w:val="16"/>
          <w:szCs w:val="16"/>
        </w:rPr>
        <w:t xml:space="preserve">Dr </w:t>
      </w:r>
      <w:r w:rsidRPr="0053176B">
        <w:rPr>
          <w:b/>
          <w:bCs/>
          <w:color w:val="0E5C5B"/>
          <w:sz w:val="16"/>
          <w:szCs w:val="16"/>
        </w:rPr>
        <w:t xml:space="preserve">Ramesh </w:t>
      </w:r>
      <w:proofErr w:type="gramStart"/>
      <w:r w:rsidRPr="0053176B">
        <w:rPr>
          <w:b/>
          <w:bCs/>
          <w:color w:val="0E5C5B"/>
          <w:sz w:val="16"/>
          <w:szCs w:val="16"/>
        </w:rPr>
        <w:t>Mehay</w:t>
      </w:r>
      <w:r w:rsidRPr="0053176B">
        <w:rPr>
          <w:color w:val="7D7D7D"/>
          <w:sz w:val="16"/>
          <w:szCs w:val="16"/>
        </w:rPr>
        <w:t xml:space="preserve">  ·</w:t>
      </w:r>
      <w:proofErr w:type="gramEnd"/>
      <w:r w:rsidRPr="0053176B">
        <w:rPr>
          <w:color w:val="7D7D7D"/>
          <w:sz w:val="16"/>
          <w:szCs w:val="16"/>
        </w:rPr>
        <w:t xml:space="preserve">  Programme Director, Bradford </w:t>
      </w:r>
      <w:proofErr w:type="gramStart"/>
      <w:r w:rsidRPr="0053176B">
        <w:rPr>
          <w:color w:val="7D7D7D"/>
          <w:sz w:val="16"/>
          <w:szCs w:val="16"/>
        </w:rPr>
        <w:t>VTS  ·</w:t>
      </w:r>
      <w:proofErr w:type="gramEnd"/>
      <w:r w:rsidRPr="0053176B">
        <w:rPr>
          <w:color w:val="7D7D7D"/>
          <w:sz w:val="16"/>
          <w:szCs w:val="16"/>
        </w:rPr>
        <w:t xml:space="preserve">  originally written December 2020</w:t>
      </w:r>
    </w:p>
    <w:p w14:paraId="388EBEBD" w14:textId="77777777" w:rsidR="006B4D5F" w:rsidRDefault="006B4D5F">
      <w:pPr>
        <w:spacing w:after="120" w:line="20" w:lineRule="auto"/>
      </w:pPr>
    </w:p>
    <w:tbl>
      <w:tblPr>
        <w:tblW w:w="997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978"/>
      </w:tblGrid>
      <w:tr w:rsidR="006B4D5F" w14:paraId="2132B2F8" w14:textId="77777777">
        <w:tblPrEx>
          <w:tblCellMar>
            <w:top w:w="0" w:type="dxa"/>
            <w:bottom w:w="0" w:type="dxa"/>
          </w:tblCellMar>
        </w:tblPrEx>
        <w:trPr>
          <w:cantSplit/>
        </w:trPr>
        <w:tc>
          <w:tcPr>
            <w:tcW w:w="9978" w:type="dxa"/>
            <w:tcBorders>
              <w:top w:val="none" w:sz="0" w:space="0" w:color="FFFFFF"/>
              <w:left w:val="none" w:sz="0" w:space="0" w:color="FFFFFF"/>
              <w:bottom w:val="none" w:sz="0" w:space="0" w:color="FFFFFF"/>
              <w:right w:val="none" w:sz="0" w:space="0" w:color="FFFFFF"/>
            </w:tcBorders>
            <w:shd w:val="clear" w:color="auto" w:fill="E6F0EF"/>
            <w:tcMar>
              <w:top w:w="170" w:type="dxa"/>
              <w:left w:w="230" w:type="dxa"/>
              <w:bottom w:w="170" w:type="dxa"/>
              <w:right w:w="230" w:type="dxa"/>
            </w:tcMar>
          </w:tcPr>
          <w:p w14:paraId="57382D67" w14:textId="77777777" w:rsidR="006B4D5F" w:rsidRDefault="00000000">
            <w:pPr>
              <w:keepLines/>
              <w:spacing w:line="300" w:lineRule="auto"/>
            </w:pPr>
            <w:r>
              <w:rPr>
                <w:color w:val="0A4645"/>
                <w:sz w:val="22"/>
                <w:szCs w:val="22"/>
              </w:rPr>
              <w:t xml:space="preserve">A great deal of the side-effect burden attributed to prescribed medication may be down to </w:t>
            </w:r>
            <w:proofErr w:type="gramStart"/>
            <w:r>
              <w:rPr>
                <w:color w:val="0A4645"/>
                <w:sz w:val="22"/>
                <w:szCs w:val="22"/>
              </w:rPr>
              <w:t xml:space="preserve">the </w:t>
            </w:r>
            <w:r>
              <w:rPr>
                <w:b/>
                <w:bCs/>
                <w:color w:val="FFFFFF"/>
                <w:sz w:val="22"/>
                <w:szCs w:val="22"/>
                <w:shd w:val="clear" w:color="auto" w:fill="0E5C5B"/>
              </w:rPr>
              <w:t xml:space="preserve"> nocebo</w:t>
            </w:r>
            <w:proofErr w:type="gramEnd"/>
            <w:r>
              <w:rPr>
                <w:b/>
                <w:bCs/>
                <w:color w:val="FFFFFF"/>
                <w:sz w:val="22"/>
                <w:szCs w:val="22"/>
                <w:shd w:val="clear" w:color="auto" w:fill="0E5C5B"/>
              </w:rPr>
              <w:t xml:space="preserve"> </w:t>
            </w:r>
            <w:proofErr w:type="gramStart"/>
            <w:r>
              <w:rPr>
                <w:b/>
                <w:bCs/>
                <w:color w:val="FFFFFF"/>
                <w:sz w:val="22"/>
                <w:szCs w:val="22"/>
                <w:shd w:val="clear" w:color="auto" w:fill="0E5C5B"/>
              </w:rPr>
              <w:t xml:space="preserve">effect </w:t>
            </w:r>
            <w:r>
              <w:rPr>
                <w:color w:val="0A4645"/>
                <w:sz w:val="22"/>
                <w:szCs w:val="22"/>
              </w:rPr>
              <w:t xml:space="preserve"> —</w:t>
            </w:r>
            <w:proofErr w:type="gramEnd"/>
            <w:r>
              <w:rPr>
                <w:color w:val="0A4645"/>
                <w:sz w:val="22"/>
                <w:szCs w:val="22"/>
              </w:rPr>
              <w:t xml:space="preserve"> where patients experience the very side-effects they have been warned about, </w:t>
            </w:r>
            <w:r>
              <w:rPr>
                <w:b/>
                <w:bCs/>
                <w:color w:val="0A4645"/>
                <w:sz w:val="22"/>
                <w:szCs w:val="22"/>
              </w:rPr>
              <w:t>even when the drug is an inactive placebo</w:t>
            </w:r>
            <w:r>
              <w:rPr>
                <w:color w:val="0A4645"/>
                <w:sz w:val="22"/>
                <w:szCs w:val="22"/>
              </w:rPr>
              <w:t>. And this is backed up by good evidence.</w:t>
            </w:r>
          </w:p>
        </w:tc>
      </w:tr>
    </w:tbl>
    <w:p w14:paraId="310892CF" w14:textId="77777777" w:rsidR="006B4D5F" w:rsidRDefault="006B4D5F">
      <w:pPr>
        <w:spacing w:after="200" w:line="20" w:lineRule="auto"/>
      </w:pPr>
    </w:p>
    <w:tbl>
      <w:tblPr>
        <w:tblW w:w="997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620"/>
        <w:gridCol w:w="9358"/>
      </w:tblGrid>
      <w:tr w:rsidR="006B4D5F" w14:paraId="794EEFDD" w14:textId="77777777">
        <w:tblPrEx>
          <w:tblCellMar>
            <w:top w:w="0" w:type="dxa"/>
            <w:bottom w:w="0" w:type="dxa"/>
          </w:tblCellMar>
        </w:tblPrEx>
        <w:trPr>
          <w:cantSplit/>
        </w:trPr>
        <w:tc>
          <w:tcPr>
            <w:tcW w:w="620" w:type="dxa"/>
            <w:tcBorders>
              <w:top w:val="none" w:sz="0" w:space="0" w:color="FFFFFF"/>
              <w:left w:val="none" w:sz="0" w:space="0" w:color="FFFFFF"/>
              <w:bottom w:val="none" w:sz="0" w:space="0" w:color="FFFFFF"/>
              <w:right w:val="none" w:sz="0" w:space="0" w:color="FFFFFF"/>
            </w:tcBorders>
            <w:shd w:val="clear" w:color="auto" w:fill="B07410"/>
            <w:tcMar>
              <w:top w:w="120" w:type="dxa"/>
              <w:left w:w="0" w:type="dxa"/>
              <w:bottom w:w="120" w:type="dxa"/>
              <w:right w:w="0" w:type="dxa"/>
            </w:tcMar>
            <w:vAlign w:val="center"/>
          </w:tcPr>
          <w:p w14:paraId="30F4EA50" w14:textId="77777777" w:rsidR="006B4D5F" w:rsidRDefault="00000000">
            <w:pPr>
              <w:keepLines/>
              <w:jc w:val="center"/>
            </w:pPr>
            <w:r>
              <w:rPr>
                <w:b/>
                <w:bCs/>
                <w:color w:val="FFFFFF"/>
                <w:sz w:val="30"/>
                <w:szCs w:val="30"/>
              </w:rPr>
              <w:t>1</w:t>
            </w:r>
          </w:p>
        </w:tc>
        <w:tc>
          <w:tcPr>
            <w:tcW w:w="9358" w:type="dxa"/>
            <w:tcBorders>
              <w:top w:val="none" w:sz="0" w:space="0" w:color="FFFFFF"/>
              <w:left w:val="none" w:sz="0" w:space="0" w:color="FFFFFF"/>
              <w:bottom w:val="none" w:sz="0" w:space="0" w:color="FFFFFF"/>
              <w:right w:val="none" w:sz="0" w:space="0" w:color="FFFFFF"/>
            </w:tcBorders>
            <w:shd w:val="clear" w:color="auto" w:fill="0E5C5B"/>
            <w:tcMar>
              <w:top w:w="120" w:type="dxa"/>
              <w:left w:w="220" w:type="dxa"/>
              <w:bottom w:w="120" w:type="dxa"/>
              <w:right w:w="160" w:type="dxa"/>
            </w:tcMar>
            <w:vAlign w:val="center"/>
          </w:tcPr>
          <w:p w14:paraId="3ECDD41B" w14:textId="77777777" w:rsidR="006B4D5F" w:rsidRDefault="00000000">
            <w:pPr>
              <w:keepLines/>
              <w:spacing w:line="260" w:lineRule="auto"/>
            </w:pPr>
            <w:r>
              <w:rPr>
                <w:b/>
                <w:bCs/>
                <w:color w:val="FFFFFF"/>
                <w:spacing w:val="4"/>
                <w:sz w:val="27"/>
                <w:szCs w:val="27"/>
              </w:rPr>
              <w:t>Let’s start by looking at statins</w:t>
            </w:r>
          </w:p>
        </w:tc>
      </w:tr>
    </w:tbl>
    <w:p w14:paraId="6454EC3E" w14:textId="77777777" w:rsidR="006B4D5F" w:rsidRDefault="006B4D5F">
      <w:pPr>
        <w:spacing w:after="120" w:line="20" w:lineRule="auto"/>
      </w:pPr>
    </w:p>
    <w:p w14:paraId="28F7E336" w14:textId="77777777" w:rsidR="006B4D5F" w:rsidRDefault="00000000">
      <w:pPr>
        <w:keepLines/>
        <w:spacing w:after="160" w:line="300" w:lineRule="auto"/>
      </w:pPr>
      <w:r>
        <w:t xml:space="preserve">Statins are among the </w:t>
      </w:r>
      <w:proofErr w:type="gramStart"/>
      <w:r>
        <w:t>most commonly prescribed</w:t>
      </w:r>
      <w:proofErr w:type="gramEnd"/>
      <w:r>
        <w:t xml:space="preserve"> drugs in the UK. Did you know that up to a fifth (20%) of people stop taking them because of side-effects — things like tiredness, muscle pains, joint discomfort, nausea and vomiting? </w:t>
      </w:r>
      <w:r>
        <w:rPr>
          <w:b/>
          <w:bCs/>
          <w:color w:val="0A4645"/>
        </w:rPr>
        <w:t>Yet the research says the true incidence of side-effects is much lower.</w:t>
      </w:r>
      <w:r>
        <w:t xml:space="preserve"> So why the gap between what patients perceive and what the trials tell us is real?</w:t>
      </w:r>
    </w:p>
    <w:p w14:paraId="48D45C8B" w14:textId="77777777" w:rsidR="006B4D5F" w:rsidRDefault="006B4D5F">
      <w:pPr>
        <w:spacing w:after="60" w:line="20" w:lineRule="auto"/>
      </w:pPr>
    </w:p>
    <w:tbl>
      <w:tblPr>
        <w:tblW w:w="997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988"/>
      </w:tblGrid>
      <w:tr w:rsidR="006B4D5F" w14:paraId="3E651BEB" w14:textId="77777777">
        <w:tblPrEx>
          <w:tblCellMar>
            <w:top w:w="0" w:type="dxa"/>
            <w:bottom w:w="0" w:type="dxa"/>
          </w:tblCellMar>
        </w:tblPrEx>
        <w:trPr>
          <w:cantSplit/>
        </w:trPr>
        <w:tc>
          <w:tcPr>
            <w:tcW w:w="9978" w:type="dxa"/>
            <w:tcBorders>
              <w:top w:val="single" w:sz="4" w:space="0" w:color="E3E0D8"/>
              <w:left w:val="single" w:sz="4" w:space="0" w:color="E3E0D8"/>
              <w:bottom w:val="single" w:sz="4" w:space="0" w:color="E3E0D8"/>
              <w:right w:val="single" w:sz="4" w:space="0" w:color="E3E0D8"/>
            </w:tcBorders>
            <w:tcMar>
              <w:top w:w="180" w:type="dxa"/>
              <w:left w:w="200" w:type="dxa"/>
              <w:bottom w:w="180" w:type="dxa"/>
              <w:right w:w="200" w:type="dxa"/>
            </w:tcMar>
          </w:tcPr>
          <w:tbl>
            <w:tblPr>
              <w:tblW w:w="957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578"/>
            </w:tblGrid>
            <w:tr w:rsidR="006B4D5F" w14:paraId="2EFEE58C" w14:textId="77777777">
              <w:tblPrEx>
                <w:tblCellMar>
                  <w:top w:w="0" w:type="dxa"/>
                  <w:bottom w:w="0" w:type="dxa"/>
                </w:tblCellMar>
              </w:tblPrEx>
              <w:trPr>
                <w:cantSplit/>
              </w:trPr>
              <w:tc>
                <w:tcPr>
                  <w:tcW w:w="9578" w:type="dxa"/>
                  <w:tcBorders>
                    <w:top w:val="none" w:sz="0" w:space="0" w:color="FFFFFF"/>
                    <w:left w:val="none" w:sz="0" w:space="0" w:color="FFFFFF"/>
                    <w:bottom w:val="none" w:sz="0" w:space="0" w:color="FFFFFF"/>
                    <w:right w:val="none" w:sz="0" w:space="0" w:color="FFFFFF"/>
                  </w:tcBorders>
                  <w:shd w:val="clear" w:color="auto" w:fill="0E5C5B"/>
                  <w:tcMar>
                    <w:top w:w="130" w:type="dxa"/>
                    <w:left w:w="220" w:type="dxa"/>
                    <w:bottom w:w="130" w:type="dxa"/>
                    <w:right w:w="220" w:type="dxa"/>
                  </w:tcMar>
                </w:tcPr>
                <w:p w14:paraId="15EF16BE" w14:textId="77777777" w:rsidR="006B4D5F" w:rsidRDefault="00000000">
                  <w:pPr>
                    <w:keepLines/>
                    <w:spacing w:after="30" w:line="220" w:lineRule="auto"/>
                  </w:pPr>
                  <w:r>
                    <w:rPr>
                      <w:b/>
                      <w:bCs/>
                      <w:caps/>
                      <w:color w:val="A8D3D1"/>
                      <w:spacing w:val="16"/>
                      <w:sz w:val="16"/>
                      <w:szCs w:val="16"/>
                    </w:rPr>
                    <w:t>THE EVIDENCE · N-OF-1 RANDOMISED TRIAL</w:t>
                  </w:r>
                </w:p>
                <w:p w14:paraId="10482D20" w14:textId="77777777" w:rsidR="006B4D5F" w:rsidRDefault="00000000">
                  <w:pPr>
                    <w:keepLines/>
                    <w:spacing w:after="20" w:line="250" w:lineRule="auto"/>
                  </w:pPr>
                  <w:r>
                    <w:rPr>
                      <w:b/>
                      <w:bCs/>
                      <w:color w:val="FFFFFF"/>
                      <w:sz w:val="26"/>
                      <w:szCs w:val="26"/>
                    </w:rPr>
                    <w:t>The SAMSON Trial</w:t>
                  </w:r>
                </w:p>
                <w:p w14:paraId="3BF7DDA5" w14:textId="77777777" w:rsidR="006B4D5F" w:rsidRDefault="00000000">
                  <w:pPr>
                    <w:keepLines/>
                    <w:spacing w:line="220" w:lineRule="auto"/>
                  </w:pPr>
                  <w:r>
                    <w:rPr>
                      <w:color w:val="CFE6E5"/>
                      <w:sz w:val="17"/>
                      <w:szCs w:val="17"/>
                    </w:rPr>
                    <w:t>Wood &amp; Howard et al., Imperial College London · New England Journal of Medicine, 2020</w:t>
                  </w:r>
                </w:p>
              </w:tc>
            </w:tr>
          </w:tbl>
          <w:p w14:paraId="03B90733" w14:textId="77777777" w:rsidR="006B4D5F" w:rsidRDefault="006B4D5F">
            <w:pPr>
              <w:spacing w:after="120" w:line="20" w:lineRule="auto"/>
            </w:pPr>
          </w:p>
          <w:p w14:paraId="6C55F31C" w14:textId="77777777" w:rsidR="006B4D5F" w:rsidRDefault="00000000">
            <w:pPr>
              <w:keepLines/>
              <w:spacing w:after="140" w:line="276" w:lineRule="auto"/>
            </w:pPr>
            <w:r>
              <w:rPr>
                <w:sz w:val="19"/>
                <w:szCs w:val="19"/>
              </w:rPr>
              <w:t xml:space="preserve">Researchers recruited </w:t>
            </w:r>
            <w:r>
              <w:rPr>
                <w:b/>
                <w:bCs/>
                <w:color w:val="0A4645"/>
                <w:sz w:val="19"/>
                <w:szCs w:val="19"/>
              </w:rPr>
              <w:t>60 patients</w:t>
            </w:r>
            <w:r>
              <w:rPr>
                <w:sz w:val="19"/>
                <w:szCs w:val="19"/>
              </w:rPr>
              <w:t xml:space="preserve"> who had started statins but stopped within two weeks because of </w:t>
            </w:r>
            <w:proofErr w:type="gramStart"/>
            <w:r>
              <w:rPr>
                <w:sz w:val="19"/>
                <w:szCs w:val="19"/>
              </w:rPr>
              <w:t>side-effects, and</w:t>
            </w:r>
            <w:proofErr w:type="gramEnd"/>
            <w:r>
              <w:rPr>
                <w:sz w:val="19"/>
                <w:szCs w:val="19"/>
              </w:rPr>
              <w:t xml:space="preserve"> persuaded them to take part. Over 12 months, each patient cycled — in random order — through three types of </w:t>
            </w:r>
            <w:proofErr w:type="gramStart"/>
            <w:r>
              <w:rPr>
                <w:sz w:val="19"/>
                <w:szCs w:val="19"/>
              </w:rPr>
              <w:t>month</w:t>
            </w:r>
            <w:proofErr w:type="gramEnd"/>
            <w:r>
              <w:rPr>
                <w:sz w:val="19"/>
                <w:szCs w:val="19"/>
              </w:rPr>
              <w:t>:</w:t>
            </w:r>
          </w:p>
          <w:tbl>
            <w:tblPr>
              <w:tblW w:w="957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3192"/>
              <w:gridCol w:w="3192"/>
              <w:gridCol w:w="3194"/>
            </w:tblGrid>
            <w:tr w:rsidR="006B4D5F" w14:paraId="286002C1" w14:textId="77777777">
              <w:tblPrEx>
                <w:tblCellMar>
                  <w:top w:w="0" w:type="dxa"/>
                  <w:bottom w:w="0" w:type="dxa"/>
                </w:tblCellMar>
              </w:tblPrEx>
              <w:trPr>
                <w:cantSplit/>
              </w:trPr>
              <w:tc>
                <w:tcPr>
                  <w:tcW w:w="3192" w:type="dxa"/>
                  <w:tcBorders>
                    <w:top w:val="single" w:sz="4" w:space="0" w:color="E3E0D8"/>
                    <w:left w:val="single" w:sz="4" w:space="0" w:color="E3E0D8"/>
                    <w:bottom w:val="single" w:sz="4" w:space="0" w:color="E3E0D8"/>
                    <w:right w:val="single" w:sz="4" w:space="0" w:color="E3E0D8"/>
                  </w:tcBorders>
                  <w:shd w:val="clear" w:color="auto" w:fill="E6F0EF"/>
                  <w:tcMar>
                    <w:top w:w="120" w:type="dxa"/>
                    <w:left w:w="100" w:type="dxa"/>
                    <w:bottom w:w="120" w:type="dxa"/>
                    <w:right w:w="100" w:type="dxa"/>
                  </w:tcMar>
                  <w:vAlign w:val="center"/>
                </w:tcPr>
                <w:p w14:paraId="385C733B" w14:textId="77777777" w:rsidR="006B4D5F" w:rsidRDefault="00000000">
                  <w:pPr>
                    <w:keepLines/>
                    <w:spacing w:after="20"/>
                    <w:jc w:val="center"/>
                  </w:pPr>
                  <w:r>
                    <w:rPr>
                      <w:b/>
                      <w:bCs/>
                      <w:color w:val="0A4645"/>
                      <w:sz w:val="28"/>
                      <w:szCs w:val="28"/>
                    </w:rPr>
                    <w:t>×4</w:t>
                  </w:r>
                </w:p>
                <w:p w14:paraId="4DBD743A" w14:textId="77777777" w:rsidR="006B4D5F" w:rsidRDefault="00000000">
                  <w:pPr>
                    <w:keepLines/>
                    <w:spacing w:line="220" w:lineRule="auto"/>
                    <w:jc w:val="center"/>
                  </w:pPr>
                  <w:r>
                    <w:rPr>
                      <w:color w:val="4A4A4A"/>
                      <w:sz w:val="17"/>
                      <w:szCs w:val="17"/>
                    </w:rPr>
                    <w:t>Atorvastatin 20 mg</w:t>
                  </w:r>
                </w:p>
              </w:tc>
              <w:tc>
                <w:tcPr>
                  <w:tcW w:w="3192" w:type="dxa"/>
                  <w:tcBorders>
                    <w:top w:val="single" w:sz="4" w:space="0" w:color="E3E0D8"/>
                    <w:left w:val="single" w:sz="4" w:space="0" w:color="E3E0D8"/>
                    <w:bottom w:val="single" w:sz="4" w:space="0" w:color="E3E0D8"/>
                    <w:right w:val="single" w:sz="4" w:space="0" w:color="E3E0D8"/>
                  </w:tcBorders>
                  <w:shd w:val="clear" w:color="auto" w:fill="FBF1DF"/>
                  <w:tcMar>
                    <w:top w:w="120" w:type="dxa"/>
                    <w:left w:w="100" w:type="dxa"/>
                    <w:bottom w:w="120" w:type="dxa"/>
                    <w:right w:w="100" w:type="dxa"/>
                  </w:tcMar>
                  <w:vAlign w:val="center"/>
                </w:tcPr>
                <w:p w14:paraId="7820AE15" w14:textId="77777777" w:rsidR="006B4D5F" w:rsidRDefault="00000000">
                  <w:pPr>
                    <w:keepLines/>
                    <w:spacing w:after="20"/>
                    <w:jc w:val="center"/>
                  </w:pPr>
                  <w:r>
                    <w:rPr>
                      <w:b/>
                      <w:bCs/>
                      <w:color w:val="0A4645"/>
                      <w:sz w:val="28"/>
                      <w:szCs w:val="28"/>
                    </w:rPr>
                    <w:t>×4</w:t>
                  </w:r>
                </w:p>
                <w:p w14:paraId="18C353BE" w14:textId="77777777" w:rsidR="006B4D5F" w:rsidRDefault="00000000">
                  <w:pPr>
                    <w:keepLines/>
                    <w:spacing w:line="220" w:lineRule="auto"/>
                    <w:jc w:val="center"/>
                  </w:pPr>
                  <w:r>
                    <w:rPr>
                      <w:color w:val="4A4A4A"/>
                      <w:sz w:val="17"/>
                      <w:szCs w:val="17"/>
                    </w:rPr>
                    <w:t>Identical-looking placebo</w:t>
                  </w:r>
                </w:p>
              </w:tc>
              <w:tc>
                <w:tcPr>
                  <w:tcW w:w="3194" w:type="dxa"/>
                  <w:tcBorders>
                    <w:top w:val="single" w:sz="4" w:space="0" w:color="E3E0D8"/>
                    <w:left w:val="single" w:sz="4" w:space="0" w:color="E3E0D8"/>
                    <w:bottom w:val="single" w:sz="4" w:space="0" w:color="E3E0D8"/>
                    <w:right w:val="single" w:sz="4" w:space="0" w:color="E3E0D8"/>
                  </w:tcBorders>
                  <w:shd w:val="clear" w:color="auto" w:fill="F3F3F0"/>
                  <w:tcMar>
                    <w:top w:w="120" w:type="dxa"/>
                    <w:left w:w="100" w:type="dxa"/>
                    <w:bottom w:w="120" w:type="dxa"/>
                    <w:right w:w="100" w:type="dxa"/>
                  </w:tcMar>
                  <w:vAlign w:val="center"/>
                </w:tcPr>
                <w:p w14:paraId="18705A18" w14:textId="77777777" w:rsidR="006B4D5F" w:rsidRDefault="00000000">
                  <w:pPr>
                    <w:keepLines/>
                    <w:spacing w:after="20"/>
                    <w:jc w:val="center"/>
                  </w:pPr>
                  <w:r>
                    <w:rPr>
                      <w:b/>
                      <w:bCs/>
                      <w:color w:val="0A4645"/>
                      <w:sz w:val="28"/>
                      <w:szCs w:val="28"/>
                    </w:rPr>
                    <w:t>×4</w:t>
                  </w:r>
                </w:p>
                <w:p w14:paraId="293D1BCB" w14:textId="77777777" w:rsidR="006B4D5F" w:rsidRDefault="00000000">
                  <w:pPr>
                    <w:keepLines/>
                    <w:spacing w:line="220" w:lineRule="auto"/>
                    <w:jc w:val="center"/>
                  </w:pPr>
                  <w:r>
                    <w:rPr>
                      <w:color w:val="4A4A4A"/>
                      <w:sz w:val="17"/>
                      <w:szCs w:val="17"/>
                    </w:rPr>
                    <w:t>Empty — no tablet at all</w:t>
                  </w:r>
                </w:p>
              </w:tc>
            </w:tr>
          </w:tbl>
          <w:p w14:paraId="06566EF3" w14:textId="77777777" w:rsidR="006B4D5F" w:rsidRDefault="00000000">
            <w:pPr>
              <w:keepLines/>
              <w:spacing w:before="160" w:after="100"/>
            </w:pPr>
            <w:r>
              <w:rPr>
                <w:b/>
                <w:bCs/>
                <w:color w:val="0A4645"/>
                <w:sz w:val="18"/>
                <w:szCs w:val="18"/>
              </w:rPr>
              <w:t>Mean daily symptom score (0–100)</w:t>
            </w:r>
          </w:p>
          <w:tbl>
            <w:tblPr>
              <w:tblW w:w="957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500"/>
              <w:gridCol w:w="8078"/>
            </w:tblGrid>
            <w:tr w:rsidR="006B4D5F" w14:paraId="58997B04" w14:textId="77777777">
              <w:tblPrEx>
                <w:tblCellMar>
                  <w:top w:w="0" w:type="dxa"/>
                  <w:bottom w:w="0" w:type="dxa"/>
                </w:tblCellMar>
              </w:tblPrEx>
              <w:trPr>
                <w:cantSplit/>
              </w:trPr>
              <w:tc>
                <w:tcPr>
                  <w:tcW w:w="15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vAlign w:val="center"/>
                </w:tcPr>
                <w:p w14:paraId="3CEB02AC" w14:textId="77777777" w:rsidR="006B4D5F" w:rsidRDefault="00000000">
                  <w:pPr>
                    <w:keepLines/>
                    <w:spacing w:line="220" w:lineRule="auto"/>
                  </w:pPr>
                  <w:r>
                    <w:rPr>
                      <w:b/>
                      <w:bCs/>
                      <w:color w:val="4A4A4A"/>
                      <w:sz w:val="18"/>
                      <w:szCs w:val="18"/>
                    </w:rPr>
                    <w:t>No tablet</w:t>
                  </w:r>
                </w:p>
              </w:tc>
              <w:tc>
                <w:tcPr>
                  <w:tcW w:w="8078"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tbl>
                  <w:tblPr>
                    <w:tblW w:w="807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2154"/>
                    <w:gridCol w:w="5924"/>
                  </w:tblGrid>
                  <w:tr w:rsidR="006B4D5F" w14:paraId="124EF824" w14:textId="77777777">
                    <w:tblPrEx>
                      <w:tblCellMar>
                        <w:top w:w="0" w:type="dxa"/>
                        <w:bottom w:w="0" w:type="dxa"/>
                      </w:tblCellMar>
                    </w:tblPrEx>
                    <w:trPr>
                      <w:cantSplit/>
                    </w:trPr>
                    <w:tc>
                      <w:tcPr>
                        <w:tcW w:w="2154" w:type="dxa"/>
                        <w:tcBorders>
                          <w:top w:val="none" w:sz="0" w:space="0" w:color="FFFFFF"/>
                          <w:left w:val="none" w:sz="0" w:space="0" w:color="FFFFFF"/>
                          <w:bottom w:val="none" w:sz="0" w:space="0" w:color="FFFFFF"/>
                          <w:right w:val="none" w:sz="0" w:space="0" w:color="FFFFFF"/>
                        </w:tcBorders>
                        <w:shd w:val="clear" w:color="auto" w:fill="8AA9A8"/>
                        <w:tcMar>
                          <w:top w:w="60" w:type="dxa"/>
                          <w:left w:w="60" w:type="dxa"/>
                          <w:bottom w:w="60" w:type="dxa"/>
                          <w:right w:w="90" w:type="dxa"/>
                        </w:tcMar>
                        <w:vAlign w:val="center"/>
                      </w:tcPr>
                      <w:p w14:paraId="1ED24246" w14:textId="77777777" w:rsidR="006B4D5F" w:rsidRDefault="00000000">
                        <w:pPr>
                          <w:keepLines/>
                          <w:spacing w:line="200" w:lineRule="auto"/>
                          <w:jc w:val="right"/>
                        </w:pPr>
                        <w:r>
                          <w:rPr>
                            <w:b/>
                            <w:bCs/>
                            <w:color w:val="FFFFFF"/>
                            <w:sz w:val="17"/>
                            <w:szCs w:val="17"/>
                          </w:rPr>
                          <w:t>8.0</w:t>
                        </w:r>
                      </w:p>
                    </w:tc>
                    <w:tc>
                      <w:tcPr>
                        <w:tcW w:w="5924" w:type="dxa"/>
                        <w:tcBorders>
                          <w:top w:val="none" w:sz="0" w:space="0" w:color="FFFFFF"/>
                          <w:left w:val="none" w:sz="0" w:space="0" w:color="FFFFFF"/>
                          <w:bottom w:val="none" w:sz="0" w:space="0" w:color="FFFFFF"/>
                          <w:right w:val="none" w:sz="0" w:space="0" w:color="FFFFFF"/>
                        </w:tcBorders>
                        <w:shd w:val="clear" w:color="auto" w:fill="F0EFEB"/>
                        <w:tcMar>
                          <w:top w:w="60" w:type="dxa"/>
                          <w:left w:w="0" w:type="dxa"/>
                          <w:bottom w:w="60" w:type="dxa"/>
                          <w:right w:w="0" w:type="dxa"/>
                        </w:tcMar>
                      </w:tcPr>
                      <w:p w14:paraId="03453D58" w14:textId="77777777" w:rsidR="006B4D5F" w:rsidRDefault="006B4D5F">
                        <w:pPr>
                          <w:keepLines/>
                          <w:spacing w:line="200" w:lineRule="auto"/>
                        </w:pPr>
                      </w:p>
                    </w:tc>
                  </w:tr>
                </w:tbl>
                <w:p w14:paraId="7A924622" w14:textId="77777777" w:rsidR="006B4D5F" w:rsidRDefault="006B4D5F"/>
              </w:tc>
            </w:tr>
            <w:tr w:rsidR="006B4D5F" w14:paraId="5DD5373B" w14:textId="77777777">
              <w:tblPrEx>
                <w:tblCellMar>
                  <w:top w:w="0" w:type="dxa"/>
                  <w:bottom w:w="0" w:type="dxa"/>
                </w:tblCellMar>
              </w:tblPrEx>
              <w:trPr>
                <w:cantSplit/>
              </w:trPr>
              <w:tc>
                <w:tcPr>
                  <w:tcW w:w="15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vAlign w:val="center"/>
                </w:tcPr>
                <w:p w14:paraId="13111B41" w14:textId="77777777" w:rsidR="006B4D5F" w:rsidRDefault="00000000">
                  <w:pPr>
                    <w:keepLines/>
                    <w:spacing w:line="220" w:lineRule="auto"/>
                  </w:pPr>
                  <w:r>
                    <w:rPr>
                      <w:b/>
                      <w:bCs/>
                      <w:color w:val="4A4A4A"/>
                      <w:sz w:val="18"/>
                      <w:szCs w:val="18"/>
                    </w:rPr>
                    <w:t>Placebo</w:t>
                  </w:r>
                </w:p>
              </w:tc>
              <w:tc>
                <w:tcPr>
                  <w:tcW w:w="8078"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tbl>
                  <w:tblPr>
                    <w:tblW w:w="807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147"/>
                    <w:gridCol w:w="3931"/>
                  </w:tblGrid>
                  <w:tr w:rsidR="006B4D5F" w14:paraId="2A190C02" w14:textId="77777777">
                    <w:tblPrEx>
                      <w:tblCellMar>
                        <w:top w:w="0" w:type="dxa"/>
                        <w:bottom w:w="0" w:type="dxa"/>
                      </w:tblCellMar>
                    </w:tblPrEx>
                    <w:trPr>
                      <w:cantSplit/>
                    </w:trPr>
                    <w:tc>
                      <w:tcPr>
                        <w:tcW w:w="4147" w:type="dxa"/>
                        <w:tcBorders>
                          <w:top w:val="none" w:sz="0" w:space="0" w:color="FFFFFF"/>
                          <w:left w:val="none" w:sz="0" w:space="0" w:color="FFFFFF"/>
                          <w:bottom w:val="none" w:sz="0" w:space="0" w:color="FFFFFF"/>
                          <w:right w:val="none" w:sz="0" w:space="0" w:color="FFFFFF"/>
                        </w:tcBorders>
                        <w:shd w:val="clear" w:color="auto" w:fill="B07410"/>
                        <w:tcMar>
                          <w:top w:w="60" w:type="dxa"/>
                          <w:left w:w="60" w:type="dxa"/>
                          <w:bottom w:w="60" w:type="dxa"/>
                          <w:right w:w="90" w:type="dxa"/>
                        </w:tcMar>
                        <w:vAlign w:val="center"/>
                      </w:tcPr>
                      <w:p w14:paraId="124F3514" w14:textId="77777777" w:rsidR="006B4D5F" w:rsidRDefault="00000000">
                        <w:pPr>
                          <w:keepLines/>
                          <w:spacing w:line="200" w:lineRule="auto"/>
                          <w:jc w:val="right"/>
                        </w:pPr>
                        <w:r>
                          <w:rPr>
                            <w:b/>
                            <w:bCs/>
                            <w:color w:val="FFFFFF"/>
                            <w:sz w:val="17"/>
                            <w:szCs w:val="17"/>
                          </w:rPr>
                          <w:t>15.4</w:t>
                        </w:r>
                      </w:p>
                    </w:tc>
                    <w:tc>
                      <w:tcPr>
                        <w:tcW w:w="3931" w:type="dxa"/>
                        <w:tcBorders>
                          <w:top w:val="none" w:sz="0" w:space="0" w:color="FFFFFF"/>
                          <w:left w:val="none" w:sz="0" w:space="0" w:color="FFFFFF"/>
                          <w:bottom w:val="none" w:sz="0" w:space="0" w:color="FFFFFF"/>
                          <w:right w:val="none" w:sz="0" w:space="0" w:color="FFFFFF"/>
                        </w:tcBorders>
                        <w:shd w:val="clear" w:color="auto" w:fill="F0EFEB"/>
                        <w:tcMar>
                          <w:top w:w="60" w:type="dxa"/>
                          <w:left w:w="0" w:type="dxa"/>
                          <w:bottom w:w="60" w:type="dxa"/>
                          <w:right w:w="0" w:type="dxa"/>
                        </w:tcMar>
                      </w:tcPr>
                      <w:p w14:paraId="03B3F70B" w14:textId="77777777" w:rsidR="006B4D5F" w:rsidRDefault="006B4D5F">
                        <w:pPr>
                          <w:keepLines/>
                          <w:spacing w:line="200" w:lineRule="auto"/>
                        </w:pPr>
                      </w:p>
                    </w:tc>
                  </w:tr>
                </w:tbl>
                <w:p w14:paraId="1DEE663F" w14:textId="77777777" w:rsidR="006B4D5F" w:rsidRDefault="006B4D5F"/>
              </w:tc>
            </w:tr>
            <w:tr w:rsidR="006B4D5F" w14:paraId="15264D5F" w14:textId="77777777">
              <w:tblPrEx>
                <w:tblCellMar>
                  <w:top w:w="0" w:type="dxa"/>
                  <w:bottom w:w="0" w:type="dxa"/>
                </w:tblCellMar>
              </w:tblPrEx>
              <w:trPr>
                <w:cantSplit/>
              </w:trPr>
              <w:tc>
                <w:tcPr>
                  <w:tcW w:w="15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vAlign w:val="center"/>
                </w:tcPr>
                <w:p w14:paraId="57B4C30D" w14:textId="77777777" w:rsidR="006B4D5F" w:rsidRDefault="00000000">
                  <w:pPr>
                    <w:keepLines/>
                    <w:spacing w:line="220" w:lineRule="auto"/>
                  </w:pPr>
                  <w:r>
                    <w:rPr>
                      <w:b/>
                      <w:bCs/>
                      <w:color w:val="4A4A4A"/>
                      <w:sz w:val="18"/>
                      <w:szCs w:val="18"/>
                    </w:rPr>
                    <w:t>Statin</w:t>
                  </w:r>
                </w:p>
              </w:tc>
              <w:tc>
                <w:tcPr>
                  <w:tcW w:w="8078"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tbl>
                  <w:tblPr>
                    <w:tblW w:w="807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389"/>
                    <w:gridCol w:w="3689"/>
                  </w:tblGrid>
                  <w:tr w:rsidR="006B4D5F" w14:paraId="639C869B" w14:textId="77777777">
                    <w:tblPrEx>
                      <w:tblCellMar>
                        <w:top w:w="0" w:type="dxa"/>
                        <w:bottom w:w="0" w:type="dxa"/>
                      </w:tblCellMar>
                    </w:tblPrEx>
                    <w:trPr>
                      <w:cantSplit/>
                    </w:trPr>
                    <w:tc>
                      <w:tcPr>
                        <w:tcW w:w="4389" w:type="dxa"/>
                        <w:tcBorders>
                          <w:top w:val="none" w:sz="0" w:space="0" w:color="FFFFFF"/>
                          <w:left w:val="none" w:sz="0" w:space="0" w:color="FFFFFF"/>
                          <w:bottom w:val="none" w:sz="0" w:space="0" w:color="FFFFFF"/>
                          <w:right w:val="none" w:sz="0" w:space="0" w:color="FFFFFF"/>
                        </w:tcBorders>
                        <w:shd w:val="clear" w:color="auto" w:fill="0E5C5B"/>
                        <w:tcMar>
                          <w:top w:w="60" w:type="dxa"/>
                          <w:left w:w="60" w:type="dxa"/>
                          <w:bottom w:w="60" w:type="dxa"/>
                          <w:right w:w="90" w:type="dxa"/>
                        </w:tcMar>
                        <w:vAlign w:val="center"/>
                      </w:tcPr>
                      <w:p w14:paraId="4CABA3C9" w14:textId="77777777" w:rsidR="006B4D5F" w:rsidRDefault="00000000">
                        <w:pPr>
                          <w:keepLines/>
                          <w:spacing w:line="200" w:lineRule="auto"/>
                          <w:jc w:val="right"/>
                        </w:pPr>
                        <w:r>
                          <w:rPr>
                            <w:b/>
                            <w:bCs/>
                            <w:color w:val="FFFFFF"/>
                            <w:sz w:val="17"/>
                            <w:szCs w:val="17"/>
                          </w:rPr>
                          <w:t>16.3</w:t>
                        </w:r>
                      </w:p>
                    </w:tc>
                    <w:tc>
                      <w:tcPr>
                        <w:tcW w:w="3689" w:type="dxa"/>
                        <w:tcBorders>
                          <w:top w:val="none" w:sz="0" w:space="0" w:color="FFFFFF"/>
                          <w:left w:val="none" w:sz="0" w:space="0" w:color="FFFFFF"/>
                          <w:bottom w:val="none" w:sz="0" w:space="0" w:color="FFFFFF"/>
                          <w:right w:val="none" w:sz="0" w:space="0" w:color="FFFFFF"/>
                        </w:tcBorders>
                        <w:shd w:val="clear" w:color="auto" w:fill="F0EFEB"/>
                        <w:tcMar>
                          <w:top w:w="60" w:type="dxa"/>
                          <w:left w:w="0" w:type="dxa"/>
                          <w:bottom w:w="60" w:type="dxa"/>
                          <w:right w:w="0" w:type="dxa"/>
                        </w:tcMar>
                      </w:tcPr>
                      <w:p w14:paraId="6FB73C98" w14:textId="77777777" w:rsidR="006B4D5F" w:rsidRDefault="006B4D5F">
                        <w:pPr>
                          <w:keepLines/>
                          <w:spacing w:line="200" w:lineRule="auto"/>
                        </w:pPr>
                      </w:p>
                    </w:tc>
                  </w:tr>
                </w:tbl>
                <w:p w14:paraId="06E4DE06" w14:textId="77777777" w:rsidR="006B4D5F" w:rsidRDefault="006B4D5F"/>
              </w:tc>
            </w:tr>
          </w:tbl>
          <w:p w14:paraId="7972EA09" w14:textId="77777777" w:rsidR="006B4D5F" w:rsidRDefault="00000000">
            <w:pPr>
              <w:keepLines/>
              <w:spacing w:before="80" w:after="140"/>
            </w:pPr>
            <w:r>
              <w:rPr>
                <w:color w:val="4A4A4A"/>
                <w:sz w:val="17"/>
                <w:szCs w:val="17"/>
              </w:rPr>
              <w:t xml:space="preserve">The placebo and statin months were </w:t>
            </w:r>
            <w:r>
              <w:rPr>
                <w:i/>
                <w:iCs/>
                <w:color w:val="B07410"/>
                <w:sz w:val="17"/>
                <w:szCs w:val="17"/>
              </w:rPr>
              <w:t>statistically indistinguishable</w:t>
            </w:r>
            <w:r>
              <w:rPr>
                <w:color w:val="4A4A4A"/>
                <w:sz w:val="17"/>
                <w:szCs w:val="17"/>
              </w:rPr>
              <w:t xml:space="preserve"> (p = 0.39); both were markedly worse than the no-tablet months (p &lt; 0.001).</w:t>
            </w:r>
          </w:p>
          <w:tbl>
            <w:tblPr>
              <w:tblW w:w="957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700"/>
              <w:gridCol w:w="7878"/>
            </w:tblGrid>
            <w:tr w:rsidR="006B4D5F" w14:paraId="0E24D362" w14:textId="77777777">
              <w:tblPrEx>
                <w:tblCellMar>
                  <w:top w:w="0" w:type="dxa"/>
                  <w:bottom w:w="0" w:type="dxa"/>
                </w:tblCellMar>
              </w:tblPrEx>
              <w:trPr>
                <w:cantSplit/>
              </w:trPr>
              <w:tc>
                <w:tcPr>
                  <w:tcW w:w="1700" w:type="dxa"/>
                  <w:tcBorders>
                    <w:top w:val="none" w:sz="0" w:space="0" w:color="FFFFFF"/>
                    <w:left w:val="none" w:sz="0" w:space="0" w:color="FFFFFF"/>
                    <w:bottom w:val="none" w:sz="0" w:space="0" w:color="FFFFFF"/>
                    <w:right w:val="none" w:sz="0" w:space="0" w:color="FFFFFF"/>
                  </w:tcBorders>
                  <w:shd w:val="clear" w:color="auto" w:fill="0E5C5B"/>
                  <w:tcMar>
                    <w:top w:w="140" w:type="dxa"/>
                    <w:left w:w="160" w:type="dxa"/>
                    <w:bottom w:w="140" w:type="dxa"/>
                    <w:right w:w="60" w:type="dxa"/>
                  </w:tcMar>
                  <w:vAlign w:val="center"/>
                </w:tcPr>
                <w:p w14:paraId="488941C5" w14:textId="77777777" w:rsidR="006B4D5F" w:rsidRDefault="00000000">
                  <w:pPr>
                    <w:keepLines/>
                    <w:spacing w:line="260" w:lineRule="auto"/>
                    <w:jc w:val="center"/>
                  </w:pPr>
                  <w:r>
                    <w:rPr>
                      <w:b/>
                      <w:bCs/>
                      <w:color w:val="F0C987"/>
                      <w:sz w:val="52"/>
                      <w:szCs w:val="52"/>
                    </w:rPr>
                    <w:t>90%</w:t>
                  </w:r>
                </w:p>
              </w:tc>
              <w:tc>
                <w:tcPr>
                  <w:tcW w:w="7878" w:type="dxa"/>
                  <w:tcBorders>
                    <w:top w:val="none" w:sz="0" w:space="0" w:color="FFFFFF"/>
                    <w:left w:val="none" w:sz="0" w:space="0" w:color="FFFFFF"/>
                    <w:bottom w:val="none" w:sz="0" w:space="0" w:color="FFFFFF"/>
                    <w:right w:val="none" w:sz="0" w:space="0" w:color="FFFFFF"/>
                  </w:tcBorders>
                  <w:shd w:val="clear" w:color="auto" w:fill="0E5C5B"/>
                  <w:tcMar>
                    <w:top w:w="140" w:type="dxa"/>
                    <w:left w:w="100" w:type="dxa"/>
                    <w:bottom w:w="140" w:type="dxa"/>
                    <w:right w:w="200" w:type="dxa"/>
                  </w:tcMar>
                  <w:vAlign w:val="center"/>
                </w:tcPr>
                <w:p w14:paraId="54AD0EFD" w14:textId="77777777" w:rsidR="006B4D5F" w:rsidRDefault="00000000">
                  <w:pPr>
                    <w:keepLines/>
                    <w:spacing w:line="264" w:lineRule="auto"/>
                  </w:pPr>
                  <w:r>
                    <w:rPr>
                      <w:color w:val="EAFFFE"/>
                      <w:sz w:val="19"/>
                      <w:szCs w:val="19"/>
                    </w:rPr>
                    <w:t xml:space="preserve">The </w:t>
                  </w:r>
                  <w:r>
                    <w:rPr>
                      <w:b/>
                      <w:bCs/>
                      <w:color w:val="F0C987"/>
                      <w:sz w:val="19"/>
                      <w:szCs w:val="19"/>
                    </w:rPr>
                    <w:t>nocebo ratio was 0.90</w:t>
                  </w:r>
                  <w:r>
                    <w:rPr>
                      <w:color w:val="EAFFFE"/>
                      <w:sz w:val="19"/>
                      <w:szCs w:val="19"/>
                    </w:rPr>
                    <w:t xml:space="preserve"> — 90% of the symptom burden patients experienced </w:t>
                  </w:r>
                  <w:r>
                    <w:rPr>
                      <w:i/>
                      <w:iCs/>
                      <w:color w:val="FFFFFF"/>
                      <w:sz w:val="19"/>
                      <w:szCs w:val="19"/>
                    </w:rPr>
                    <w:t>on the statin</w:t>
                  </w:r>
                  <w:r>
                    <w:rPr>
                      <w:color w:val="EAFFFE"/>
                      <w:sz w:val="19"/>
                      <w:szCs w:val="19"/>
                    </w:rPr>
                    <w:t xml:space="preserve"> was </w:t>
                  </w:r>
                  <w:r>
                    <w:rPr>
                      <w:b/>
                      <w:bCs/>
                      <w:color w:val="F0C987"/>
                      <w:sz w:val="19"/>
                      <w:szCs w:val="19"/>
                    </w:rPr>
                    <w:t>also produced by the placebo</w:t>
                  </w:r>
                  <w:r>
                    <w:rPr>
                      <w:color w:val="EAFFFE"/>
                      <w:sz w:val="19"/>
                      <w:szCs w:val="19"/>
                    </w:rPr>
                    <w:t xml:space="preserve">. Across the trial there were </w:t>
                  </w:r>
                  <w:r>
                    <w:rPr>
                      <w:b/>
                      <w:bCs/>
                      <w:color w:val="F0C987"/>
                      <w:sz w:val="19"/>
                      <w:szCs w:val="19"/>
                    </w:rPr>
                    <w:t>71 occasions</w:t>
                  </w:r>
                  <w:r>
                    <w:rPr>
                      <w:color w:val="EAFFFE"/>
                      <w:sz w:val="19"/>
                      <w:szCs w:val="19"/>
                    </w:rPr>
                    <w:t xml:space="preserve"> when patients stopped tablets because symptoms felt overwhelming — and stopping was no more frequent on the statin than on the placebo.</w:t>
                  </w:r>
                </w:p>
              </w:tc>
            </w:tr>
          </w:tbl>
          <w:p w14:paraId="35CE176A" w14:textId="77777777" w:rsidR="006B4D5F" w:rsidRDefault="006B4D5F"/>
        </w:tc>
      </w:tr>
    </w:tbl>
    <w:p w14:paraId="47ECDB1D" w14:textId="77777777" w:rsidR="006B4D5F" w:rsidRDefault="006B4D5F">
      <w:pPr>
        <w:spacing w:after="160" w:line="20" w:lineRule="auto"/>
      </w:pPr>
    </w:p>
    <w:p w14:paraId="649ED215" w14:textId="77777777" w:rsidR="006B4D5F" w:rsidRDefault="00000000">
      <w:pPr>
        <w:keepLines/>
        <w:spacing w:after="160" w:line="300" w:lineRule="auto"/>
      </w:pPr>
      <w:r>
        <w:t xml:space="preserve">The trial convincingly showed that although patients had genuine symptoms they attributed to statins, their symptom scores were </w:t>
      </w:r>
      <w:r>
        <w:rPr>
          <w:b/>
          <w:bCs/>
          <w:color w:val="0A4645"/>
        </w:rPr>
        <w:t>no higher during statin months than during placebo months</w:t>
      </w:r>
      <w:r>
        <w:t xml:space="preserve">. This is powerful proof that the nocebo effect plays a major role in the negative side-effects credited to statins. Reassuringly, once the results were explained, </w:t>
      </w:r>
      <w:r>
        <w:rPr>
          <w:b/>
          <w:bCs/>
          <w:color w:val="0A4645"/>
        </w:rPr>
        <w:t>half of the participants (30 of 60) successfully restarted a statin.</w:t>
      </w:r>
    </w:p>
    <w:p w14:paraId="3BEE54B5" w14:textId="77777777" w:rsidR="006B4D5F" w:rsidRDefault="006B4D5F">
      <w:pPr>
        <w:spacing w:after="120" w:line="20" w:lineRule="auto"/>
      </w:pPr>
    </w:p>
    <w:tbl>
      <w:tblPr>
        <w:tblW w:w="997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620"/>
        <w:gridCol w:w="9358"/>
      </w:tblGrid>
      <w:tr w:rsidR="006B4D5F" w14:paraId="47D9695C" w14:textId="77777777">
        <w:tblPrEx>
          <w:tblCellMar>
            <w:top w:w="0" w:type="dxa"/>
            <w:bottom w:w="0" w:type="dxa"/>
          </w:tblCellMar>
        </w:tblPrEx>
        <w:trPr>
          <w:cantSplit/>
        </w:trPr>
        <w:tc>
          <w:tcPr>
            <w:tcW w:w="620" w:type="dxa"/>
            <w:tcBorders>
              <w:top w:val="none" w:sz="0" w:space="0" w:color="FFFFFF"/>
              <w:left w:val="none" w:sz="0" w:space="0" w:color="FFFFFF"/>
              <w:bottom w:val="none" w:sz="0" w:space="0" w:color="FFFFFF"/>
              <w:right w:val="none" w:sz="0" w:space="0" w:color="FFFFFF"/>
            </w:tcBorders>
            <w:shd w:val="clear" w:color="auto" w:fill="B07410"/>
            <w:tcMar>
              <w:top w:w="120" w:type="dxa"/>
              <w:left w:w="0" w:type="dxa"/>
              <w:bottom w:w="120" w:type="dxa"/>
              <w:right w:w="0" w:type="dxa"/>
            </w:tcMar>
            <w:vAlign w:val="center"/>
          </w:tcPr>
          <w:p w14:paraId="41347EDE" w14:textId="77777777" w:rsidR="006B4D5F" w:rsidRDefault="00000000">
            <w:pPr>
              <w:keepLines/>
              <w:jc w:val="center"/>
            </w:pPr>
            <w:r>
              <w:rPr>
                <w:b/>
                <w:bCs/>
                <w:color w:val="FFFFFF"/>
                <w:sz w:val="30"/>
                <w:szCs w:val="30"/>
              </w:rPr>
              <w:t>2</w:t>
            </w:r>
          </w:p>
        </w:tc>
        <w:tc>
          <w:tcPr>
            <w:tcW w:w="9358" w:type="dxa"/>
            <w:tcBorders>
              <w:top w:val="none" w:sz="0" w:space="0" w:color="FFFFFF"/>
              <w:left w:val="none" w:sz="0" w:space="0" w:color="FFFFFF"/>
              <w:bottom w:val="none" w:sz="0" w:space="0" w:color="FFFFFF"/>
              <w:right w:val="none" w:sz="0" w:space="0" w:color="FFFFFF"/>
            </w:tcBorders>
            <w:shd w:val="clear" w:color="auto" w:fill="0E5C5B"/>
            <w:tcMar>
              <w:top w:w="120" w:type="dxa"/>
              <w:left w:w="220" w:type="dxa"/>
              <w:bottom w:w="120" w:type="dxa"/>
              <w:right w:w="160" w:type="dxa"/>
            </w:tcMar>
            <w:vAlign w:val="center"/>
          </w:tcPr>
          <w:p w14:paraId="15F3DFB2" w14:textId="77777777" w:rsidR="006B4D5F" w:rsidRDefault="00000000">
            <w:pPr>
              <w:keepLines/>
              <w:spacing w:line="260" w:lineRule="auto"/>
            </w:pPr>
            <w:r>
              <w:rPr>
                <w:b/>
                <w:bCs/>
                <w:color w:val="FFFFFF"/>
                <w:spacing w:val="4"/>
                <w:sz w:val="27"/>
                <w:szCs w:val="27"/>
              </w:rPr>
              <w:t>Now let’s look at antidepressants</w:t>
            </w:r>
          </w:p>
        </w:tc>
      </w:tr>
    </w:tbl>
    <w:p w14:paraId="7AABC303" w14:textId="77777777" w:rsidR="006B4D5F" w:rsidRDefault="006B4D5F">
      <w:pPr>
        <w:spacing w:after="120" w:line="20" w:lineRule="auto"/>
      </w:pPr>
    </w:p>
    <w:p w14:paraId="0B4A4C23" w14:textId="4D9B61D7" w:rsidR="006B4D5F" w:rsidRPr="0053176B" w:rsidRDefault="00000000" w:rsidP="0053176B">
      <w:pPr>
        <w:keepLines/>
        <w:rPr>
          <w:sz w:val="20"/>
          <w:szCs w:val="20"/>
        </w:rPr>
      </w:pPr>
      <w:r w:rsidRPr="0053176B">
        <w:rPr>
          <w:sz w:val="20"/>
          <w:szCs w:val="20"/>
        </w:rPr>
        <w:t xml:space="preserve">Of course, the statin trial doesn’t tell us exactly how this plays out across every type of patient. But thinking logically — is it possible the nocebo effect works across </w:t>
      </w:r>
      <w:r w:rsidRPr="0053176B">
        <w:rPr>
          <w:i/>
          <w:iCs/>
          <w:color w:val="B07410"/>
          <w:sz w:val="20"/>
          <w:szCs w:val="20"/>
        </w:rPr>
        <w:t>all</w:t>
      </w:r>
      <w:r w:rsidRPr="0053176B">
        <w:rPr>
          <w:sz w:val="20"/>
          <w:szCs w:val="20"/>
        </w:rPr>
        <w:t xml:space="preserve"> drugs? Why should it be confined to statins?</w:t>
      </w:r>
    </w:p>
    <w:tbl>
      <w:tblPr>
        <w:tblW w:w="9978" w:type="dxa"/>
        <w:tblBorders>
          <w:top w:val="single" w:sz="10" w:space="0" w:color="B07410"/>
          <w:left w:val="single" w:sz="10" w:space="0" w:color="B07410"/>
          <w:bottom w:val="single" w:sz="10" w:space="0" w:color="B07410"/>
          <w:right w:val="single" w:sz="10" w:space="0" w:color="B07410"/>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978"/>
      </w:tblGrid>
      <w:tr w:rsidR="006B4D5F" w14:paraId="060ADE92" w14:textId="77777777">
        <w:tblPrEx>
          <w:tblCellMar>
            <w:top w:w="0" w:type="dxa"/>
            <w:bottom w:w="0" w:type="dxa"/>
          </w:tblCellMar>
        </w:tblPrEx>
        <w:trPr>
          <w:cantSplit/>
        </w:trPr>
        <w:tc>
          <w:tcPr>
            <w:tcW w:w="9978" w:type="dxa"/>
            <w:tcBorders>
              <w:top w:val="none" w:sz="0" w:space="0" w:color="FFFFFF"/>
              <w:left w:val="none" w:sz="0" w:space="0" w:color="FFFFFF"/>
              <w:bottom w:val="none" w:sz="0" w:space="0" w:color="FFFFFF"/>
              <w:right w:val="none" w:sz="0" w:space="0" w:color="FFFFFF"/>
            </w:tcBorders>
            <w:shd w:val="clear" w:color="auto" w:fill="FFFFFF"/>
            <w:tcMar>
              <w:top w:w="150" w:type="dxa"/>
              <w:left w:w="220" w:type="dxa"/>
              <w:bottom w:w="150" w:type="dxa"/>
              <w:right w:w="220" w:type="dxa"/>
            </w:tcMar>
          </w:tcPr>
          <w:p w14:paraId="3C578EB7" w14:textId="77777777" w:rsidR="006B4D5F" w:rsidRDefault="00000000" w:rsidP="0053176B">
            <w:pPr>
              <w:keepLines/>
            </w:pPr>
            <w:r w:rsidRPr="0053176B">
              <w:rPr>
                <w:b/>
                <w:bCs/>
                <w:color w:val="B07410"/>
                <w:sz w:val="24"/>
                <w:szCs w:val="24"/>
              </w:rPr>
              <w:t xml:space="preserve">?  </w:t>
            </w:r>
            <w:r w:rsidRPr="0053176B">
              <w:rPr>
                <w:b/>
                <w:bCs/>
                <w:color w:val="0A4645"/>
                <w:sz w:val="20"/>
                <w:szCs w:val="20"/>
              </w:rPr>
              <w:t>With antidepressants: should we really tell patients that, on starting, they may get worse before they get better? Are we not planting that very thought — sowing an idea the patient then goes on to fertilise and water over the following weeks?</w:t>
            </w:r>
          </w:p>
        </w:tc>
      </w:tr>
    </w:tbl>
    <w:p w14:paraId="6A094394" w14:textId="77777777" w:rsidR="006B4D5F" w:rsidRDefault="006B4D5F">
      <w:pPr>
        <w:spacing w:after="140" w:line="20" w:lineRule="auto"/>
      </w:pPr>
    </w:p>
    <w:tbl>
      <w:tblPr>
        <w:tblW w:w="997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978"/>
      </w:tblGrid>
      <w:tr w:rsidR="006B4D5F" w14:paraId="17F068B8" w14:textId="77777777">
        <w:tblPrEx>
          <w:tblCellMar>
            <w:top w:w="0" w:type="dxa"/>
            <w:bottom w:w="0" w:type="dxa"/>
          </w:tblCellMar>
        </w:tblPrEx>
        <w:trPr>
          <w:cantSplit/>
        </w:trPr>
        <w:tc>
          <w:tcPr>
            <w:tcW w:w="9978" w:type="dxa"/>
            <w:tcBorders>
              <w:top w:val="none" w:sz="0" w:space="0" w:color="FFFFFF"/>
              <w:left w:val="single" w:sz="30" w:space="0" w:color="0E5C5B"/>
              <w:bottom w:val="none" w:sz="0" w:space="0" w:color="FFFFFF"/>
              <w:right w:val="none" w:sz="0" w:space="0" w:color="FFFFFF"/>
            </w:tcBorders>
            <w:shd w:val="clear" w:color="auto" w:fill="E6F0EF"/>
            <w:tcMar>
              <w:top w:w="130" w:type="dxa"/>
              <w:left w:w="200" w:type="dxa"/>
              <w:bottom w:w="130" w:type="dxa"/>
              <w:right w:w="200" w:type="dxa"/>
            </w:tcMar>
          </w:tcPr>
          <w:p w14:paraId="00727BFB" w14:textId="77777777" w:rsidR="006B4D5F" w:rsidRDefault="00000000">
            <w:pPr>
              <w:keepLines/>
              <w:spacing w:after="60"/>
            </w:pPr>
            <w:r>
              <w:rPr>
                <w:b/>
                <w:bCs/>
                <w:caps/>
                <w:color w:val="0E5C5B"/>
                <w:spacing w:val="12"/>
                <w:sz w:val="17"/>
                <w:szCs w:val="17"/>
              </w:rPr>
              <w:t>The tension in the numbers</w:t>
            </w:r>
          </w:p>
          <w:p w14:paraId="430AFF49" w14:textId="77777777" w:rsidR="006B4D5F" w:rsidRDefault="00000000">
            <w:pPr>
              <w:keepLines/>
              <w:spacing w:line="264" w:lineRule="auto"/>
            </w:pPr>
            <w:r>
              <w:rPr>
                <w:sz w:val="20"/>
                <w:szCs w:val="20"/>
              </w:rPr>
              <w:t xml:space="preserve">Perhaps around </w:t>
            </w:r>
            <w:r>
              <w:rPr>
                <w:b/>
                <w:bCs/>
                <w:color w:val="0A4645"/>
                <w:sz w:val="20"/>
                <w:szCs w:val="20"/>
              </w:rPr>
              <w:t>15%</w:t>
            </w:r>
            <w:r>
              <w:rPr>
                <w:sz w:val="20"/>
                <w:szCs w:val="20"/>
              </w:rPr>
              <w:t xml:space="preserve"> of people genuinely feel worse before they feel better. Yet a large proportion of patients stop their antidepressant within the first month (estimates vary widely, from around 40% up to 80%). Both are striking figures.</w:t>
            </w:r>
          </w:p>
        </w:tc>
      </w:tr>
    </w:tbl>
    <w:p w14:paraId="7CEE0793" w14:textId="77777777" w:rsidR="006B4D5F" w:rsidRDefault="006B4D5F">
      <w:pPr>
        <w:spacing w:after="140" w:line="20" w:lineRule="auto"/>
      </w:pPr>
    </w:p>
    <w:p w14:paraId="52A57D19" w14:textId="77777777" w:rsidR="006B4D5F" w:rsidRPr="0053176B" w:rsidRDefault="00000000">
      <w:pPr>
        <w:keepLines/>
        <w:spacing w:after="160" w:line="300" w:lineRule="auto"/>
        <w:rPr>
          <w:sz w:val="20"/>
          <w:szCs w:val="20"/>
        </w:rPr>
      </w:pPr>
      <w:r w:rsidRPr="0053176B">
        <w:rPr>
          <w:sz w:val="20"/>
          <w:szCs w:val="20"/>
        </w:rPr>
        <w:t xml:space="preserve">My question is this: </w:t>
      </w:r>
      <w:r w:rsidRPr="0053176B">
        <w:rPr>
          <w:b/>
          <w:bCs/>
          <w:color w:val="0A4645"/>
          <w:sz w:val="20"/>
          <w:szCs w:val="20"/>
        </w:rPr>
        <w:t>is it possible that many patients stop within a month precisely because they experience what we told them to expect?</w:t>
      </w:r>
      <w:r w:rsidRPr="0053176B">
        <w:rPr>
          <w:sz w:val="20"/>
          <w:szCs w:val="20"/>
        </w:rPr>
        <w:t xml:space="preserve"> And here is the crucial point — </w:t>
      </w:r>
      <w:r w:rsidRPr="0053176B">
        <w:rPr>
          <w:b/>
          <w:bCs/>
          <w:color w:val="0A4645"/>
          <w:sz w:val="20"/>
          <w:szCs w:val="20"/>
        </w:rPr>
        <w:t>many of them may be experiencing the nocebo effect in response to our words, rather than a true pharmacological symptom.</w:t>
      </w:r>
    </w:p>
    <w:p w14:paraId="31BD1B19" w14:textId="77777777" w:rsidR="006B4D5F" w:rsidRPr="0053176B" w:rsidRDefault="00000000">
      <w:pPr>
        <w:keepLines/>
        <w:spacing w:after="160" w:line="300" w:lineRule="auto"/>
        <w:rPr>
          <w:sz w:val="20"/>
          <w:szCs w:val="20"/>
        </w:rPr>
      </w:pPr>
      <w:r w:rsidRPr="0053176B">
        <w:rPr>
          <w:sz w:val="20"/>
          <w:szCs w:val="20"/>
        </w:rPr>
        <w:t xml:space="preserve">We already know the words we use as doctors have a massive impact on patients — numerous studies confirm it, and it has rightly changed how we practise and refine our communication. But </w:t>
      </w:r>
      <w:proofErr w:type="gramStart"/>
      <w:r w:rsidRPr="0053176B">
        <w:rPr>
          <w:sz w:val="20"/>
          <w:szCs w:val="20"/>
        </w:rPr>
        <w:t>usually</w:t>
      </w:r>
      <w:proofErr w:type="gramEnd"/>
      <w:r w:rsidRPr="0053176B">
        <w:rPr>
          <w:sz w:val="20"/>
          <w:szCs w:val="20"/>
        </w:rPr>
        <w:t xml:space="preserve"> the learning point is a </w:t>
      </w:r>
      <w:r w:rsidRPr="0053176B">
        <w:rPr>
          <w:i/>
          <w:iCs/>
          <w:color w:val="B07410"/>
          <w:sz w:val="20"/>
          <w:szCs w:val="20"/>
        </w:rPr>
        <w:t>rephrasing</w:t>
      </w:r>
      <w:r w:rsidRPr="0053176B">
        <w:rPr>
          <w:sz w:val="20"/>
          <w:szCs w:val="20"/>
        </w:rPr>
        <w:t xml:space="preserve"> of how we say things. I am not suggesting a rephrasing here. </w:t>
      </w:r>
      <w:r w:rsidRPr="0053176B">
        <w:rPr>
          <w:b/>
          <w:bCs/>
          <w:color w:val="0A4645"/>
          <w:sz w:val="20"/>
          <w:szCs w:val="20"/>
        </w:rPr>
        <w:t>I am suggesting a complete omission.</w:t>
      </w:r>
    </w:p>
    <w:p w14:paraId="3EC560F4" w14:textId="77777777" w:rsidR="006B4D5F" w:rsidRDefault="006B4D5F">
      <w:pPr>
        <w:spacing w:after="40" w:line="20" w:lineRule="auto"/>
      </w:pPr>
    </w:p>
    <w:tbl>
      <w:tblPr>
        <w:tblW w:w="997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978"/>
      </w:tblGrid>
      <w:tr w:rsidR="006B4D5F" w14:paraId="4E03805A" w14:textId="77777777">
        <w:tblPrEx>
          <w:tblCellMar>
            <w:top w:w="0" w:type="dxa"/>
            <w:bottom w:w="0" w:type="dxa"/>
          </w:tblCellMar>
        </w:tblPrEx>
        <w:trPr>
          <w:cantSplit/>
        </w:trPr>
        <w:tc>
          <w:tcPr>
            <w:tcW w:w="9978" w:type="dxa"/>
            <w:tcBorders>
              <w:top w:val="none" w:sz="0" w:space="0" w:color="FFFFFF"/>
              <w:left w:val="single" w:sz="30" w:space="0" w:color="B07410"/>
              <w:bottom w:val="none" w:sz="0" w:space="0" w:color="FFFFFF"/>
              <w:right w:val="none" w:sz="0" w:space="0" w:color="FFFFFF"/>
            </w:tcBorders>
            <w:shd w:val="clear" w:color="auto" w:fill="FBF3E2"/>
            <w:tcMar>
              <w:top w:w="130" w:type="dxa"/>
              <w:left w:w="200" w:type="dxa"/>
              <w:bottom w:w="130" w:type="dxa"/>
              <w:right w:w="200" w:type="dxa"/>
            </w:tcMar>
          </w:tcPr>
          <w:p w14:paraId="3525466F" w14:textId="77777777" w:rsidR="006B4D5F" w:rsidRDefault="00000000">
            <w:pPr>
              <w:keepLines/>
              <w:spacing w:after="60"/>
            </w:pPr>
            <w:r>
              <w:rPr>
                <w:b/>
                <w:bCs/>
                <w:caps/>
                <w:color w:val="B07410"/>
                <w:spacing w:val="12"/>
                <w:sz w:val="17"/>
                <w:szCs w:val="17"/>
              </w:rPr>
              <w:t>Why omission, not rephrasing</w:t>
            </w:r>
          </w:p>
          <w:p w14:paraId="720BE956" w14:textId="77777777" w:rsidR="006B4D5F" w:rsidRDefault="00000000">
            <w:pPr>
              <w:keepLines/>
              <w:spacing w:line="264" w:lineRule="auto"/>
            </w:pPr>
            <w:r>
              <w:rPr>
                <w:sz w:val="20"/>
                <w:szCs w:val="20"/>
              </w:rPr>
              <w:t xml:space="preserve">Imagine saying it in a “balanced” way: </w:t>
            </w:r>
            <w:r>
              <w:rPr>
                <w:i/>
                <w:iCs/>
                <w:color w:val="B07410"/>
                <w:sz w:val="20"/>
                <w:szCs w:val="20"/>
              </w:rPr>
              <w:t>“a very small number of people might get…”</w:t>
            </w:r>
            <w:r>
              <w:rPr>
                <w:sz w:val="20"/>
                <w:szCs w:val="20"/>
              </w:rPr>
              <w:t xml:space="preserve"> You will still get several patients who reply, </w:t>
            </w:r>
            <w:r>
              <w:rPr>
                <w:i/>
                <w:iCs/>
                <w:color w:val="B07410"/>
                <w:sz w:val="20"/>
                <w:szCs w:val="20"/>
              </w:rPr>
              <w:t>“I bet I’ll be one of them.”</w:t>
            </w:r>
            <w:r>
              <w:rPr>
                <w:sz w:val="20"/>
                <w:szCs w:val="20"/>
              </w:rPr>
              <w:t xml:space="preserve"> And you know as well as I do that, at that point, the self-fulfilling prophecy is already halfway to being fulfilled.</w:t>
            </w:r>
          </w:p>
        </w:tc>
      </w:tr>
    </w:tbl>
    <w:p w14:paraId="775FDD20" w14:textId="77777777" w:rsidR="006B4D5F" w:rsidRDefault="006B4D5F">
      <w:pPr>
        <w:spacing w:after="140" w:line="20" w:lineRule="auto"/>
      </w:pPr>
    </w:p>
    <w:p w14:paraId="33B30C10" w14:textId="77777777" w:rsidR="006B4D5F" w:rsidRPr="0053176B" w:rsidRDefault="00000000">
      <w:pPr>
        <w:keepLines/>
        <w:spacing w:after="160" w:line="300" w:lineRule="auto"/>
        <w:rPr>
          <w:sz w:val="20"/>
          <w:szCs w:val="20"/>
        </w:rPr>
      </w:pPr>
      <w:r w:rsidRPr="0053176B">
        <w:rPr>
          <w:sz w:val="20"/>
          <w:szCs w:val="20"/>
        </w:rPr>
        <w:t xml:space="preserve">If we </w:t>
      </w:r>
      <w:r w:rsidRPr="0053176B">
        <w:rPr>
          <w:b/>
          <w:bCs/>
          <w:color w:val="0A4645"/>
          <w:sz w:val="20"/>
          <w:szCs w:val="20"/>
        </w:rPr>
        <w:t>stopped</w:t>
      </w:r>
      <w:r w:rsidRPr="0053176B">
        <w:rPr>
          <w:sz w:val="20"/>
          <w:szCs w:val="20"/>
        </w:rPr>
        <w:t xml:space="preserve"> saying things like </w:t>
      </w:r>
      <w:r w:rsidRPr="0053176B">
        <w:rPr>
          <w:i/>
          <w:iCs/>
          <w:color w:val="B07410"/>
          <w:sz w:val="20"/>
          <w:szCs w:val="20"/>
        </w:rPr>
        <w:t>“you might feel worse before you get better”</w:t>
      </w:r>
      <w:r w:rsidRPr="0053176B">
        <w:rPr>
          <w:sz w:val="20"/>
          <w:szCs w:val="20"/>
        </w:rPr>
        <w:t xml:space="preserve">, might that prevent the nocebo effect from taking hold — and improve tolerability and concordance? I understand </w:t>
      </w:r>
      <w:r w:rsidRPr="0053176B">
        <w:rPr>
          <w:i/>
          <w:iCs/>
          <w:color w:val="B07410"/>
          <w:sz w:val="20"/>
          <w:szCs w:val="20"/>
        </w:rPr>
        <w:t>why</w:t>
      </w:r>
      <w:r w:rsidRPr="0053176B">
        <w:rPr>
          <w:sz w:val="20"/>
          <w:szCs w:val="20"/>
        </w:rPr>
        <w:t xml:space="preserve"> we inform patients: we want them in the know, able to anticipate, ready to persevere. But does it sometimes achieve the opposite? When a patient stops an antidepressant that might otherwise have done </w:t>
      </w:r>
      <w:proofErr w:type="gramStart"/>
      <w:r w:rsidRPr="0053176B">
        <w:rPr>
          <w:sz w:val="20"/>
          <w:szCs w:val="20"/>
        </w:rPr>
        <w:t>real</w:t>
      </w:r>
      <w:proofErr w:type="gramEnd"/>
      <w:r w:rsidRPr="0053176B">
        <w:rPr>
          <w:sz w:val="20"/>
          <w:szCs w:val="20"/>
        </w:rPr>
        <w:t xml:space="preserve"> good, does our warning become a disservice? We all know depression is a serious illness that, left untreated, can cause enormous distress for a patient, their family and their friends.</w:t>
      </w:r>
    </w:p>
    <w:p w14:paraId="76E289F7" w14:textId="77777777" w:rsidR="006B4D5F" w:rsidRPr="0053176B" w:rsidRDefault="006B4D5F">
      <w:pPr>
        <w:spacing w:after="60" w:line="20" w:lineRule="auto"/>
        <w:rPr>
          <w:sz w:val="20"/>
          <w:szCs w:val="20"/>
        </w:rPr>
      </w:pPr>
    </w:p>
    <w:p w14:paraId="6BD3C5DC" w14:textId="77777777" w:rsidR="006B4D5F" w:rsidRPr="0053176B" w:rsidRDefault="00000000">
      <w:pPr>
        <w:keepLines/>
        <w:spacing w:after="160" w:line="300" w:lineRule="auto"/>
        <w:rPr>
          <w:sz w:val="20"/>
          <w:szCs w:val="20"/>
        </w:rPr>
      </w:pPr>
      <w:r w:rsidRPr="0053176B">
        <w:rPr>
          <w:sz w:val="20"/>
          <w:szCs w:val="20"/>
        </w:rPr>
        <w:t>And finally — time to move from subjectivity to objectivity. Let’s close with some figures.</w:t>
      </w:r>
    </w:p>
    <w:p w14:paraId="365A6FF3" w14:textId="77777777" w:rsidR="006B4D5F" w:rsidRDefault="006B4D5F">
      <w:pPr>
        <w:spacing w:after="40" w:line="20" w:lineRule="auto"/>
      </w:pPr>
    </w:p>
    <w:tbl>
      <w:tblPr>
        <w:tblW w:w="997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0058"/>
      </w:tblGrid>
      <w:tr w:rsidR="006B4D5F" w14:paraId="15E2FBB3" w14:textId="77777777">
        <w:tblPrEx>
          <w:tblCellMar>
            <w:top w:w="0" w:type="dxa"/>
            <w:bottom w:w="0" w:type="dxa"/>
          </w:tblCellMar>
        </w:tblPrEx>
        <w:trPr>
          <w:cantSplit/>
        </w:trPr>
        <w:tc>
          <w:tcPr>
            <w:tcW w:w="9978" w:type="dxa"/>
            <w:tcBorders>
              <w:top w:val="single" w:sz="4" w:space="0" w:color="E3E0D8"/>
              <w:left w:val="single" w:sz="4" w:space="0" w:color="E3E0D8"/>
              <w:bottom w:val="single" w:sz="4" w:space="0" w:color="E3E0D8"/>
              <w:right w:val="single" w:sz="4" w:space="0" w:color="E3E0D8"/>
            </w:tcBorders>
            <w:shd w:val="clear" w:color="auto" w:fill="FCFCFB"/>
            <w:tcMar>
              <w:top w:w="170" w:type="dxa"/>
              <w:left w:w="220" w:type="dxa"/>
              <w:bottom w:w="170" w:type="dxa"/>
              <w:right w:w="220" w:type="dxa"/>
            </w:tcMar>
          </w:tcPr>
          <w:p w14:paraId="46858DD3" w14:textId="77777777" w:rsidR="006B4D5F" w:rsidRDefault="00000000">
            <w:pPr>
              <w:keepLines/>
              <w:spacing w:after="40" w:line="250" w:lineRule="auto"/>
            </w:pPr>
            <w:r>
              <w:rPr>
                <w:b/>
                <w:bCs/>
                <w:color w:val="0A4645"/>
              </w:rPr>
              <w:t>Thinking in tens: what really happens with 10 patients</w:t>
            </w:r>
          </w:p>
          <w:p w14:paraId="0C9EBB9C" w14:textId="77777777" w:rsidR="006B4D5F" w:rsidRDefault="00000000">
            <w:pPr>
              <w:keepLines/>
              <w:spacing w:after="160" w:line="250" w:lineRule="auto"/>
            </w:pPr>
            <w:r>
              <w:rPr>
                <w:color w:val="4A4A4A"/>
                <w:sz w:val="18"/>
                <w:szCs w:val="18"/>
              </w:rPr>
              <w:t>Around 60% of people respond to an antidepressant by about two months, with roughly a 50% reduction in symptoms.</w:t>
            </w:r>
          </w:p>
          <w:tbl>
            <w:tblPr>
              <w:tblW w:w="961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3206"/>
              <w:gridCol w:w="3206"/>
              <w:gridCol w:w="3206"/>
            </w:tblGrid>
            <w:tr w:rsidR="006B4D5F" w14:paraId="6FFA8D1C" w14:textId="77777777">
              <w:tblPrEx>
                <w:tblCellMar>
                  <w:top w:w="0" w:type="dxa"/>
                  <w:bottom w:w="0" w:type="dxa"/>
                </w:tblCellMar>
              </w:tblPrEx>
              <w:trPr>
                <w:cantSplit/>
              </w:trPr>
              <w:tc>
                <w:tcPr>
                  <w:tcW w:w="3206" w:type="dxa"/>
                  <w:tcBorders>
                    <w:top w:val="none" w:sz="0" w:space="0" w:color="FFFFFF"/>
                    <w:left w:val="none" w:sz="0" w:space="0" w:color="FFFFFF"/>
                    <w:bottom w:val="none" w:sz="0" w:space="0" w:color="FFFFFF"/>
                    <w:right w:val="none" w:sz="0" w:space="0" w:color="FFFFFF"/>
                  </w:tcBorders>
                  <w:tcMar>
                    <w:top w:w="40" w:type="dxa"/>
                    <w:left w:w="90" w:type="dxa"/>
                    <w:bottom w:w="40" w:type="dxa"/>
                    <w:right w:w="90" w:type="dxa"/>
                  </w:tcMar>
                </w:tcPr>
                <w:tbl>
                  <w:tblPr>
                    <w:tblW w:w="302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3026"/>
                  </w:tblGrid>
                  <w:tr w:rsidR="006B4D5F" w14:paraId="719BC60A" w14:textId="77777777">
                    <w:tblPrEx>
                      <w:tblCellMar>
                        <w:top w:w="0" w:type="dxa"/>
                        <w:bottom w:w="0" w:type="dxa"/>
                      </w:tblCellMar>
                    </w:tblPrEx>
                    <w:trPr>
                      <w:cantSplit/>
                    </w:trPr>
                    <w:tc>
                      <w:tcPr>
                        <w:tcW w:w="3026" w:type="dxa"/>
                        <w:tcBorders>
                          <w:top w:val="none" w:sz="0" w:space="0" w:color="FFFFFF"/>
                          <w:left w:val="none" w:sz="0" w:space="0" w:color="FFFFFF"/>
                          <w:bottom w:val="none" w:sz="0" w:space="0" w:color="FFFFFF"/>
                          <w:right w:val="none" w:sz="0" w:space="0" w:color="FFFFFF"/>
                        </w:tcBorders>
                        <w:shd w:val="clear" w:color="auto" w:fill="E6F0EF"/>
                        <w:tcMar>
                          <w:top w:w="50" w:type="dxa"/>
                          <w:left w:w="40" w:type="dxa"/>
                          <w:bottom w:w="50" w:type="dxa"/>
                          <w:right w:w="40" w:type="dxa"/>
                        </w:tcMar>
                      </w:tcPr>
                      <w:p w14:paraId="40900EFD" w14:textId="77777777" w:rsidR="006B4D5F" w:rsidRDefault="00000000">
                        <w:pPr>
                          <w:keepLines/>
                          <w:spacing w:line="220" w:lineRule="auto"/>
                          <w:jc w:val="center"/>
                        </w:pPr>
                        <w:r>
                          <w:rPr>
                            <w:b/>
                            <w:bCs/>
                            <w:color w:val="0A4645"/>
                            <w:sz w:val="18"/>
                            <w:szCs w:val="18"/>
                          </w:rPr>
                          <w:t>Response by ~2 months</w:t>
                        </w:r>
                      </w:p>
                    </w:tc>
                  </w:tr>
                </w:tbl>
                <w:p w14:paraId="00096E70" w14:textId="77777777" w:rsidR="006B4D5F" w:rsidRDefault="00000000">
                  <w:pPr>
                    <w:spacing w:before="40" w:after="40"/>
                    <w:jc w:val="center"/>
                  </w:pPr>
                  <w:r>
                    <w:rPr>
                      <w:noProof/>
                    </w:rPr>
                    <w:drawing>
                      <wp:inline distT="0" distB="0" distL="0" distR="0" wp14:anchorId="676CE26A" wp14:editId="5736D7FF">
                        <wp:extent cx="1428750" cy="666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1428750" cy="666750"/>
                                </a:xfrm>
                                <a:prstGeom prst="rect">
                                  <a:avLst/>
                                </a:prstGeom>
                              </pic:spPr>
                            </pic:pic>
                          </a:graphicData>
                        </a:graphic>
                      </wp:inline>
                    </w:drawing>
                  </w:r>
                </w:p>
                <w:p w14:paraId="04DE7B75" w14:textId="77777777" w:rsidR="006B4D5F" w:rsidRDefault="00000000">
                  <w:pPr>
                    <w:keepLines/>
                    <w:jc w:val="center"/>
                  </w:pPr>
                  <w:r>
                    <w:rPr>
                      <w:b/>
                      <w:bCs/>
                      <w:color w:val="0E5C5B"/>
                      <w:sz w:val="22"/>
                      <w:szCs w:val="22"/>
                    </w:rPr>
                    <w:t>6 of 10</w:t>
                  </w:r>
                  <w:r>
                    <w:rPr>
                      <w:color w:val="4A4A4A"/>
                      <w:sz w:val="17"/>
                      <w:szCs w:val="17"/>
                    </w:rPr>
                    <w:t xml:space="preserve"> are better by two months. The other 4 may not be.</w:t>
                  </w:r>
                </w:p>
              </w:tc>
              <w:tc>
                <w:tcPr>
                  <w:tcW w:w="3206" w:type="dxa"/>
                  <w:tcBorders>
                    <w:top w:val="none" w:sz="0" w:space="0" w:color="FFFFFF"/>
                    <w:left w:val="none" w:sz="0" w:space="0" w:color="FFFFFF"/>
                    <w:bottom w:val="none" w:sz="0" w:space="0" w:color="FFFFFF"/>
                    <w:right w:val="none" w:sz="0" w:space="0" w:color="FFFFFF"/>
                  </w:tcBorders>
                  <w:tcMar>
                    <w:top w:w="40" w:type="dxa"/>
                    <w:left w:w="90" w:type="dxa"/>
                    <w:bottom w:w="40" w:type="dxa"/>
                    <w:right w:w="90" w:type="dxa"/>
                  </w:tcMar>
                </w:tcPr>
                <w:tbl>
                  <w:tblPr>
                    <w:tblW w:w="302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3026"/>
                  </w:tblGrid>
                  <w:tr w:rsidR="006B4D5F" w14:paraId="4C3689F3" w14:textId="77777777">
                    <w:tblPrEx>
                      <w:tblCellMar>
                        <w:top w:w="0" w:type="dxa"/>
                        <w:bottom w:w="0" w:type="dxa"/>
                      </w:tblCellMar>
                    </w:tblPrEx>
                    <w:trPr>
                      <w:cantSplit/>
                    </w:trPr>
                    <w:tc>
                      <w:tcPr>
                        <w:tcW w:w="3026" w:type="dxa"/>
                        <w:tcBorders>
                          <w:top w:val="none" w:sz="0" w:space="0" w:color="FFFFFF"/>
                          <w:left w:val="none" w:sz="0" w:space="0" w:color="FFFFFF"/>
                          <w:bottom w:val="none" w:sz="0" w:space="0" w:color="FFFFFF"/>
                          <w:right w:val="none" w:sz="0" w:space="0" w:color="FFFFFF"/>
                        </w:tcBorders>
                        <w:shd w:val="clear" w:color="auto" w:fill="FBF1DF"/>
                        <w:tcMar>
                          <w:top w:w="50" w:type="dxa"/>
                          <w:left w:w="40" w:type="dxa"/>
                          <w:bottom w:w="50" w:type="dxa"/>
                          <w:right w:w="40" w:type="dxa"/>
                        </w:tcMar>
                      </w:tcPr>
                      <w:p w14:paraId="6632F6E5" w14:textId="77777777" w:rsidR="006B4D5F" w:rsidRDefault="00000000">
                        <w:pPr>
                          <w:keepLines/>
                          <w:spacing w:line="220" w:lineRule="auto"/>
                          <w:jc w:val="center"/>
                        </w:pPr>
                        <w:r>
                          <w:rPr>
                            <w:b/>
                            <w:bCs/>
                            <w:color w:val="B07410"/>
                            <w:sz w:val="18"/>
                            <w:szCs w:val="18"/>
                          </w:rPr>
                          <w:t>“Worse before better” — the reality</w:t>
                        </w:r>
                      </w:p>
                    </w:tc>
                  </w:tr>
                </w:tbl>
                <w:p w14:paraId="6356FFF9" w14:textId="77777777" w:rsidR="006B4D5F" w:rsidRDefault="00000000">
                  <w:pPr>
                    <w:spacing w:before="40" w:after="40"/>
                    <w:jc w:val="center"/>
                  </w:pPr>
                  <w:r>
                    <w:rPr>
                      <w:noProof/>
                    </w:rPr>
                    <w:drawing>
                      <wp:inline distT="0" distB="0" distL="0" distR="0" wp14:anchorId="6E092328" wp14:editId="6F96A758">
                        <wp:extent cx="1428750" cy="666750"/>
                        <wp:effectExtent l="0" t="0" r="0" b="0"/>
                        <wp:docPr id="1185030915" name="Picture 1185030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1428750" cy="666750"/>
                                </a:xfrm>
                                <a:prstGeom prst="rect">
                                  <a:avLst/>
                                </a:prstGeom>
                              </pic:spPr>
                            </pic:pic>
                          </a:graphicData>
                        </a:graphic>
                      </wp:inline>
                    </w:drawing>
                  </w:r>
                </w:p>
                <w:p w14:paraId="1BA6E55A" w14:textId="77777777" w:rsidR="006B4D5F" w:rsidRDefault="00000000">
                  <w:pPr>
                    <w:keepLines/>
                    <w:jc w:val="center"/>
                  </w:pPr>
                  <w:r>
                    <w:rPr>
                      <w:b/>
                      <w:bCs/>
                      <w:color w:val="B07410"/>
                      <w:sz w:val="22"/>
                      <w:szCs w:val="22"/>
                    </w:rPr>
                    <w:t>2 of 10</w:t>
                  </w:r>
                  <w:r>
                    <w:rPr>
                      <w:color w:val="4A4A4A"/>
                      <w:sz w:val="17"/>
                      <w:szCs w:val="17"/>
                    </w:rPr>
                    <w:t xml:space="preserve"> truly experience an early dip.</w:t>
                  </w:r>
                </w:p>
              </w:tc>
              <w:tc>
                <w:tcPr>
                  <w:tcW w:w="3206" w:type="dxa"/>
                  <w:tcBorders>
                    <w:top w:val="none" w:sz="0" w:space="0" w:color="FFFFFF"/>
                    <w:left w:val="none" w:sz="0" w:space="0" w:color="FFFFFF"/>
                    <w:bottom w:val="none" w:sz="0" w:space="0" w:color="FFFFFF"/>
                    <w:right w:val="none" w:sz="0" w:space="0" w:color="FFFFFF"/>
                  </w:tcBorders>
                  <w:tcMar>
                    <w:top w:w="40" w:type="dxa"/>
                    <w:left w:w="90" w:type="dxa"/>
                    <w:bottom w:w="40" w:type="dxa"/>
                    <w:right w:w="90" w:type="dxa"/>
                  </w:tcMar>
                </w:tcPr>
                <w:tbl>
                  <w:tblPr>
                    <w:tblW w:w="302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3026"/>
                  </w:tblGrid>
                  <w:tr w:rsidR="006B4D5F" w14:paraId="1F5BA073" w14:textId="77777777">
                    <w:tblPrEx>
                      <w:tblCellMar>
                        <w:top w:w="0" w:type="dxa"/>
                        <w:bottom w:w="0" w:type="dxa"/>
                      </w:tblCellMar>
                    </w:tblPrEx>
                    <w:trPr>
                      <w:cantSplit/>
                    </w:trPr>
                    <w:tc>
                      <w:tcPr>
                        <w:tcW w:w="3026" w:type="dxa"/>
                        <w:tcBorders>
                          <w:top w:val="none" w:sz="0" w:space="0" w:color="FFFFFF"/>
                          <w:left w:val="none" w:sz="0" w:space="0" w:color="FFFFFF"/>
                          <w:bottom w:val="none" w:sz="0" w:space="0" w:color="FFFFFF"/>
                          <w:right w:val="none" w:sz="0" w:space="0" w:color="FFFFFF"/>
                        </w:tcBorders>
                        <w:shd w:val="clear" w:color="auto" w:fill="FBEAEA"/>
                        <w:tcMar>
                          <w:top w:w="50" w:type="dxa"/>
                          <w:left w:w="40" w:type="dxa"/>
                          <w:bottom w:w="50" w:type="dxa"/>
                          <w:right w:w="40" w:type="dxa"/>
                        </w:tcMar>
                      </w:tcPr>
                      <w:p w14:paraId="6CB964C4" w14:textId="77777777" w:rsidR="006B4D5F" w:rsidRDefault="00000000">
                        <w:pPr>
                          <w:keepLines/>
                          <w:spacing w:line="220" w:lineRule="auto"/>
                          <w:jc w:val="center"/>
                        </w:pPr>
                        <w:r>
                          <w:rPr>
                            <w:b/>
                            <w:bCs/>
                            <w:color w:val="B23B3B"/>
                            <w:sz w:val="18"/>
                            <w:szCs w:val="18"/>
                          </w:rPr>
                          <w:t>…once we highlight it</w:t>
                        </w:r>
                      </w:p>
                    </w:tc>
                  </w:tr>
                </w:tbl>
                <w:p w14:paraId="19272F53" w14:textId="77777777" w:rsidR="006B4D5F" w:rsidRDefault="00000000">
                  <w:pPr>
                    <w:spacing w:before="40" w:after="40"/>
                    <w:jc w:val="center"/>
                  </w:pPr>
                  <w:r>
                    <w:rPr>
                      <w:noProof/>
                    </w:rPr>
                    <w:drawing>
                      <wp:inline distT="0" distB="0" distL="0" distR="0" wp14:anchorId="019ED7E1" wp14:editId="45CC7E6C">
                        <wp:extent cx="1428750" cy="666750"/>
                        <wp:effectExtent l="0" t="0" r="0" b="0"/>
                        <wp:docPr id="1896720278" name="Picture 1896720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1428750" cy="666750"/>
                                </a:xfrm>
                                <a:prstGeom prst="rect">
                                  <a:avLst/>
                                </a:prstGeom>
                              </pic:spPr>
                            </pic:pic>
                          </a:graphicData>
                        </a:graphic>
                      </wp:inline>
                    </w:drawing>
                  </w:r>
                </w:p>
                <w:p w14:paraId="0F4F4AF0" w14:textId="77777777" w:rsidR="006B4D5F" w:rsidRDefault="00000000">
                  <w:pPr>
                    <w:keepLines/>
                    <w:jc w:val="center"/>
                  </w:pPr>
                  <w:r>
                    <w:rPr>
                      <w:b/>
                      <w:bCs/>
                      <w:color w:val="B23B3B"/>
                      <w:sz w:val="22"/>
                      <w:szCs w:val="22"/>
                    </w:rPr>
                    <w:t>up to 4–6 of 10</w:t>
                  </w:r>
                  <w:r>
                    <w:rPr>
                      <w:color w:val="4A4A4A"/>
                      <w:sz w:val="17"/>
                      <w:szCs w:val="17"/>
                    </w:rPr>
                    <w:t xml:space="preserve"> now report it — the nocebo effect kicking in.</w:t>
                  </w:r>
                </w:p>
              </w:tc>
            </w:tr>
          </w:tbl>
          <w:p w14:paraId="7A0466A7" w14:textId="77777777" w:rsidR="006B4D5F" w:rsidRDefault="006B4D5F"/>
        </w:tc>
      </w:tr>
    </w:tbl>
    <w:p w14:paraId="3FDEAC36" w14:textId="77777777" w:rsidR="006B4D5F" w:rsidRDefault="006B4D5F">
      <w:pPr>
        <w:spacing w:after="140" w:line="20" w:lineRule="auto"/>
      </w:pPr>
    </w:p>
    <w:tbl>
      <w:tblPr>
        <w:tblW w:w="997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978"/>
      </w:tblGrid>
      <w:tr w:rsidR="006B4D5F" w14:paraId="1FAFB5FB" w14:textId="77777777">
        <w:tblPrEx>
          <w:tblCellMar>
            <w:top w:w="0" w:type="dxa"/>
            <w:bottom w:w="0" w:type="dxa"/>
          </w:tblCellMar>
        </w:tblPrEx>
        <w:trPr>
          <w:cantSplit/>
        </w:trPr>
        <w:tc>
          <w:tcPr>
            <w:tcW w:w="9978" w:type="dxa"/>
            <w:tcBorders>
              <w:top w:val="none" w:sz="0" w:space="0" w:color="FFFFFF"/>
              <w:left w:val="single" w:sz="30" w:space="0" w:color="B23B3B"/>
              <w:bottom w:val="none" w:sz="0" w:space="0" w:color="FFFFFF"/>
              <w:right w:val="none" w:sz="0" w:space="0" w:color="FFFFFF"/>
            </w:tcBorders>
            <w:shd w:val="clear" w:color="auto" w:fill="FBEAEA"/>
            <w:tcMar>
              <w:top w:w="130" w:type="dxa"/>
              <w:left w:w="200" w:type="dxa"/>
              <w:bottom w:w="130" w:type="dxa"/>
              <w:right w:w="200" w:type="dxa"/>
            </w:tcMar>
          </w:tcPr>
          <w:p w14:paraId="5C817792" w14:textId="77777777" w:rsidR="006B4D5F" w:rsidRDefault="00000000">
            <w:pPr>
              <w:keepLines/>
              <w:spacing w:after="60"/>
            </w:pPr>
            <w:r>
              <w:rPr>
                <w:b/>
                <w:bCs/>
                <w:caps/>
                <w:color w:val="B23B3B"/>
                <w:spacing w:val="12"/>
                <w:sz w:val="17"/>
                <w:szCs w:val="17"/>
              </w:rPr>
              <w:t>The provocation</w:t>
            </w:r>
          </w:p>
          <w:p w14:paraId="6DD501B7" w14:textId="77777777" w:rsidR="006B4D5F" w:rsidRDefault="00000000">
            <w:pPr>
              <w:keepLines/>
              <w:spacing w:line="264" w:lineRule="auto"/>
            </w:pPr>
            <w:r>
              <w:rPr>
                <w:sz w:val="20"/>
                <w:szCs w:val="20"/>
              </w:rPr>
              <w:t xml:space="preserve">So why warn all 10 patients? Why put the other 8 at risk of the nocebo effect when only about 2 will experience the real symptom? Why not simply </w:t>
            </w:r>
            <w:r>
              <w:rPr>
                <w:b/>
                <w:bCs/>
                <w:color w:val="0A4645"/>
                <w:sz w:val="20"/>
                <w:szCs w:val="20"/>
              </w:rPr>
              <w:t>work with the 2</w:t>
            </w:r>
            <w:r>
              <w:rPr>
                <w:sz w:val="20"/>
                <w:szCs w:val="20"/>
              </w:rPr>
              <w:t xml:space="preserve"> — </w:t>
            </w:r>
            <w:proofErr w:type="gramStart"/>
            <w:r>
              <w:rPr>
                <w:sz w:val="20"/>
                <w:szCs w:val="20"/>
              </w:rPr>
              <w:t>if and when</w:t>
            </w:r>
            <w:proofErr w:type="gramEnd"/>
            <w:r>
              <w:rPr>
                <w:sz w:val="20"/>
                <w:szCs w:val="20"/>
              </w:rPr>
              <w:t xml:space="preserve"> it </w:t>
            </w:r>
            <w:proofErr w:type="gramStart"/>
            <w:r>
              <w:rPr>
                <w:sz w:val="20"/>
                <w:szCs w:val="20"/>
              </w:rPr>
              <w:t>actually happens</w:t>
            </w:r>
            <w:proofErr w:type="gramEnd"/>
            <w:r>
              <w:rPr>
                <w:sz w:val="20"/>
                <w:szCs w:val="20"/>
              </w:rPr>
              <w:t>?</w:t>
            </w:r>
          </w:p>
        </w:tc>
      </w:tr>
    </w:tbl>
    <w:p w14:paraId="32E51243" w14:textId="77777777" w:rsidR="006B4D5F" w:rsidRDefault="006B4D5F">
      <w:pPr>
        <w:spacing w:after="160" w:line="20" w:lineRule="auto"/>
      </w:pPr>
    </w:p>
    <w:tbl>
      <w:tblPr>
        <w:tblW w:w="997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620"/>
        <w:gridCol w:w="9358"/>
      </w:tblGrid>
      <w:tr w:rsidR="006B4D5F" w14:paraId="5F201D85" w14:textId="77777777">
        <w:tblPrEx>
          <w:tblCellMar>
            <w:top w:w="0" w:type="dxa"/>
            <w:bottom w:w="0" w:type="dxa"/>
          </w:tblCellMar>
        </w:tblPrEx>
        <w:trPr>
          <w:cantSplit/>
        </w:trPr>
        <w:tc>
          <w:tcPr>
            <w:tcW w:w="620" w:type="dxa"/>
            <w:tcBorders>
              <w:top w:val="none" w:sz="0" w:space="0" w:color="FFFFFF"/>
              <w:left w:val="none" w:sz="0" w:space="0" w:color="FFFFFF"/>
              <w:bottom w:val="none" w:sz="0" w:space="0" w:color="FFFFFF"/>
              <w:right w:val="none" w:sz="0" w:space="0" w:color="FFFFFF"/>
            </w:tcBorders>
            <w:shd w:val="clear" w:color="auto" w:fill="B07410"/>
            <w:tcMar>
              <w:top w:w="120" w:type="dxa"/>
              <w:left w:w="0" w:type="dxa"/>
              <w:bottom w:w="120" w:type="dxa"/>
              <w:right w:w="0" w:type="dxa"/>
            </w:tcMar>
            <w:vAlign w:val="center"/>
          </w:tcPr>
          <w:p w14:paraId="18FA5109" w14:textId="77777777" w:rsidR="006B4D5F" w:rsidRDefault="00000000">
            <w:pPr>
              <w:keepLines/>
              <w:jc w:val="center"/>
            </w:pPr>
            <w:r>
              <w:rPr>
                <w:b/>
                <w:bCs/>
                <w:color w:val="FFFFFF"/>
                <w:sz w:val="30"/>
                <w:szCs w:val="30"/>
              </w:rPr>
              <w:lastRenderedPageBreak/>
              <w:t>3</w:t>
            </w:r>
          </w:p>
        </w:tc>
        <w:tc>
          <w:tcPr>
            <w:tcW w:w="9358" w:type="dxa"/>
            <w:tcBorders>
              <w:top w:val="none" w:sz="0" w:space="0" w:color="FFFFFF"/>
              <w:left w:val="none" w:sz="0" w:space="0" w:color="FFFFFF"/>
              <w:bottom w:val="none" w:sz="0" w:space="0" w:color="FFFFFF"/>
              <w:right w:val="none" w:sz="0" w:space="0" w:color="FFFFFF"/>
            </w:tcBorders>
            <w:shd w:val="clear" w:color="auto" w:fill="0E5C5B"/>
            <w:tcMar>
              <w:top w:w="120" w:type="dxa"/>
              <w:left w:w="220" w:type="dxa"/>
              <w:bottom w:w="120" w:type="dxa"/>
              <w:right w:w="160" w:type="dxa"/>
            </w:tcMar>
            <w:vAlign w:val="center"/>
          </w:tcPr>
          <w:p w14:paraId="56037EB1" w14:textId="77777777" w:rsidR="006B4D5F" w:rsidRDefault="00000000">
            <w:pPr>
              <w:keepLines/>
              <w:spacing w:line="260" w:lineRule="auto"/>
            </w:pPr>
            <w:r>
              <w:rPr>
                <w:b/>
                <w:bCs/>
                <w:color w:val="FFFFFF"/>
                <w:spacing w:val="4"/>
                <w:sz w:val="27"/>
                <w:szCs w:val="27"/>
              </w:rPr>
              <w:t>An interesting 2018 study</w:t>
            </w:r>
          </w:p>
        </w:tc>
      </w:tr>
    </w:tbl>
    <w:p w14:paraId="6E19739F" w14:textId="77777777" w:rsidR="006B4D5F" w:rsidRDefault="006B4D5F">
      <w:pPr>
        <w:spacing w:after="120" w:line="20" w:lineRule="auto"/>
      </w:pPr>
    </w:p>
    <w:tbl>
      <w:tblPr>
        <w:tblW w:w="997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0416"/>
      </w:tblGrid>
      <w:tr w:rsidR="006B4D5F" w14:paraId="2CCBA206" w14:textId="77777777">
        <w:tblPrEx>
          <w:tblCellMar>
            <w:top w:w="0" w:type="dxa"/>
            <w:bottom w:w="0" w:type="dxa"/>
          </w:tblCellMar>
        </w:tblPrEx>
        <w:trPr>
          <w:cantSplit/>
        </w:trPr>
        <w:tc>
          <w:tcPr>
            <w:tcW w:w="9978" w:type="dxa"/>
            <w:tcBorders>
              <w:top w:val="single" w:sz="4" w:space="0" w:color="E3E0D8"/>
              <w:left w:val="single" w:sz="4" w:space="0" w:color="E3E0D8"/>
              <w:bottom w:val="single" w:sz="4" w:space="0" w:color="E3E0D8"/>
              <w:right w:val="single" w:sz="4" w:space="0" w:color="E3E0D8"/>
            </w:tcBorders>
            <w:tcMar>
              <w:top w:w="180" w:type="dxa"/>
              <w:left w:w="200" w:type="dxa"/>
              <w:bottom w:w="180" w:type="dxa"/>
              <w:right w:w="200" w:type="dxa"/>
            </w:tcMar>
          </w:tcPr>
          <w:tbl>
            <w:tblPr>
              <w:tblW w:w="957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578"/>
            </w:tblGrid>
            <w:tr w:rsidR="006B4D5F" w14:paraId="71367A05" w14:textId="77777777">
              <w:tblPrEx>
                <w:tblCellMar>
                  <w:top w:w="0" w:type="dxa"/>
                  <w:bottom w:w="0" w:type="dxa"/>
                </w:tblCellMar>
              </w:tblPrEx>
              <w:trPr>
                <w:cantSplit/>
              </w:trPr>
              <w:tc>
                <w:tcPr>
                  <w:tcW w:w="9578" w:type="dxa"/>
                  <w:tcBorders>
                    <w:top w:val="none" w:sz="0" w:space="0" w:color="FFFFFF"/>
                    <w:left w:val="none" w:sz="0" w:space="0" w:color="FFFFFF"/>
                    <w:bottom w:val="none" w:sz="0" w:space="0" w:color="FFFFFF"/>
                    <w:right w:val="none" w:sz="0" w:space="0" w:color="FFFFFF"/>
                  </w:tcBorders>
                  <w:shd w:val="clear" w:color="auto" w:fill="0E5C5B"/>
                  <w:tcMar>
                    <w:top w:w="130" w:type="dxa"/>
                    <w:left w:w="220" w:type="dxa"/>
                    <w:bottom w:w="130" w:type="dxa"/>
                    <w:right w:w="220" w:type="dxa"/>
                  </w:tcMar>
                </w:tcPr>
                <w:p w14:paraId="617581B6" w14:textId="77777777" w:rsidR="006B4D5F" w:rsidRDefault="00000000">
                  <w:pPr>
                    <w:keepLines/>
                    <w:spacing w:after="30" w:line="220" w:lineRule="auto"/>
                  </w:pPr>
                  <w:r>
                    <w:rPr>
                      <w:b/>
                      <w:bCs/>
                      <w:caps/>
                      <w:color w:val="A8D3D1"/>
                      <w:spacing w:val="16"/>
                      <w:sz w:val="16"/>
                      <w:szCs w:val="16"/>
                    </w:rPr>
                    <w:t>SYSTEMATIC REVIEW &amp; NETWORK META-ANALYSIS</w:t>
                  </w:r>
                </w:p>
                <w:p w14:paraId="73FE1322" w14:textId="77777777" w:rsidR="006B4D5F" w:rsidRDefault="00000000">
                  <w:pPr>
                    <w:keepLines/>
                    <w:spacing w:after="20" w:line="250" w:lineRule="auto"/>
                  </w:pPr>
                  <w:r>
                    <w:rPr>
                      <w:b/>
                      <w:bCs/>
                      <w:color w:val="FFFFFF"/>
                      <w:sz w:val="26"/>
                      <w:szCs w:val="26"/>
                    </w:rPr>
                    <w:t>Comparative efficacy &amp; acceptability of 21 antidepressants</w:t>
                  </w:r>
                </w:p>
                <w:p w14:paraId="7530EE64" w14:textId="77777777" w:rsidR="006B4D5F" w:rsidRDefault="00000000">
                  <w:pPr>
                    <w:keepLines/>
                    <w:spacing w:line="220" w:lineRule="auto"/>
                  </w:pPr>
                  <w:r>
                    <w:rPr>
                      <w:color w:val="CFE6E5"/>
                      <w:sz w:val="17"/>
                      <w:szCs w:val="17"/>
                    </w:rPr>
                    <w:t>Cipriani et al., University of Oxford · The Lancet, 2018</w:t>
                  </w:r>
                </w:p>
              </w:tc>
            </w:tr>
          </w:tbl>
          <w:p w14:paraId="51F41038" w14:textId="77777777" w:rsidR="006B4D5F" w:rsidRDefault="006B4D5F">
            <w:pPr>
              <w:spacing w:after="120" w:line="20" w:lineRule="auto"/>
            </w:pPr>
          </w:p>
          <w:tbl>
            <w:tblPr>
              <w:tblW w:w="957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3192"/>
              <w:gridCol w:w="3192"/>
              <w:gridCol w:w="3194"/>
            </w:tblGrid>
            <w:tr w:rsidR="006B4D5F" w14:paraId="25A1BCD1" w14:textId="77777777">
              <w:tblPrEx>
                <w:tblCellMar>
                  <w:top w:w="0" w:type="dxa"/>
                  <w:bottom w:w="0" w:type="dxa"/>
                </w:tblCellMar>
              </w:tblPrEx>
              <w:trPr>
                <w:cantSplit/>
              </w:trPr>
              <w:tc>
                <w:tcPr>
                  <w:tcW w:w="3192" w:type="dxa"/>
                  <w:tcBorders>
                    <w:top w:val="single" w:sz="4" w:space="0" w:color="E3E0D8"/>
                    <w:left w:val="single" w:sz="4" w:space="0" w:color="E3E0D8"/>
                    <w:bottom w:val="single" w:sz="4" w:space="0" w:color="E3E0D8"/>
                    <w:right w:val="single" w:sz="4" w:space="0" w:color="E3E0D8"/>
                  </w:tcBorders>
                  <w:shd w:val="clear" w:color="auto" w:fill="E6F0EF"/>
                  <w:tcMar>
                    <w:top w:w="120" w:type="dxa"/>
                    <w:left w:w="100" w:type="dxa"/>
                    <w:bottom w:w="120" w:type="dxa"/>
                    <w:right w:w="100" w:type="dxa"/>
                  </w:tcMar>
                  <w:vAlign w:val="center"/>
                </w:tcPr>
                <w:p w14:paraId="1B1F1EAB" w14:textId="77777777" w:rsidR="006B4D5F" w:rsidRDefault="00000000">
                  <w:pPr>
                    <w:keepLines/>
                    <w:spacing w:after="20"/>
                    <w:jc w:val="center"/>
                  </w:pPr>
                  <w:r>
                    <w:rPr>
                      <w:b/>
                      <w:bCs/>
                      <w:color w:val="0A4645"/>
                      <w:sz w:val="28"/>
                      <w:szCs w:val="28"/>
                    </w:rPr>
                    <w:t>522</w:t>
                  </w:r>
                </w:p>
                <w:p w14:paraId="13E8564C" w14:textId="77777777" w:rsidR="006B4D5F" w:rsidRDefault="00000000">
                  <w:pPr>
                    <w:keepLines/>
                    <w:spacing w:line="220" w:lineRule="auto"/>
                    <w:jc w:val="center"/>
                  </w:pPr>
                  <w:r>
                    <w:rPr>
                      <w:color w:val="4A4A4A"/>
                      <w:sz w:val="17"/>
                      <w:szCs w:val="17"/>
                    </w:rPr>
                    <w:t>double-blind RCTs</w:t>
                  </w:r>
                </w:p>
              </w:tc>
              <w:tc>
                <w:tcPr>
                  <w:tcW w:w="3192" w:type="dxa"/>
                  <w:tcBorders>
                    <w:top w:val="single" w:sz="4" w:space="0" w:color="E3E0D8"/>
                    <w:left w:val="single" w:sz="4" w:space="0" w:color="E3E0D8"/>
                    <w:bottom w:val="single" w:sz="4" w:space="0" w:color="E3E0D8"/>
                    <w:right w:val="single" w:sz="4" w:space="0" w:color="E3E0D8"/>
                  </w:tcBorders>
                  <w:shd w:val="clear" w:color="auto" w:fill="FBF1DF"/>
                  <w:tcMar>
                    <w:top w:w="120" w:type="dxa"/>
                    <w:left w:w="100" w:type="dxa"/>
                    <w:bottom w:w="120" w:type="dxa"/>
                    <w:right w:w="100" w:type="dxa"/>
                  </w:tcMar>
                  <w:vAlign w:val="center"/>
                </w:tcPr>
                <w:p w14:paraId="534362B9" w14:textId="77777777" w:rsidR="006B4D5F" w:rsidRDefault="00000000">
                  <w:pPr>
                    <w:keepLines/>
                    <w:spacing w:after="20"/>
                    <w:jc w:val="center"/>
                  </w:pPr>
                  <w:r>
                    <w:rPr>
                      <w:b/>
                      <w:bCs/>
                      <w:color w:val="0A4645"/>
                      <w:sz w:val="28"/>
                      <w:szCs w:val="28"/>
                    </w:rPr>
                    <w:t>116,477</w:t>
                  </w:r>
                </w:p>
                <w:p w14:paraId="5B2F2720" w14:textId="77777777" w:rsidR="006B4D5F" w:rsidRDefault="00000000">
                  <w:pPr>
                    <w:keepLines/>
                    <w:spacing w:line="220" w:lineRule="auto"/>
                    <w:jc w:val="center"/>
                  </w:pPr>
                  <w:r>
                    <w:rPr>
                      <w:color w:val="4A4A4A"/>
                      <w:sz w:val="17"/>
                      <w:szCs w:val="17"/>
                    </w:rPr>
                    <w:t>patients in total</w:t>
                  </w:r>
                </w:p>
              </w:tc>
              <w:tc>
                <w:tcPr>
                  <w:tcW w:w="3194" w:type="dxa"/>
                  <w:tcBorders>
                    <w:top w:val="single" w:sz="4" w:space="0" w:color="E3E0D8"/>
                    <w:left w:val="single" w:sz="4" w:space="0" w:color="E3E0D8"/>
                    <w:bottom w:val="single" w:sz="4" w:space="0" w:color="E3E0D8"/>
                    <w:right w:val="single" w:sz="4" w:space="0" w:color="E3E0D8"/>
                  </w:tcBorders>
                  <w:shd w:val="clear" w:color="auto" w:fill="F3F3F0"/>
                  <w:tcMar>
                    <w:top w:w="120" w:type="dxa"/>
                    <w:left w:w="100" w:type="dxa"/>
                    <w:bottom w:w="120" w:type="dxa"/>
                    <w:right w:w="100" w:type="dxa"/>
                  </w:tcMar>
                  <w:vAlign w:val="center"/>
                </w:tcPr>
                <w:p w14:paraId="3AFCE140" w14:textId="77777777" w:rsidR="006B4D5F" w:rsidRDefault="00000000">
                  <w:pPr>
                    <w:keepLines/>
                    <w:spacing w:after="20"/>
                    <w:jc w:val="center"/>
                  </w:pPr>
                  <w:r>
                    <w:rPr>
                      <w:b/>
                      <w:bCs/>
                      <w:color w:val="0A4645"/>
                      <w:sz w:val="28"/>
                      <w:szCs w:val="28"/>
                    </w:rPr>
                    <w:t>≥50%</w:t>
                  </w:r>
                </w:p>
                <w:p w14:paraId="125A19F0" w14:textId="77777777" w:rsidR="006B4D5F" w:rsidRDefault="00000000">
                  <w:pPr>
                    <w:keepLines/>
                    <w:spacing w:line="220" w:lineRule="auto"/>
                    <w:jc w:val="center"/>
                  </w:pPr>
                  <w:r>
                    <w:rPr>
                      <w:color w:val="4A4A4A"/>
                      <w:sz w:val="17"/>
                      <w:szCs w:val="17"/>
                    </w:rPr>
                    <w:t>symptom improvement = a “response”</w:t>
                  </w:r>
                </w:p>
              </w:tc>
            </w:tr>
          </w:tbl>
          <w:p w14:paraId="48D57358" w14:textId="77777777" w:rsidR="006B4D5F" w:rsidRDefault="006B4D5F">
            <w:pPr>
              <w:spacing w:after="120" w:line="20" w:lineRule="auto"/>
            </w:pPr>
          </w:p>
          <w:tbl>
            <w:tblPr>
              <w:tblW w:w="997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978"/>
            </w:tblGrid>
            <w:tr w:rsidR="006B4D5F" w14:paraId="0A9659FB" w14:textId="77777777">
              <w:tblPrEx>
                <w:tblCellMar>
                  <w:top w:w="0" w:type="dxa"/>
                  <w:bottom w:w="0" w:type="dxa"/>
                </w:tblCellMar>
              </w:tblPrEx>
              <w:trPr>
                <w:cantSplit/>
              </w:trPr>
              <w:tc>
                <w:tcPr>
                  <w:tcW w:w="9978" w:type="dxa"/>
                  <w:tcBorders>
                    <w:top w:val="none" w:sz="0" w:space="0" w:color="FFFFFF"/>
                    <w:left w:val="single" w:sz="30" w:space="0" w:color="0E5C5B"/>
                    <w:bottom w:val="none" w:sz="0" w:space="0" w:color="FFFFFF"/>
                    <w:right w:val="none" w:sz="0" w:space="0" w:color="FFFFFF"/>
                  </w:tcBorders>
                  <w:shd w:val="clear" w:color="auto" w:fill="E6F0EF"/>
                  <w:tcMar>
                    <w:top w:w="130" w:type="dxa"/>
                    <w:left w:w="200" w:type="dxa"/>
                    <w:bottom w:w="130" w:type="dxa"/>
                    <w:right w:w="200" w:type="dxa"/>
                  </w:tcMar>
                </w:tcPr>
                <w:p w14:paraId="3FB6D381" w14:textId="77777777" w:rsidR="006B4D5F" w:rsidRDefault="00000000">
                  <w:pPr>
                    <w:keepLines/>
                    <w:spacing w:after="60"/>
                  </w:pPr>
                  <w:r>
                    <w:rPr>
                      <w:b/>
                      <w:bCs/>
                      <w:caps/>
                      <w:color w:val="0E5C5B"/>
                      <w:spacing w:val="12"/>
                      <w:sz w:val="17"/>
                      <w:szCs w:val="17"/>
                    </w:rPr>
                    <w:t>Key results</w:t>
                  </w:r>
                </w:p>
                <w:p w14:paraId="63DCE237" w14:textId="77777777" w:rsidR="006B4D5F" w:rsidRDefault="00000000">
                  <w:pPr>
                    <w:keepLines/>
                    <w:spacing w:after="80" w:line="258" w:lineRule="auto"/>
                  </w:pPr>
                  <w:proofErr w:type="gramStart"/>
                  <w:r>
                    <w:rPr>
                      <w:sz w:val="18"/>
                      <w:szCs w:val="18"/>
                    </w:rPr>
                    <w:t>●  For</w:t>
                  </w:r>
                  <w:proofErr w:type="gramEnd"/>
                  <w:r>
                    <w:rPr>
                      <w:sz w:val="18"/>
                      <w:szCs w:val="18"/>
                    </w:rPr>
                    <w:t xml:space="preserve"> most drugs, people were </w:t>
                  </w:r>
                  <w:r>
                    <w:rPr>
                      <w:b/>
                      <w:bCs/>
                      <w:color w:val="0A4645"/>
                      <w:sz w:val="18"/>
                      <w:szCs w:val="18"/>
                    </w:rPr>
                    <w:t>roughly as likely to stop the antidepressant as to stop placebo</w:t>
                  </w:r>
                  <w:r>
                    <w:rPr>
                      <w:sz w:val="18"/>
                      <w:szCs w:val="18"/>
                    </w:rPr>
                    <w:t xml:space="preserve"> — clomipramine being the notable exception, with more dropouts than placebo. Once again: how much does the nocebo effect have to answer for?</w:t>
                  </w:r>
                </w:p>
                <w:p w14:paraId="2BDF3677" w14:textId="77777777" w:rsidR="006B4D5F" w:rsidRDefault="00000000">
                  <w:pPr>
                    <w:keepLines/>
                    <w:spacing w:after="80" w:line="258" w:lineRule="auto"/>
                  </w:pPr>
                  <w:proofErr w:type="gramStart"/>
                  <w:r>
                    <w:rPr>
                      <w:sz w:val="18"/>
                      <w:szCs w:val="18"/>
                    </w:rPr>
                    <w:t xml:space="preserve">●  </w:t>
                  </w:r>
                  <w:r>
                    <w:rPr>
                      <w:b/>
                      <w:bCs/>
                      <w:color w:val="0A4645"/>
                      <w:sz w:val="18"/>
                      <w:szCs w:val="18"/>
                    </w:rPr>
                    <w:t>Best</w:t>
                  </w:r>
                  <w:proofErr w:type="gramEnd"/>
                  <w:r>
                    <w:rPr>
                      <w:b/>
                      <w:bCs/>
                      <w:color w:val="0A4645"/>
                      <w:sz w:val="18"/>
                      <w:szCs w:val="18"/>
                    </w:rPr>
                    <w:t xml:space="preserve"> tolerated</w:t>
                  </w:r>
                  <w:r>
                    <w:rPr>
                      <w:sz w:val="18"/>
                      <w:szCs w:val="18"/>
                    </w:rPr>
                    <w:t xml:space="preserve"> (fewer dropouts): agomelatine, citalopram, escitalopram, </w:t>
                  </w:r>
                  <w:r>
                    <w:rPr>
                      <w:b/>
                      <w:bCs/>
                      <w:color w:val="0A4645"/>
                      <w:sz w:val="18"/>
                      <w:szCs w:val="18"/>
                    </w:rPr>
                    <w:t>fluoxetine</w:t>
                  </w:r>
                  <w:r>
                    <w:rPr>
                      <w:sz w:val="18"/>
                      <w:szCs w:val="18"/>
                    </w:rPr>
                    <w:t>, sertraline and vortioxetine.</w:t>
                  </w:r>
                </w:p>
                <w:p w14:paraId="2D394EF2" w14:textId="77777777" w:rsidR="006B4D5F" w:rsidRDefault="00000000">
                  <w:pPr>
                    <w:keepLines/>
                    <w:spacing w:line="258" w:lineRule="auto"/>
                  </w:pPr>
                  <w:proofErr w:type="gramStart"/>
                  <w:r>
                    <w:rPr>
                      <w:sz w:val="18"/>
                      <w:szCs w:val="18"/>
                    </w:rPr>
                    <w:t xml:space="preserve">●  </w:t>
                  </w:r>
                  <w:r>
                    <w:rPr>
                      <w:b/>
                      <w:bCs/>
                      <w:color w:val="0A4645"/>
                      <w:sz w:val="18"/>
                      <w:szCs w:val="18"/>
                    </w:rPr>
                    <w:t>Most</w:t>
                  </w:r>
                  <w:proofErr w:type="gramEnd"/>
                  <w:r>
                    <w:rPr>
                      <w:b/>
                      <w:bCs/>
                      <w:color w:val="0A4645"/>
                      <w:sz w:val="18"/>
                      <w:szCs w:val="18"/>
                    </w:rPr>
                    <w:t xml:space="preserve"> effective</w:t>
                  </w:r>
                  <w:r>
                    <w:rPr>
                      <w:sz w:val="18"/>
                      <w:szCs w:val="18"/>
                    </w:rPr>
                    <w:t xml:space="preserve"> in head-to-head data included amitriptyline, mirtazapine, paroxetine, venlafaxine and escitalopram — though all </w:t>
                  </w:r>
                  <w:proofErr w:type="gramStart"/>
                  <w:r>
                    <w:rPr>
                      <w:sz w:val="18"/>
                      <w:szCs w:val="18"/>
                    </w:rPr>
                    <w:t>21 beat</w:t>
                  </w:r>
                  <w:proofErr w:type="gramEnd"/>
                  <w:r>
                    <w:rPr>
                      <w:sz w:val="18"/>
                      <w:szCs w:val="18"/>
                    </w:rPr>
                    <w:t xml:space="preserve"> placebo.</w:t>
                  </w:r>
                </w:p>
              </w:tc>
            </w:tr>
          </w:tbl>
          <w:p w14:paraId="4506B146" w14:textId="77777777" w:rsidR="006B4D5F" w:rsidRDefault="006B4D5F"/>
        </w:tc>
      </w:tr>
    </w:tbl>
    <w:p w14:paraId="1B13809F" w14:textId="77777777" w:rsidR="006B4D5F" w:rsidRDefault="006B4D5F">
      <w:pPr>
        <w:spacing w:after="140" w:line="20" w:lineRule="auto"/>
      </w:pPr>
    </w:p>
    <w:tbl>
      <w:tblPr>
        <w:tblW w:w="997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978"/>
      </w:tblGrid>
      <w:tr w:rsidR="006B4D5F" w14:paraId="68989E59" w14:textId="77777777">
        <w:tblPrEx>
          <w:tblCellMar>
            <w:top w:w="0" w:type="dxa"/>
            <w:bottom w:w="0" w:type="dxa"/>
          </w:tblCellMar>
        </w:tblPrEx>
        <w:trPr>
          <w:cantSplit/>
        </w:trPr>
        <w:tc>
          <w:tcPr>
            <w:tcW w:w="9978" w:type="dxa"/>
            <w:tcBorders>
              <w:top w:val="single" w:sz="4" w:space="0" w:color="E3E0D8"/>
              <w:left w:val="single" w:sz="4" w:space="0" w:color="E3E0D8"/>
              <w:bottom w:val="single" w:sz="4" w:space="0" w:color="E3E0D8"/>
              <w:right w:val="single" w:sz="4" w:space="0" w:color="E3E0D8"/>
            </w:tcBorders>
            <w:tcMar>
              <w:top w:w="150" w:type="dxa"/>
              <w:left w:w="200" w:type="dxa"/>
              <w:bottom w:w="150" w:type="dxa"/>
              <w:right w:w="200" w:type="dxa"/>
            </w:tcMar>
          </w:tcPr>
          <w:p w14:paraId="563A0F54" w14:textId="77777777" w:rsidR="006B4D5F" w:rsidRDefault="00000000">
            <w:pPr>
              <w:keepLines/>
              <w:spacing w:after="40" w:line="250" w:lineRule="auto"/>
            </w:pPr>
            <w:r>
              <w:rPr>
                <w:b/>
                <w:bCs/>
                <w:color w:val="0A4645"/>
                <w:sz w:val="22"/>
                <w:szCs w:val="22"/>
              </w:rPr>
              <w:t>Efficacy of selected antidepressants</w:t>
            </w:r>
          </w:p>
          <w:p w14:paraId="0C6AF2DE" w14:textId="77777777" w:rsidR="006B4D5F" w:rsidRDefault="00000000">
            <w:pPr>
              <w:keepLines/>
              <w:spacing w:after="60"/>
            </w:pPr>
            <w:r>
              <w:rPr>
                <w:color w:val="4A4A4A"/>
                <w:sz w:val="17"/>
                <w:szCs w:val="17"/>
              </w:rPr>
              <w:t xml:space="preserve">Odds ratio for treatment response vs placebo — a value of </w:t>
            </w:r>
            <w:r>
              <w:rPr>
                <w:b/>
                <w:bCs/>
                <w:color w:val="0A4645"/>
                <w:sz w:val="17"/>
                <w:szCs w:val="17"/>
              </w:rPr>
              <w:t>1.0 means no better than placebo</w:t>
            </w:r>
            <w:r>
              <w:rPr>
                <w:color w:val="4A4A4A"/>
                <w:sz w:val="17"/>
                <w:szCs w:val="17"/>
              </w:rPr>
              <w:t>. Higher = more effective.</w:t>
            </w:r>
          </w:p>
          <w:p w14:paraId="7DF3F0F5" w14:textId="77777777" w:rsidR="006B4D5F" w:rsidRDefault="00000000">
            <w:pPr>
              <w:spacing w:before="40" w:after="40"/>
              <w:jc w:val="center"/>
            </w:pPr>
            <w:r>
              <w:rPr>
                <w:noProof/>
              </w:rPr>
              <w:drawing>
                <wp:inline distT="0" distB="0" distL="0" distR="0" wp14:anchorId="511ACB1A" wp14:editId="0BEE8FE5">
                  <wp:extent cx="5715000" cy="2971800"/>
                  <wp:effectExtent l="0" t="0" r="0" b="0"/>
                  <wp:docPr id="797318284" name="Picture 797318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5715000" cy="2971800"/>
                          </a:xfrm>
                          <a:prstGeom prst="rect">
                            <a:avLst/>
                          </a:prstGeom>
                        </pic:spPr>
                      </pic:pic>
                    </a:graphicData>
                  </a:graphic>
                </wp:inline>
              </w:drawing>
            </w:r>
          </w:p>
          <w:p w14:paraId="126FDDB2" w14:textId="77777777" w:rsidR="006B4D5F" w:rsidRDefault="00000000">
            <w:pPr>
              <w:keepLines/>
              <w:spacing w:line="220" w:lineRule="auto"/>
              <w:jc w:val="right"/>
            </w:pPr>
            <w:r>
              <w:rPr>
                <w:i/>
                <w:iCs/>
                <w:color w:val="9A8B6E"/>
                <w:sz w:val="16"/>
                <w:szCs w:val="16"/>
              </w:rPr>
              <w:t>Source: Cipriani et al., The Lancet 2018 (efficacy / response odds ratios vs placebo).</w:t>
            </w:r>
          </w:p>
        </w:tc>
      </w:tr>
    </w:tbl>
    <w:p w14:paraId="41FFAE60" w14:textId="77777777" w:rsidR="006B4D5F" w:rsidRDefault="006B4D5F">
      <w:pPr>
        <w:spacing w:after="200" w:line="20" w:lineRule="auto"/>
      </w:pPr>
    </w:p>
    <w:p w14:paraId="31A3B537" w14:textId="77777777" w:rsidR="0053176B" w:rsidRDefault="0053176B">
      <w:r>
        <w:br w:type="page"/>
      </w:r>
    </w:p>
    <w:p w14:paraId="5D92A1BA" w14:textId="77777777" w:rsidR="006B4D5F" w:rsidRDefault="006B4D5F">
      <w:pPr>
        <w:spacing w:after="160" w:line="20" w:lineRule="auto"/>
      </w:pPr>
    </w:p>
    <w:tbl>
      <w:tblPr>
        <w:tblW w:w="997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978"/>
      </w:tblGrid>
      <w:tr w:rsidR="006B4D5F" w14:paraId="22256ACD" w14:textId="77777777">
        <w:tblPrEx>
          <w:tblCellMar>
            <w:top w:w="0" w:type="dxa"/>
            <w:bottom w:w="0" w:type="dxa"/>
          </w:tblCellMar>
        </w:tblPrEx>
        <w:trPr>
          <w:cantSplit/>
        </w:trPr>
        <w:tc>
          <w:tcPr>
            <w:tcW w:w="9978" w:type="dxa"/>
            <w:tcBorders>
              <w:top w:val="none" w:sz="0" w:space="0" w:color="FFFFFF"/>
              <w:left w:val="single" w:sz="30" w:space="0" w:color="B07410"/>
              <w:bottom w:val="none" w:sz="0" w:space="0" w:color="FFFFFF"/>
              <w:right w:val="none" w:sz="0" w:space="0" w:color="FFFFFF"/>
            </w:tcBorders>
            <w:shd w:val="clear" w:color="auto" w:fill="FBF3E2"/>
            <w:tcMar>
              <w:top w:w="130" w:type="dxa"/>
              <w:left w:w="200" w:type="dxa"/>
              <w:bottom w:w="130" w:type="dxa"/>
              <w:right w:w="200" w:type="dxa"/>
            </w:tcMar>
          </w:tcPr>
          <w:p w14:paraId="5D53543B" w14:textId="4EEC4AC1" w:rsidR="006B4D5F" w:rsidRDefault="00000000">
            <w:pPr>
              <w:keepLines/>
              <w:spacing w:after="60"/>
            </w:pPr>
            <w:r>
              <w:rPr>
                <w:b/>
                <w:bCs/>
                <w:caps/>
                <w:color w:val="B07410"/>
                <w:spacing w:val="12"/>
                <w:sz w:val="17"/>
                <w:szCs w:val="17"/>
              </w:rPr>
              <w:t xml:space="preserve">⚑ </w:t>
            </w:r>
            <w:r w:rsidR="0053176B">
              <w:rPr>
                <w:b/>
                <w:bCs/>
                <w:caps/>
                <w:color w:val="B07410"/>
                <w:spacing w:val="12"/>
                <w:sz w:val="17"/>
                <w:szCs w:val="17"/>
              </w:rPr>
              <w:t>PLEASE NOTE</w:t>
            </w:r>
          </w:p>
          <w:p w14:paraId="301B342D" w14:textId="77777777" w:rsidR="0053176B" w:rsidRDefault="00000000">
            <w:pPr>
              <w:keepLines/>
              <w:spacing w:line="258" w:lineRule="auto"/>
              <w:rPr>
                <w:sz w:val="18"/>
                <w:szCs w:val="18"/>
              </w:rPr>
            </w:pPr>
            <w:r>
              <w:rPr>
                <w:sz w:val="18"/>
                <w:szCs w:val="18"/>
              </w:rPr>
              <w:t xml:space="preserve">This is deliberately a </w:t>
            </w:r>
            <w:r>
              <w:rPr>
                <w:b/>
                <w:bCs/>
                <w:color w:val="0A4645"/>
                <w:sz w:val="18"/>
                <w:szCs w:val="18"/>
              </w:rPr>
              <w:t>provocative discussion piece</w:t>
            </w:r>
            <w:r>
              <w:rPr>
                <w:sz w:val="18"/>
                <w:szCs w:val="18"/>
              </w:rPr>
              <w:t xml:space="preserve">, and its central suggestion — to </w:t>
            </w:r>
            <w:r>
              <w:rPr>
                <w:i/>
                <w:iCs/>
                <w:color w:val="B07410"/>
                <w:sz w:val="18"/>
                <w:szCs w:val="18"/>
              </w:rPr>
              <w:t>omit</w:t>
            </w:r>
            <w:r>
              <w:rPr>
                <w:sz w:val="18"/>
                <w:szCs w:val="18"/>
              </w:rPr>
              <w:t xml:space="preserve"> the “you may feel worse before you feel better” warning — sits in tension with current NICE guidance on depression (NG222), which emphasises informed consent and shared decision-making about likely benefits and harms before starting treatment.</w:t>
            </w:r>
            <w:r w:rsidR="0053176B">
              <w:rPr>
                <w:sz w:val="18"/>
                <w:szCs w:val="18"/>
              </w:rPr>
              <w:t xml:space="preserve">  </w:t>
            </w:r>
          </w:p>
          <w:p w14:paraId="7F03C04E" w14:textId="77777777" w:rsidR="0053176B" w:rsidRPr="0053176B" w:rsidRDefault="0053176B">
            <w:pPr>
              <w:keepLines/>
              <w:spacing w:line="258" w:lineRule="auto"/>
              <w:rPr>
                <w:b/>
                <w:bCs/>
                <w:sz w:val="22"/>
                <w:szCs w:val="22"/>
              </w:rPr>
            </w:pPr>
          </w:p>
          <w:p w14:paraId="60D33858" w14:textId="3D62F021" w:rsidR="006B4D5F" w:rsidRDefault="0053176B">
            <w:pPr>
              <w:keepLines/>
              <w:spacing w:line="258" w:lineRule="auto"/>
            </w:pPr>
            <w:r>
              <w:rPr>
                <w:b/>
                <w:bCs/>
                <w:sz w:val="22"/>
                <w:szCs w:val="22"/>
              </w:rPr>
              <w:t>The phrase I am more likely to use in practice is…</w:t>
            </w:r>
            <w:r w:rsidRPr="0053176B">
              <w:rPr>
                <w:b/>
                <w:bCs/>
                <w:sz w:val="22"/>
                <w:szCs w:val="22"/>
              </w:rPr>
              <w:t xml:space="preserve"> “The majority of people do well with this medication.  </w:t>
            </w:r>
            <w:r>
              <w:rPr>
                <w:b/>
                <w:bCs/>
                <w:sz w:val="22"/>
                <w:szCs w:val="22"/>
              </w:rPr>
              <w:t>A</w:t>
            </w:r>
            <w:r w:rsidRPr="0053176B">
              <w:rPr>
                <w:b/>
                <w:bCs/>
                <w:sz w:val="22"/>
                <w:szCs w:val="22"/>
              </w:rPr>
              <w:t xml:space="preserve"> few people may feel worse before </w:t>
            </w:r>
            <w:r>
              <w:rPr>
                <w:b/>
                <w:bCs/>
                <w:sz w:val="22"/>
                <w:szCs w:val="22"/>
              </w:rPr>
              <w:t>they</w:t>
            </w:r>
            <w:r w:rsidRPr="0053176B">
              <w:rPr>
                <w:b/>
                <w:bCs/>
                <w:sz w:val="22"/>
                <w:szCs w:val="22"/>
              </w:rPr>
              <w:t xml:space="preserve"> feel getting better</w:t>
            </w:r>
            <w:r>
              <w:rPr>
                <w:b/>
                <w:bCs/>
                <w:sz w:val="22"/>
                <w:szCs w:val="22"/>
              </w:rPr>
              <w:t>, so bear with it if that happens to you</w:t>
            </w:r>
            <w:r w:rsidRPr="0053176B">
              <w:rPr>
                <w:b/>
                <w:bCs/>
                <w:sz w:val="22"/>
                <w:szCs w:val="22"/>
              </w:rPr>
              <w:t>” seems a more balanced way of doing it.</w:t>
            </w:r>
            <w:r w:rsidRPr="0053176B">
              <w:rPr>
                <w:sz w:val="22"/>
                <w:szCs w:val="22"/>
              </w:rPr>
              <w:t xml:space="preserve">  </w:t>
            </w:r>
          </w:p>
        </w:tc>
      </w:tr>
    </w:tbl>
    <w:p w14:paraId="107F045B" w14:textId="77777777" w:rsidR="006B4D5F" w:rsidRDefault="006B4D5F">
      <w:pPr>
        <w:spacing w:after="200" w:line="20" w:lineRule="auto"/>
      </w:pPr>
    </w:p>
    <w:tbl>
      <w:tblPr>
        <w:tblW w:w="997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978"/>
      </w:tblGrid>
      <w:tr w:rsidR="006B4D5F" w14:paraId="12B474FA" w14:textId="77777777">
        <w:tblPrEx>
          <w:tblCellMar>
            <w:top w:w="0" w:type="dxa"/>
            <w:bottom w:w="0" w:type="dxa"/>
          </w:tblCellMar>
        </w:tblPrEx>
        <w:trPr>
          <w:cantSplit/>
        </w:trPr>
        <w:tc>
          <w:tcPr>
            <w:tcW w:w="9978" w:type="dxa"/>
            <w:tcBorders>
              <w:top w:val="none" w:sz="0" w:space="0" w:color="FFFFFF"/>
              <w:left w:val="none" w:sz="0" w:space="0" w:color="FFFFFF"/>
              <w:bottom w:val="none" w:sz="0" w:space="0" w:color="FFFFFF"/>
              <w:right w:val="none" w:sz="0" w:space="0" w:color="FFFFFF"/>
            </w:tcBorders>
            <w:shd w:val="clear" w:color="auto" w:fill="F3F2EE"/>
            <w:tcMar>
              <w:top w:w="150" w:type="dxa"/>
              <w:left w:w="200" w:type="dxa"/>
              <w:bottom w:w="150" w:type="dxa"/>
              <w:right w:w="200" w:type="dxa"/>
            </w:tcMar>
          </w:tcPr>
          <w:p w14:paraId="73D6CE47" w14:textId="77777777" w:rsidR="006B4D5F" w:rsidRDefault="00000000">
            <w:pPr>
              <w:keepLines/>
              <w:spacing w:line="258" w:lineRule="auto"/>
            </w:pPr>
            <w:r>
              <w:rPr>
                <w:b/>
                <w:bCs/>
                <w:color w:val="555555"/>
                <w:spacing w:val="6"/>
                <w:sz w:val="16"/>
                <w:szCs w:val="16"/>
              </w:rPr>
              <w:t xml:space="preserve">DISCLAIMER.  </w:t>
            </w:r>
            <w:r>
              <w:rPr>
                <w:color w:val="6D6D6D"/>
                <w:sz w:val="16"/>
                <w:szCs w:val="16"/>
              </w:rPr>
              <w:t>This document is provided exclusively for educational and training purposes as a teaching aid. It does not constitute formal clinical guidance. Clinicians must independently verify all medical information, prescribing guidance, procedural protocols, and legal requirements against current national guidance, local policies, and relevant regulatory bodies before applying in practice.</w:t>
            </w:r>
          </w:p>
        </w:tc>
      </w:tr>
    </w:tbl>
    <w:p w14:paraId="2FF865FA" w14:textId="77777777" w:rsidR="00AA749F" w:rsidRDefault="00AA749F"/>
    <w:sectPr w:rsidR="00AA749F">
      <w:footerReference w:type="default" r:id="rId11"/>
      <w:pgSz w:w="11906" w:h="16838"/>
      <w:pgMar w:top="1134" w:right="964" w:bottom="1134" w:left="96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C6B19" w14:textId="77777777" w:rsidR="00AA749F" w:rsidRDefault="00AA749F">
      <w:r>
        <w:separator/>
      </w:r>
    </w:p>
  </w:endnote>
  <w:endnote w:type="continuationSeparator" w:id="0">
    <w:p w14:paraId="19DD3FC4" w14:textId="77777777" w:rsidR="00AA749F" w:rsidRDefault="00AA7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78" w:type="dxa"/>
      <w:tblBorders>
        <w:top w:val="single" w:sz="4" w:space="0" w:color="E3E0D8"/>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3326"/>
      <w:gridCol w:w="3326"/>
      <w:gridCol w:w="3326"/>
    </w:tblGrid>
    <w:tr w:rsidR="006B4D5F" w14:paraId="131C24BB" w14:textId="77777777">
      <w:tblPrEx>
        <w:tblCellMar>
          <w:top w:w="0" w:type="dxa"/>
          <w:bottom w:w="0" w:type="dxa"/>
        </w:tblCellMar>
      </w:tblPrEx>
      <w:tc>
        <w:tcPr>
          <w:tcW w:w="3326" w:type="dxa"/>
          <w:tcBorders>
            <w:top w:val="none" w:sz="0" w:space="0" w:color="FFFFFF"/>
            <w:left w:val="none" w:sz="0" w:space="0" w:color="FFFFFF"/>
            <w:bottom w:val="none" w:sz="0" w:space="0" w:color="FFFFFF"/>
            <w:right w:val="none" w:sz="0" w:space="0" w:color="FFFFFF"/>
          </w:tcBorders>
          <w:tcMar>
            <w:top w:w="80" w:type="dxa"/>
            <w:left w:w="0" w:type="dxa"/>
            <w:bottom w:w="0" w:type="dxa"/>
            <w:right w:w="0" w:type="dxa"/>
          </w:tcMar>
        </w:tcPr>
        <w:p w14:paraId="5A9B9C08" w14:textId="77777777" w:rsidR="006B4D5F" w:rsidRDefault="00000000">
          <w:pPr>
            <w:keepLines/>
            <w:spacing w:line="200" w:lineRule="auto"/>
          </w:pPr>
          <w:r>
            <w:rPr>
              <w:color w:val="9A8B6E"/>
              <w:spacing w:val="4"/>
              <w:sz w:val="15"/>
              <w:szCs w:val="15"/>
            </w:rPr>
            <w:t>Bradford VTS Teaching Aids</w:t>
          </w:r>
        </w:p>
      </w:tc>
      <w:tc>
        <w:tcPr>
          <w:tcW w:w="3326" w:type="dxa"/>
          <w:tcBorders>
            <w:top w:val="none" w:sz="0" w:space="0" w:color="FFFFFF"/>
            <w:left w:val="none" w:sz="0" w:space="0" w:color="FFFFFF"/>
            <w:bottom w:val="none" w:sz="0" w:space="0" w:color="FFFFFF"/>
            <w:right w:val="none" w:sz="0" w:space="0" w:color="FFFFFF"/>
          </w:tcBorders>
          <w:tcMar>
            <w:top w:w="80" w:type="dxa"/>
            <w:left w:w="0" w:type="dxa"/>
            <w:bottom w:w="0" w:type="dxa"/>
            <w:right w:w="0" w:type="dxa"/>
          </w:tcMar>
        </w:tcPr>
        <w:p w14:paraId="1EBDD4EC" w14:textId="77777777" w:rsidR="006B4D5F" w:rsidRDefault="00000000">
          <w:pPr>
            <w:keepLines/>
            <w:spacing w:line="200" w:lineRule="auto"/>
            <w:jc w:val="center"/>
          </w:pPr>
          <w:r>
            <w:rPr>
              <w:color w:val="9A8B6E"/>
              <w:spacing w:val="4"/>
              <w:sz w:val="15"/>
              <w:szCs w:val="15"/>
            </w:rPr>
            <w:t>The Nocebo Effect</w:t>
          </w:r>
        </w:p>
      </w:tc>
      <w:tc>
        <w:tcPr>
          <w:tcW w:w="3326" w:type="dxa"/>
          <w:tcBorders>
            <w:top w:val="none" w:sz="0" w:space="0" w:color="FFFFFF"/>
            <w:left w:val="none" w:sz="0" w:space="0" w:color="FFFFFF"/>
            <w:bottom w:val="none" w:sz="0" w:space="0" w:color="FFFFFF"/>
            <w:right w:val="none" w:sz="0" w:space="0" w:color="FFFFFF"/>
          </w:tcBorders>
          <w:tcMar>
            <w:top w:w="80" w:type="dxa"/>
            <w:left w:w="0" w:type="dxa"/>
            <w:bottom w:w="0" w:type="dxa"/>
            <w:right w:w="0" w:type="dxa"/>
          </w:tcMar>
        </w:tcPr>
        <w:p w14:paraId="739E186E" w14:textId="77777777" w:rsidR="006B4D5F" w:rsidRDefault="00000000">
          <w:pPr>
            <w:spacing w:line="200" w:lineRule="auto"/>
            <w:jc w:val="right"/>
          </w:pPr>
          <w:r>
            <w:rPr>
              <w:color w:val="9A8B6E"/>
              <w:sz w:val="15"/>
              <w:szCs w:val="15"/>
            </w:rPr>
            <w:t xml:space="preserve">Page </w:t>
          </w:r>
          <w:r>
            <w:rPr>
              <w:color w:val="9A8B6E"/>
              <w:sz w:val="15"/>
              <w:szCs w:val="15"/>
            </w:rPr>
            <w:fldChar w:fldCharType="begin"/>
          </w:r>
          <w:r>
            <w:rPr>
              <w:color w:val="9A8B6E"/>
              <w:sz w:val="15"/>
              <w:szCs w:val="15"/>
            </w:rPr>
            <w:instrText>PAGE</w:instrText>
          </w:r>
          <w:r>
            <w:rPr>
              <w:color w:val="9A8B6E"/>
              <w:sz w:val="15"/>
              <w:szCs w:val="15"/>
            </w:rPr>
            <w:fldChar w:fldCharType="separate"/>
          </w:r>
          <w:r w:rsidR="0053176B">
            <w:rPr>
              <w:noProof/>
              <w:color w:val="9A8B6E"/>
              <w:sz w:val="15"/>
              <w:szCs w:val="15"/>
            </w:rPr>
            <w:t>1</w:t>
          </w:r>
          <w:r>
            <w:rPr>
              <w:color w:val="9A8B6E"/>
              <w:sz w:val="15"/>
              <w:szCs w:val="15"/>
            </w:rPr>
            <w:fldChar w:fldCharType="end"/>
          </w:r>
          <w:r>
            <w:rPr>
              <w:color w:val="9A8B6E"/>
              <w:sz w:val="15"/>
              <w:szCs w:val="15"/>
            </w:rPr>
            <w:t xml:space="preserve"> of </w:t>
          </w:r>
          <w:r>
            <w:rPr>
              <w:color w:val="9A8B6E"/>
              <w:sz w:val="15"/>
              <w:szCs w:val="15"/>
            </w:rPr>
            <w:fldChar w:fldCharType="begin"/>
          </w:r>
          <w:r>
            <w:rPr>
              <w:color w:val="9A8B6E"/>
              <w:sz w:val="15"/>
              <w:szCs w:val="15"/>
            </w:rPr>
            <w:instrText>NUMPAGES</w:instrText>
          </w:r>
          <w:r>
            <w:rPr>
              <w:color w:val="9A8B6E"/>
              <w:sz w:val="15"/>
              <w:szCs w:val="15"/>
            </w:rPr>
            <w:fldChar w:fldCharType="separate"/>
          </w:r>
          <w:r w:rsidR="0053176B">
            <w:rPr>
              <w:noProof/>
              <w:color w:val="9A8B6E"/>
              <w:sz w:val="15"/>
              <w:szCs w:val="15"/>
            </w:rPr>
            <w:t>2</w:t>
          </w:r>
          <w:r>
            <w:rPr>
              <w:color w:val="9A8B6E"/>
              <w:sz w:val="15"/>
              <w:szCs w:val="15"/>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B21B3" w14:textId="77777777" w:rsidR="00AA749F" w:rsidRDefault="00AA749F">
      <w:r>
        <w:separator/>
      </w:r>
    </w:p>
  </w:footnote>
  <w:footnote w:type="continuationSeparator" w:id="0">
    <w:p w14:paraId="4E6C86B3" w14:textId="77777777" w:rsidR="00AA749F" w:rsidRDefault="00AA74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EC72D8"/>
    <w:multiLevelType w:val="hybridMultilevel"/>
    <w:tmpl w:val="1DF49B7A"/>
    <w:lvl w:ilvl="0" w:tplc="20C0E3F0">
      <w:start w:val="1"/>
      <w:numFmt w:val="bullet"/>
      <w:lvlText w:val="●"/>
      <w:lvlJc w:val="left"/>
      <w:pPr>
        <w:ind w:left="720" w:hanging="360"/>
      </w:pPr>
    </w:lvl>
    <w:lvl w:ilvl="1" w:tplc="FC840648">
      <w:start w:val="1"/>
      <w:numFmt w:val="bullet"/>
      <w:lvlText w:val="○"/>
      <w:lvlJc w:val="left"/>
      <w:pPr>
        <w:ind w:left="1440" w:hanging="360"/>
      </w:pPr>
    </w:lvl>
    <w:lvl w:ilvl="2" w:tplc="56C67844">
      <w:start w:val="1"/>
      <w:numFmt w:val="bullet"/>
      <w:lvlText w:val="■"/>
      <w:lvlJc w:val="left"/>
      <w:pPr>
        <w:ind w:left="2160" w:hanging="360"/>
      </w:pPr>
    </w:lvl>
    <w:lvl w:ilvl="3" w:tplc="2E142E5A">
      <w:start w:val="1"/>
      <w:numFmt w:val="bullet"/>
      <w:lvlText w:val="●"/>
      <w:lvlJc w:val="left"/>
      <w:pPr>
        <w:ind w:left="2880" w:hanging="360"/>
      </w:pPr>
    </w:lvl>
    <w:lvl w:ilvl="4" w:tplc="8DE02E1C">
      <w:start w:val="1"/>
      <w:numFmt w:val="bullet"/>
      <w:lvlText w:val="○"/>
      <w:lvlJc w:val="left"/>
      <w:pPr>
        <w:ind w:left="3600" w:hanging="360"/>
      </w:pPr>
    </w:lvl>
    <w:lvl w:ilvl="5" w:tplc="758880EE">
      <w:start w:val="1"/>
      <w:numFmt w:val="bullet"/>
      <w:lvlText w:val="■"/>
      <w:lvlJc w:val="left"/>
      <w:pPr>
        <w:ind w:left="4320" w:hanging="360"/>
      </w:pPr>
    </w:lvl>
    <w:lvl w:ilvl="6" w:tplc="D368DC6E">
      <w:start w:val="1"/>
      <w:numFmt w:val="bullet"/>
      <w:lvlText w:val="●"/>
      <w:lvlJc w:val="left"/>
      <w:pPr>
        <w:ind w:left="5040" w:hanging="360"/>
      </w:pPr>
    </w:lvl>
    <w:lvl w:ilvl="7" w:tplc="22F67B02">
      <w:start w:val="1"/>
      <w:numFmt w:val="bullet"/>
      <w:lvlText w:val="●"/>
      <w:lvlJc w:val="left"/>
      <w:pPr>
        <w:ind w:left="5760" w:hanging="360"/>
      </w:pPr>
    </w:lvl>
    <w:lvl w:ilvl="8" w:tplc="6D6E7ACA">
      <w:start w:val="1"/>
      <w:numFmt w:val="bullet"/>
      <w:lvlText w:val="●"/>
      <w:lvlJc w:val="left"/>
      <w:pPr>
        <w:ind w:left="6480" w:hanging="360"/>
      </w:pPr>
    </w:lvl>
  </w:abstractNum>
  <w:num w:numId="1" w16cid:durableId="81757452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D5F"/>
    <w:rsid w:val="00336CFE"/>
    <w:rsid w:val="0053176B"/>
    <w:rsid w:val="006B4D5F"/>
    <w:rsid w:val="00AA74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6CD2D"/>
  <w15:docId w15:val="{A9DD263C-3D3C-407D-B6CC-CCB3E64C3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2B2B2B"/>
        <w:sz w:val="21"/>
        <w:szCs w:val="21"/>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1196</Words>
  <Characters>6307</Characters>
  <Application>Microsoft Office Word</Application>
  <DocSecurity>0</DocSecurity>
  <Lines>175</Lines>
  <Paragraphs>96</Paragraphs>
  <ScaleCrop>false</ScaleCrop>
  <Company/>
  <LinksUpToDate>false</LinksUpToDate>
  <CharactersWithSpaces>7407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Nocebo Effect</dc:title>
  <dc:creator>Bradford VTS</dc:creator>
  <cp:lastModifiedBy>Ramesh Mehay</cp:lastModifiedBy>
  <cp:revision>2</cp:revision>
  <dcterms:created xsi:type="dcterms:W3CDTF">2026-07-06T17:05:00Z</dcterms:created>
  <dcterms:modified xsi:type="dcterms:W3CDTF">2026-07-06T17:05:00Z</dcterms:modified>
</cp:coreProperties>
</file>