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441C56" w14:paraId="0E7F5AE7" w14:textId="77777777">
        <w:trPr>
          <w:jc w:val="center"/>
        </w:trPr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  <w:shd w:val="clear" w:color="auto" w:fill="E8742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1486B2A0" w14:textId="77777777" w:rsidR="00441C56" w:rsidRDefault="00000000">
            <w:pPr>
              <w:jc w:val="center"/>
            </w:pPr>
            <w:r>
              <w:rPr>
                <w:b/>
                <w:color w:val="FFFFFF"/>
                <w:sz w:val="22"/>
              </w:rPr>
              <w:t>BRADFORD VTS TEACHING AIDS</w:t>
            </w:r>
          </w:p>
        </w:tc>
      </w:tr>
      <w:tr w:rsidR="00441C56" w14:paraId="0D7D39FB" w14:textId="77777777">
        <w:trPr>
          <w:jc w:val="center"/>
        </w:trPr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  <w:shd w:val="clear" w:color="auto" w:fill="E8742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46CEFAED" w14:textId="77777777" w:rsidR="00441C56" w:rsidRDefault="00000000">
            <w:pPr>
              <w:jc w:val="center"/>
            </w:pPr>
            <w:r>
              <w:rPr>
                <w:b/>
                <w:color w:val="FFFFFF"/>
                <w:sz w:val="76"/>
              </w:rPr>
              <w:t>Psychiatric Medication Monitoring</w:t>
            </w:r>
          </w:p>
        </w:tc>
      </w:tr>
      <w:tr w:rsidR="00441C56" w14:paraId="066ECDAA" w14:textId="77777777">
        <w:trPr>
          <w:jc w:val="center"/>
        </w:trPr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  <w:shd w:val="clear" w:color="auto" w:fill="E8742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18260A88" w14:textId="77777777" w:rsidR="00441C56" w:rsidRDefault="00000000">
            <w:pPr>
              <w:jc w:val="center"/>
            </w:pPr>
            <w:r>
              <w:rPr>
                <w:i/>
                <w:color w:val="FFFFFF"/>
                <w:sz w:val="26"/>
              </w:rPr>
              <w:t>A quick reference companion · Bradford VTS · July 2026</w:t>
            </w:r>
          </w:p>
        </w:tc>
      </w:tr>
    </w:tbl>
    <w:p w14:paraId="63D4A675" w14:textId="77777777" w:rsidR="00441C56" w:rsidRDefault="00441C56"/>
    <w:p w14:paraId="7002BD14" w14:textId="77777777" w:rsidR="00441C56" w:rsidRDefault="00000000">
      <w:pPr>
        <w:jc w:val="center"/>
      </w:pPr>
      <w:r>
        <w:rPr>
          <w:noProof/>
        </w:rPr>
        <w:drawing>
          <wp:inline distT="0" distB="0" distL="0" distR="0" wp14:anchorId="51E15528" wp14:editId="4C8CBB65">
            <wp:extent cx="5669280" cy="31915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ntal_health_hero_3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19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C9BA8" w14:textId="77777777" w:rsidR="00441C56" w:rsidRDefault="00000000">
      <w:pPr>
        <w:jc w:val="center"/>
      </w:pPr>
      <w:r>
        <w:rPr>
          <w:i/>
          <w:color w:val="64748B"/>
          <w:sz w:val="19"/>
        </w:rPr>
        <w:t>A practical primary-care view of monitoring for lithium, antipsychotics, clozapine, valproate and antidepressants — with safety-netting built in.</w:t>
      </w:r>
    </w:p>
    <w:p w14:paraId="488C4B61" w14:textId="77777777" w:rsidR="00441C56" w:rsidRDefault="00441C56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441C56" w14:paraId="0548B346" w14:textId="77777777">
        <w:trPr>
          <w:jc w:val="center"/>
        </w:trPr>
        <w:tc>
          <w:tcPr>
            <w:tcW w:w="10224" w:type="dxa"/>
            <w:tcBorders>
              <w:top w:val="single" w:sz="8" w:space="0" w:color="2F5D8C"/>
              <w:left w:val="single" w:sz="24" w:space="0" w:color="2F5D8C"/>
              <w:bottom w:val="single" w:sz="8" w:space="0" w:color="2F5D8C"/>
              <w:right w:val="single" w:sz="8" w:space="0" w:color="2F5D8C"/>
            </w:tcBorders>
            <w:shd w:val="clear" w:color="auto" w:fill="EAF3FA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4934AFCA" w14:textId="77777777" w:rsidR="00441C56" w:rsidRDefault="00000000">
            <w:r>
              <w:rPr>
                <w:b/>
                <w:color w:val="2F5D8C"/>
                <w:sz w:val="23"/>
              </w:rPr>
              <w:t xml:space="preserve">Clinical currency  </w:t>
            </w:r>
            <w:r>
              <w:rPr>
                <w:color w:val="334155"/>
                <w:sz w:val="20"/>
              </w:rPr>
              <w:t>Updated against SPS lithium monitoring (reviewed with NICE/BNF bibliography 2024), NICE CKS search snippets for psychosis/antipsychotic monitoring, BNF clozapine search result, NICE quality standard search result, and MHRA valproate reproductive-risk guidance updated through June 2025. BNF pages were access-limited outside the UK, so current BNF/local shared-care protocols must be checked before prescribing.</w:t>
            </w:r>
          </w:p>
        </w:tc>
      </w:tr>
    </w:tbl>
    <w:p w14:paraId="51124491" w14:textId="77777777" w:rsidR="00441C56" w:rsidRDefault="00441C56"/>
    <w:p w14:paraId="2D5AD8E0" w14:textId="77777777" w:rsidR="000E1393" w:rsidRDefault="000E1393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F5D8C"/>
          <w:sz w:val="40"/>
          <w:szCs w:val="28"/>
        </w:rPr>
      </w:pPr>
      <w:r>
        <w:br w:type="page"/>
      </w:r>
    </w:p>
    <w:p w14:paraId="44DD5B19" w14:textId="3367BA17" w:rsidR="00441C56" w:rsidRDefault="00000000">
      <w:pPr>
        <w:pStyle w:val="Heading1"/>
      </w:pPr>
      <w:r>
        <w:lastRenderedPageBreak/>
        <w:t>Core principles for GP trainees</w:t>
      </w:r>
    </w:p>
    <w:p w14:paraId="7AFCA18D" w14:textId="77777777" w:rsidR="00441C56" w:rsidRDefault="00000000">
      <w:pPr>
        <w:pStyle w:val="ListBullet"/>
      </w:pPr>
      <w:r>
        <w:rPr>
          <w:color w:val="334155"/>
        </w:rPr>
        <w:t>Psychotropics can reduce suffering dramatically — but monitoring is part of the treatment, not an optional extra.</w:t>
      </w:r>
    </w:p>
    <w:p w14:paraId="48CE8566" w14:textId="77777777" w:rsidR="00441C56" w:rsidRDefault="00000000">
      <w:pPr>
        <w:pStyle w:val="ListBullet"/>
      </w:pPr>
      <w:r>
        <w:rPr>
          <w:color w:val="334155"/>
        </w:rPr>
        <w:t>Shared-care responsibilities must be explicit: who prescribes, who orders bloods, who checks results, who acts on abnormal results, and who tells the patient.</w:t>
      </w:r>
    </w:p>
    <w:p w14:paraId="35E0788A" w14:textId="77777777" w:rsidR="00441C56" w:rsidRDefault="00000000">
      <w:pPr>
        <w:pStyle w:val="ListBullet"/>
      </w:pPr>
      <w:r>
        <w:rPr>
          <w:color w:val="334155"/>
        </w:rPr>
        <w:t>Record hospital-only medicines in the GP record so interactions and safety alerts are visible.</w:t>
      </w:r>
    </w:p>
    <w:p w14:paraId="7F7D21D7" w14:textId="77777777" w:rsidR="00441C56" w:rsidRDefault="00000000">
      <w:pPr>
        <w:pStyle w:val="ListBullet"/>
      </w:pPr>
      <w:r>
        <w:rPr>
          <w:color w:val="334155"/>
        </w:rPr>
        <w:t>Use local shared-care protocols and current BNF. If the plan is unclear, pause and clarify rather than “just issuing”.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441C56" w14:paraId="4C54D3B8" w14:textId="77777777">
        <w:trPr>
          <w:jc w:val="center"/>
        </w:trPr>
        <w:tc>
          <w:tcPr>
            <w:tcW w:w="10224" w:type="dxa"/>
            <w:tcBorders>
              <w:top w:val="single" w:sz="8" w:space="0" w:color="0F766E"/>
              <w:left w:val="single" w:sz="24" w:space="0" w:color="0F766E"/>
              <w:bottom w:val="single" w:sz="8" w:space="0" w:color="0F766E"/>
              <w:right w:val="single" w:sz="8" w:space="0" w:color="0F766E"/>
            </w:tcBorders>
            <w:shd w:val="clear" w:color="auto" w:fill="E6FFFB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7E8841E4" w14:textId="77777777" w:rsidR="00441C56" w:rsidRDefault="00000000">
            <w:r>
              <w:rPr>
                <w:b/>
                <w:color w:val="0F766E"/>
                <w:sz w:val="23"/>
              </w:rPr>
              <w:t xml:space="preserve">SCA consultation tip  </w:t>
            </w:r>
            <w:r>
              <w:rPr>
                <w:color w:val="334155"/>
                <w:sz w:val="20"/>
              </w:rPr>
              <w:t>Try: “The blood tests are not bureaucracy — they are how we keep the medicine helpful rather than harmful.”</w:t>
            </w:r>
          </w:p>
        </w:tc>
      </w:tr>
    </w:tbl>
    <w:p w14:paraId="6D4B187A" w14:textId="77777777" w:rsidR="00441C56" w:rsidRDefault="00441C56"/>
    <w:p w14:paraId="74F6E9F7" w14:textId="77777777" w:rsidR="00441C56" w:rsidRDefault="00000000">
      <w:pPr>
        <w:pStyle w:val="Heading2"/>
      </w:pPr>
      <w:r>
        <w:t>Safe monitoring loop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045"/>
        <w:gridCol w:w="2045"/>
        <w:gridCol w:w="2045"/>
        <w:gridCol w:w="2045"/>
        <w:gridCol w:w="2045"/>
      </w:tblGrid>
      <w:tr w:rsidR="00441C56" w14:paraId="36046406" w14:textId="77777777">
        <w:trPr>
          <w:jc w:val="center"/>
        </w:trPr>
        <w:tc>
          <w:tcPr>
            <w:tcW w:w="2045" w:type="dxa"/>
            <w:tcBorders>
              <w:top w:val="single" w:sz="6" w:space="0" w:color="0F766E"/>
              <w:left w:val="single" w:sz="6" w:space="0" w:color="0F766E"/>
              <w:bottom w:val="single" w:sz="6" w:space="0" w:color="0F766E"/>
              <w:right w:val="single" w:sz="6" w:space="0" w:color="0F766E"/>
            </w:tcBorders>
            <w:shd w:val="clear" w:color="auto" w:fill="E6FFFB"/>
            <w:tcMar>
              <w:top w:w="150" w:type="dxa"/>
              <w:left w:w="100" w:type="dxa"/>
              <w:bottom w:w="150" w:type="dxa"/>
              <w:right w:w="100" w:type="dxa"/>
            </w:tcMar>
          </w:tcPr>
          <w:p w14:paraId="3F7AAD6E" w14:textId="77777777" w:rsidR="00441C56" w:rsidRDefault="00000000">
            <w:pPr>
              <w:jc w:val="center"/>
            </w:pPr>
            <w:r>
              <w:rPr>
                <w:b/>
                <w:color w:val="334155"/>
                <w:sz w:val="19"/>
              </w:rPr>
              <w:t>Baseline checks</w:t>
            </w:r>
          </w:p>
        </w:tc>
        <w:tc>
          <w:tcPr>
            <w:tcW w:w="2045" w:type="dxa"/>
            <w:tcBorders>
              <w:top w:val="single" w:sz="6" w:space="0" w:color="0F766E"/>
              <w:left w:val="single" w:sz="6" w:space="0" w:color="0F766E"/>
              <w:bottom w:val="single" w:sz="6" w:space="0" w:color="0F766E"/>
              <w:right w:val="single" w:sz="6" w:space="0" w:color="0F766E"/>
            </w:tcBorders>
            <w:shd w:val="clear" w:color="auto" w:fill="F3E8FF"/>
            <w:tcMar>
              <w:top w:w="150" w:type="dxa"/>
              <w:left w:w="100" w:type="dxa"/>
              <w:bottom w:w="150" w:type="dxa"/>
              <w:right w:w="100" w:type="dxa"/>
            </w:tcMar>
          </w:tcPr>
          <w:p w14:paraId="605C22CF" w14:textId="77777777" w:rsidR="00441C56" w:rsidRDefault="00000000">
            <w:pPr>
              <w:jc w:val="center"/>
            </w:pPr>
            <w:r>
              <w:rPr>
                <w:b/>
                <w:color w:val="334155"/>
                <w:sz w:val="19"/>
              </w:rPr>
              <w:t>Start / dose change</w:t>
            </w:r>
          </w:p>
        </w:tc>
        <w:tc>
          <w:tcPr>
            <w:tcW w:w="2045" w:type="dxa"/>
            <w:tcBorders>
              <w:top w:val="single" w:sz="6" w:space="0" w:color="0F766E"/>
              <w:left w:val="single" w:sz="6" w:space="0" w:color="0F766E"/>
              <w:bottom w:val="single" w:sz="6" w:space="0" w:color="0F766E"/>
              <w:right w:val="single" w:sz="6" w:space="0" w:color="0F766E"/>
            </w:tcBorders>
            <w:shd w:val="clear" w:color="auto" w:fill="E6FFFB"/>
            <w:tcMar>
              <w:top w:w="150" w:type="dxa"/>
              <w:left w:w="100" w:type="dxa"/>
              <w:bottom w:w="150" w:type="dxa"/>
              <w:right w:w="100" w:type="dxa"/>
            </w:tcMar>
          </w:tcPr>
          <w:p w14:paraId="49B054D6" w14:textId="77777777" w:rsidR="00441C56" w:rsidRDefault="00000000">
            <w:pPr>
              <w:jc w:val="center"/>
            </w:pPr>
            <w:r>
              <w:rPr>
                <w:b/>
                <w:color w:val="334155"/>
                <w:sz w:val="19"/>
              </w:rPr>
              <w:t>Early bloods</w:t>
            </w:r>
          </w:p>
        </w:tc>
        <w:tc>
          <w:tcPr>
            <w:tcW w:w="2045" w:type="dxa"/>
            <w:tcBorders>
              <w:top w:val="single" w:sz="6" w:space="0" w:color="0F766E"/>
              <w:left w:val="single" w:sz="6" w:space="0" w:color="0F766E"/>
              <w:bottom w:val="single" w:sz="6" w:space="0" w:color="0F766E"/>
              <w:right w:val="single" w:sz="6" w:space="0" w:color="0F766E"/>
            </w:tcBorders>
            <w:shd w:val="clear" w:color="auto" w:fill="F3E8FF"/>
            <w:tcMar>
              <w:top w:w="150" w:type="dxa"/>
              <w:left w:w="100" w:type="dxa"/>
              <w:bottom w:w="150" w:type="dxa"/>
              <w:right w:w="100" w:type="dxa"/>
            </w:tcMar>
          </w:tcPr>
          <w:p w14:paraId="0CB37654" w14:textId="77777777" w:rsidR="00441C56" w:rsidRDefault="00000000">
            <w:pPr>
              <w:jc w:val="center"/>
            </w:pPr>
            <w:r>
              <w:rPr>
                <w:b/>
                <w:color w:val="334155"/>
                <w:sz w:val="19"/>
              </w:rPr>
              <w:t>Stable monitoring</w:t>
            </w:r>
          </w:p>
        </w:tc>
        <w:tc>
          <w:tcPr>
            <w:tcW w:w="2045" w:type="dxa"/>
            <w:tcBorders>
              <w:top w:val="single" w:sz="6" w:space="0" w:color="0F766E"/>
              <w:left w:val="single" w:sz="6" w:space="0" w:color="0F766E"/>
              <w:bottom w:val="single" w:sz="6" w:space="0" w:color="0F766E"/>
              <w:right w:val="single" w:sz="6" w:space="0" w:color="0F766E"/>
            </w:tcBorders>
            <w:shd w:val="clear" w:color="auto" w:fill="E6FFFB"/>
            <w:tcMar>
              <w:top w:w="150" w:type="dxa"/>
              <w:left w:w="100" w:type="dxa"/>
              <w:bottom w:w="150" w:type="dxa"/>
              <w:right w:w="100" w:type="dxa"/>
            </w:tcMar>
          </w:tcPr>
          <w:p w14:paraId="5BCF2D29" w14:textId="77777777" w:rsidR="00441C56" w:rsidRDefault="00000000">
            <w:pPr>
              <w:jc w:val="center"/>
            </w:pPr>
            <w:r>
              <w:rPr>
                <w:b/>
                <w:color w:val="334155"/>
                <w:sz w:val="19"/>
              </w:rPr>
              <w:t>Act on abnormal results</w:t>
            </w:r>
          </w:p>
        </w:tc>
      </w:tr>
    </w:tbl>
    <w:p w14:paraId="617E03C2" w14:textId="77777777" w:rsidR="00441C56" w:rsidRDefault="00441C56"/>
    <w:p w14:paraId="3A63118D" w14:textId="77777777" w:rsidR="00441C56" w:rsidRDefault="00000000">
      <w:pPr>
        <w:pStyle w:val="Heading1"/>
      </w:pPr>
      <w:r>
        <w:t>Lithium — high-risk medicine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08"/>
        <w:gridCol w:w="3408"/>
        <w:gridCol w:w="3408"/>
      </w:tblGrid>
      <w:tr w:rsidR="00441C56" w14:paraId="377F72F0" w14:textId="77777777">
        <w:trPr>
          <w:tblHeader/>
          <w:jc w:val="center"/>
        </w:trPr>
        <w:tc>
          <w:tcPr>
            <w:tcW w:w="3408" w:type="dxa"/>
            <w:shd w:val="clear" w:color="auto" w:fill="2F5D8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53388" w14:textId="77777777" w:rsidR="00441C56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When</w:t>
            </w:r>
          </w:p>
        </w:tc>
        <w:tc>
          <w:tcPr>
            <w:tcW w:w="3408" w:type="dxa"/>
            <w:shd w:val="clear" w:color="auto" w:fill="2F5D8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68BB3" w14:textId="77777777" w:rsidR="00441C56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What to monitor</w:t>
            </w:r>
          </w:p>
        </w:tc>
        <w:tc>
          <w:tcPr>
            <w:tcW w:w="3408" w:type="dxa"/>
            <w:shd w:val="clear" w:color="auto" w:fill="2F5D8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A1AB5" w14:textId="77777777" w:rsidR="00441C56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Teaching notes</w:t>
            </w:r>
          </w:p>
        </w:tc>
      </w:tr>
      <w:tr w:rsidR="00441C56" w14:paraId="3C37C01B" w14:textId="77777777">
        <w:trPr>
          <w:jc w:val="center"/>
        </w:trPr>
        <w:tc>
          <w:tcPr>
            <w:tcW w:w="3408" w:type="dxa"/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F692B38" w14:textId="77777777" w:rsidR="00441C56" w:rsidRDefault="00000000">
            <w:r>
              <w:rPr>
                <w:color w:val="334155"/>
                <w:sz w:val="18"/>
              </w:rPr>
              <w:t>Before starting</w:t>
            </w:r>
          </w:p>
        </w:tc>
        <w:tc>
          <w:tcPr>
            <w:tcW w:w="3408" w:type="dxa"/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0ABC880" w14:textId="77777777" w:rsidR="00441C56" w:rsidRDefault="00000000">
            <w:r>
              <w:rPr>
                <w:color w:val="334155"/>
                <w:sz w:val="18"/>
              </w:rPr>
              <w:t>BMI, ECG if cardiovascular disease/risk factors, eGFR, FBC, serum calcium, TFTs, U&amp;Es, pregnancy exclusion where relevant.</w:t>
            </w:r>
          </w:p>
        </w:tc>
        <w:tc>
          <w:tcPr>
            <w:tcW w:w="3408" w:type="dxa"/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937C972" w14:textId="77777777" w:rsidR="00441C56" w:rsidRDefault="00000000">
            <w:r>
              <w:rPr>
                <w:color w:val="334155"/>
                <w:sz w:val="18"/>
              </w:rPr>
              <w:t>Patient should be euthyroid before initiation. Prescribe by brand/form.</w:t>
            </w:r>
          </w:p>
        </w:tc>
      </w:tr>
      <w:tr w:rsidR="00441C56" w14:paraId="089F55F2" w14:textId="77777777">
        <w:trPr>
          <w:jc w:val="center"/>
        </w:trPr>
        <w:tc>
          <w:tcPr>
            <w:tcW w:w="340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1D18D4C" w14:textId="77777777" w:rsidR="00441C56" w:rsidRDefault="00000000">
            <w:r>
              <w:rPr>
                <w:color w:val="334155"/>
                <w:sz w:val="18"/>
              </w:rPr>
              <w:t>After start or dose change</w:t>
            </w:r>
          </w:p>
        </w:tc>
        <w:tc>
          <w:tcPr>
            <w:tcW w:w="340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F266D02" w14:textId="77777777" w:rsidR="00441C56" w:rsidRDefault="00000000">
            <w:r>
              <w:rPr>
                <w:color w:val="334155"/>
                <w:sz w:val="18"/>
              </w:rPr>
              <w:t>Lithium level at 1 week, then weekly until stable, then every 3 months for first year.</w:t>
            </w:r>
          </w:p>
        </w:tc>
        <w:tc>
          <w:tcPr>
            <w:tcW w:w="340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030BBBF" w14:textId="77777777" w:rsidR="00441C56" w:rsidRDefault="00000000">
            <w:r>
              <w:rPr>
                <w:color w:val="334155"/>
                <w:sz w:val="18"/>
              </w:rPr>
              <w:t>Sample just before next dose — usually 12 hours after last dose.</w:t>
            </w:r>
          </w:p>
        </w:tc>
      </w:tr>
      <w:tr w:rsidR="00441C56" w14:paraId="105A7605" w14:textId="77777777">
        <w:trPr>
          <w:jc w:val="center"/>
        </w:trPr>
        <w:tc>
          <w:tcPr>
            <w:tcW w:w="3408" w:type="dxa"/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3B0EA4C" w14:textId="77777777" w:rsidR="00441C56" w:rsidRDefault="00000000">
            <w:r>
              <w:rPr>
                <w:color w:val="334155"/>
                <w:sz w:val="18"/>
              </w:rPr>
              <w:t>Ongoing once stable</w:t>
            </w:r>
          </w:p>
        </w:tc>
        <w:tc>
          <w:tcPr>
            <w:tcW w:w="3408" w:type="dxa"/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5194718" w14:textId="77777777" w:rsidR="00441C56" w:rsidRDefault="00000000">
            <w:r>
              <w:rPr>
                <w:color w:val="334155"/>
                <w:sz w:val="18"/>
              </w:rPr>
              <w:t>Lithium level every 3–6 months; BMI/weight, eGFR, calcium, TFTs and U&amp;Es every 6 months.</w:t>
            </w:r>
          </w:p>
        </w:tc>
        <w:tc>
          <w:tcPr>
            <w:tcW w:w="3408" w:type="dxa"/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5C92343" w14:textId="77777777" w:rsidR="00441C56" w:rsidRDefault="00000000">
            <w:r>
              <w:rPr>
                <w:color w:val="334155"/>
                <w:sz w:val="18"/>
              </w:rPr>
              <w:t>Monitor at least 3-monthly if high risk: age ≥65, interacting drugs, renal/thyroid risk, raised calcium, poor adherence, pregnancy, level ≥0.8 mmol/L.</w:t>
            </w:r>
          </w:p>
        </w:tc>
      </w:tr>
      <w:tr w:rsidR="00441C56" w14:paraId="63DE1A19" w14:textId="77777777">
        <w:trPr>
          <w:jc w:val="center"/>
        </w:trPr>
        <w:tc>
          <w:tcPr>
            <w:tcW w:w="340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96E4586" w14:textId="77777777" w:rsidR="00441C56" w:rsidRDefault="00000000">
            <w:r>
              <w:rPr>
                <w:color w:val="334155"/>
                <w:sz w:val="18"/>
              </w:rPr>
              <w:t>Toxicity symptoms</w:t>
            </w:r>
          </w:p>
        </w:tc>
        <w:tc>
          <w:tcPr>
            <w:tcW w:w="340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66E303A" w14:textId="77777777" w:rsidR="00441C56" w:rsidRDefault="00000000">
            <w:r>
              <w:rPr>
                <w:color w:val="334155"/>
                <w:sz w:val="18"/>
              </w:rPr>
              <w:t>Diarrhoea, vomiting, anorexia, muscle weakness, lethargy, dizziness, ataxia, tinnitus, blurred vision, coarse tremor, dysarthria, drowsiness.</w:t>
            </w:r>
          </w:p>
        </w:tc>
        <w:tc>
          <w:tcPr>
            <w:tcW w:w="340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C3CCF01" w14:textId="77777777" w:rsidR="00441C56" w:rsidRDefault="00000000">
            <w:r>
              <w:rPr>
                <w:color w:val="334155"/>
                <w:sz w:val="18"/>
              </w:rPr>
              <w:t>Withhold lithium, urgent lithium level and U&amp;Es, seek specialist advice; secondary care may be needed.</w:t>
            </w:r>
          </w:p>
        </w:tc>
      </w:tr>
    </w:tbl>
    <w:p w14:paraId="5A9C2EE3" w14:textId="77777777" w:rsidR="00441C56" w:rsidRDefault="00441C56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441C56" w14:paraId="3483E7B1" w14:textId="77777777">
        <w:trPr>
          <w:jc w:val="center"/>
        </w:trPr>
        <w:tc>
          <w:tcPr>
            <w:tcW w:w="10224" w:type="dxa"/>
            <w:tcBorders>
              <w:top w:val="single" w:sz="8" w:space="0" w:color="6D28D9"/>
              <w:left w:val="single" w:sz="24" w:space="0" w:color="6D28D9"/>
              <w:bottom w:val="single" w:sz="8" w:space="0" w:color="6D28D9"/>
              <w:right w:val="single" w:sz="8" w:space="0" w:color="6D28D9"/>
            </w:tcBorders>
            <w:shd w:val="clear" w:color="auto" w:fill="F3E8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34BF9355" w14:textId="77777777" w:rsidR="00441C56" w:rsidRDefault="00000000">
            <w:r>
              <w:rPr>
                <w:b/>
                <w:color w:val="6D28D9"/>
                <w:sz w:val="23"/>
              </w:rPr>
              <w:t xml:space="preserve">AKT exam tip  </w:t>
            </w:r>
            <w:r>
              <w:rPr>
                <w:color w:val="334155"/>
                <w:sz w:val="20"/>
              </w:rPr>
              <w:t>Lithium is prescribed by brand because preparations are not bioequivalent. Toxicity can occur even around apparently “normal” levels — treat the patient, not just the number.</w:t>
            </w:r>
          </w:p>
        </w:tc>
      </w:tr>
    </w:tbl>
    <w:p w14:paraId="435C338A" w14:textId="77777777" w:rsidR="00441C56" w:rsidRDefault="00441C56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441C56" w14:paraId="6FFCD494" w14:textId="77777777">
        <w:trPr>
          <w:jc w:val="center"/>
        </w:trPr>
        <w:tc>
          <w:tcPr>
            <w:tcW w:w="10224" w:type="dxa"/>
            <w:tcBorders>
              <w:top w:val="single" w:sz="8" w:space="0" w:color="B91C1C"/>
              <w:left w:val="single" w:sz="24" w:space="0" w:color="B91C1C"/>
              <w:bottom w:val="single" w:sz="8" w:space="0" w:color="B91C1C"/>
              <w:right w:val="single" w:sz="8" w:space="0" w:color="B91C1C"/>
            </w:tcBorders>
            <w:shd w:val="clear" w:color="auto" w:fill="FEE2E2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4331FE7D" w14:textId="77777777" w:rsidR="00441C56" w:rsidRDefault="00000000">
            <w:r>
              <w:rPr>
                <w:b/>
                <w:color w:val="B91C1C"/>
                <w:sz w:val="23"/>
              </w:rPr>
              <w:t xml:space="preserve">Red flag  </w:t>
            </w:r>
            <w:r>
              <w:rPr>
                <w:color w:val="334155"/>
                <w:sz w:val="20"/>
              </w:rPr>
              <w:t xml:space="preserve">Lithium + dehydration, acute illness, NSAIDs, ACE inhibitors/ARBs or diuretics can become dangerous. Give </w:t>
            </w:r>
            <w:r>
              <w:rPr>
                <w:color w:val="334155"/>
                <w:sz w:val="20"/>
              </w:rPr>
              <w:lastRenderedPageBreak/>
              <w:t>clear sick-day advice and avoid OTC NSAIDs unless specifically advised.</w:t>
            </w:r>
          </w:p>
        </w:tc>
      </w:tr>
    </w:tbl>
    <w:p w14:paraId="5174236E" w14:textId="77777777" w:rsidR="00441C56" w:rsidRDefault="00441C56"/>
    <w:p w14:paraId="6F8021ED" w14:textId="77777777" w:rsidR="00441C56" w:rsidRDefault="00000000">
      <w:pPr>
        <w:pStyle w:val="Heading1"/>
      </w:pPr>
      <w:r>
        <w:t>Antipsychotics and clozapine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08"/>
        <w:gridCol w:w="3408"/>
        <w:gridCol w:w="3408"/>
      </w:tblGrid>
      <w:tr w:rsidR="00441C56" w14:paraId="32527B45" w14:textId="77777777">
        <w:trPr>
          <w:tblHeader/>
          <w:jc w:val="center"/>
        </w:trPr>
        <w:tc>
          <w:tcPr>
            <w:tcW w:w="3408" w:type="dxa"/>
            <w:shd w:val="clear" w:color="auto" w:fill="2F5D8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281AD" w14:textId="77777777" w:rsidR="00441C56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Area</w:t>
            </w:r>
          </w:p>
        </w:tc>
        <w:tc>
          <w:tcPr>
            <w:tcW w:w="3408" w:type="dxa"/>
            <w:shd w:val="clear" w:color="auto" w:fill="2F5D8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597FF" w14:textId="77777777" w:rsidR="00441C56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Monitoring focus</w:t>
            </w:r>
          </w:p>
        </w:tc>
        <w:tc>
          <w:tcPr>
            <w:tcW w:w="3408" w:type="dxa"/>
            <w:shd w:val="clear" w:color="auto" w:fill="2F5D8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4FCC8" w14:textId="77777777" w:rsidR="00441C56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Primary-care teaching point</w:t>
            </w:r>
          </w:p>
        </w:tc>
      </w:tr>
      <w:tr w:rsidR="00441C56" w14:paraId="423B9B13" w14:textId="77777777">
        <w:trPr>
          <w:jc w:val="center"/>
        </w:trPr>
        <w:tc>
          <w:tcPr>
            <w:tcW w:w="3408" w:type="dxa"/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14FCE26" w14:textId="77777777" w:rsidR="00441C56" w:rsidRDefault="00000000">
            <w:r>
              <w:rPr>
                <w:color w:val="334155"/>
                <w:sz w:val="18"/>
              </w:rPr>
              <w:t>Metabolic health</w:t>
            </w:r>
          </w:p>
        </w:tc>
        <w:tc>
          <w:tcPr>
            <w:tcW w:w="3408" w:type="dxa"/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DA4579B" w14:textId="77777777" w:rsidR="00441C56" w:rsidRDefault="00000000">
            <w:r>
              <w:rPr>
                <w:color w:val="334155"/>
                <w:sz w:val="18"/>
              </w:rPr>
              <w:t>Weight/BMI or waist, pulse, BP, HbA1c or glucose, lipids.</w:t>
            </w:r>
          </w:p>
        </w:tc>
        <w:tc>
          <w:tcPr>
            <w:tcW w:w="3408" w:type="dxa"/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4C199F1" w14:textId="77777777" w:rsidR="00441C56" w:rsidRDefault="00000000">
            <w:r>
              <w:rPr>
                <w:color w:val="334155"/>
                <w:sz w:val="18"/>
              </w:rPr>
              <w:t>NICE search snippets highlight at least annual physical health checks; glucose/HbA1c at 3 months then annually after starting.</w:t>
            </w:r>
          </w:p>
        </w:tc>
      </w:tr>
      <w:tr w:rsidR="00441C56" w14:paraId="5D5F5CF0" w14:textId="77777777">
        <w:trPr>
          <w:jc w:val="center"/>
        </w:trPr>
        <w:tc>
          <w:tcPr>
            <w:tcW w:w="340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3B910BB" w14:textId="77777777" w:rsidR="00441C56" w:rsidRDefault="00000000">
            <w:r>
              <w:rPr>
                <w:color w:val="334155"/>
                <w:sz w:val="18"/>
              </w:rPr>
              <w:t>Movement disorders</w:t>
            </w:r>
          </w:p>
        </w:tc>
        <w:tc>
          <w:tcPr>
            <w:tcW w:w="340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DC38DD4" w14:textId="77777777" w:rsidR="00441C56" w:rsidRDefault="00000000">
            <w:r>
              <w:rPr>
                <w:color w:val="334155"/>
                <w:sz w:val="18"/>
              </w:rPr>
              <w:t>Ask about stiffness, tremor, akathisia, dystonia, tardive dyskinesia.</w:t>
            </w:r>
          </w:p>
        </w:tc>
        <w:tc>
          <w:tcPr>
            <w:tcW w:w="340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224EB31" w14:textId="77777777" w:rsidR="00441C56" w:rsidRDefault="00000000">
            <w:r>
              <w:rPr>
                <w:color w:val="334155"/>
                <w:sz w:val="18"/>
              </w:rPr>
              <w:t>Akathisia can feel like anxiety and increase distress.</w:t>
            </w:r>
          </w:p>
        </w:tc>
      </w:tr>
      <w:tr w:rsidR="00441C56" w14:paraId="75F7E069" w14:textId="77777777">
        <w:trPr>
          <w:jc w:val="center"/>
        </w:trPr>
        <w:tc>
          <w:tcPr>
            <w:tcW w:w="3408" w:type="dxa"/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E7D4E7D" w14:textId="77777777" w:rsidR="00441C56" w:rsidRDefault="00000000">
            <w:r>
              <w:rPr>
                <w:color w:val="334155"/>
                <w:sz w:val="18"/>
              </w:rPr>
              <w:t>Prolactin</w:t>
            </w:r>
          </w:p>
        </w:tc>
        <w:tc>
          <w:tcPr>
            <w:tcW w:w="3408" w:type="dxa"/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838E016" w14:textId="77777777" w:rsidR="00441C56" w:rsidRDefault="00000000">
            <w:r>
              <w:rPr>
                <w:color w:val="334155"/>
                <w:sz w:val="18"/>
              </w:rPr>
              <w:t>Check if symptoms: sexual dysfunction, galactorrhoea, menstrual change, infertility, gynaecomastia.</w:t>
            </w:r>
          </w:p>
        </w:tc>
        <w:tc>
          <w:tcPr>
            <w:tcW w:w="3408" w:type="dxa"/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8F97B31" w14:textId="77777777" w:rsidR="00441C56" w:rsidRDefault="00000000">
            <w:r>
              <w:rPr>
                <w:color w:val="334155"/>
                <w:sz w:val="18"/>
              </w:rPr>
              <w:t>Some local protocols recommend scheduled checks, especially prolactin-raising drugs.</w:t>
            </w:r>
          </w:p>
        </w:tc>
      </w:tr>
      <w:tr w:rsidR="00441C56" w14:paraId="4BF89486" w14:textId="77777777">
        <w:trPr>
          <w:jc w:val="center"/>
        </w:trPr>
        <w:tc>
          <w:tcPr>
            <w:tcW w:w="340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16925A3" w14:textId="77777777" w:rsidR="00441C56" w:rsidRDefault="00000000">
            <w:r>
              <w:rPr>
                <w:color w:val="334155"/>
                <w:sz w:val="18"/>
              </w:rPr>
              <w:t>ECG/QT risk</w:t>
            </w:r>
          </w:p>
        </w:tc>
        <w:tc>
          <w:tcPr>
            <w:tcW w:w="340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9D5C40A" w14:textId="77777777" w:rsidR="00441C56" w:rsidRDefault="00000000">
            <w:r>
              <w:rPr>
                <w:color w:val="334155"/>
                <w:sz w:val="18"/>
              </w:rPr>
              <w:t>Baseline or follow-up ECG if cardiovascular risk, QT-prolonging drugs, electrolyte disturbance, overdose risk or local protocol.</w:t>
            </w:r>
          </w:p>
        </w:tc>
        <w:tc>
          <w:tcPr>
            <w:tcW w:w="340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8CEAE12" w14:textId="77777777" w:rsidR="00441C56" w:rsidRDefault="00000000">
            <w:r>
              <w:rPr>
                <w:color w:val="334155"/>
                <w:sz w:val="18"/>
              </w:rPr>
              <w:t>QTc risk rises with combinations and hypokalaemia.</w:t>
            </w:r>
          </w:p>
        </w:tc>
      </w:tr>
      <w:tr w:rsidR="00441C56" w14:paraId="78BD2910" w14:textId="77777777">
        <w:trPr>
          <w:jc w:val="center"/>
        </w:trPr>
        <w:tc>
          <w:tcPr>
            <w:tcW w:w="3408" w:type="dxa"/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A66A40F" w14:textId="77777777" w:rsidR="00441C56" w:rsidRDefault="00000000">
            <w:r>
              <w:rPr>
                <w:color w:val="334155"/>
                <w:sz w:val="18"/>
              </w:rPr>
              <w:t>Clozapine bloods</w:t>
            </w:r>
          </w:p>
        </w:tc>
        <w:tc>
          <w:tcPr>
            <w:tcW w:w="3408" w:type="dxa"/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EB0A2F2" w14:textId="77777777" w:rsidR="00441C56" w:rsidRDefault="00000000">
            <w:r>
              <w:rPr>
                <w:color w:val="334155"/>
                <w:sz w:val="18"/>
              </w:rPr>
              <w:t>Differential WBC/ANC monitoring usually weekly for 18 weeks, fortnightly to 1 year, then monthly/four-weekly.</w:t>
            </w:r>
          </w:p>
        </w:tc>
        <w:tc>
          <w:tcPr>
            <w:tcW w:w="3408" w:type="dxa"/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9681368" w14:textId="77777777" w:rsidR="00441C56" w:rsidRDefault="00000000">
            <w:r>
              <w:rPr>
                <w:color w:val="334155"/>
                <w:sz w:val="18"/>
              </w:rPr>
              <w:t>Do not issue clozapine outside the monitoring service authorisation. Constipation can be life-threatening.</w:t>
            </w:r>
          </w:p>
        </w:tc>
      </w:tr>
    </w:tbl>
    <w:p w14:paraId="0BDD3211" w14:textId="77777777" w:rsidR="00441C56" w:rsidRDefault="00441C56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441C56" w14:paraId="2160692B" w14:textId="77777777">
        <w:trPr>
          <w:jc w:val="center"/>
        </w:trPr>
        <w:tc>
          <w:tcPr>
            <w:tcW w:w="10224" w:type="dxa"/>
            <w:tcBorders>
              <w:top w:val="single" w:sz="8" w:space="0" w:color="B91C1C"/>
              <w:left w:val="single" w:sz="24" w:space="0" w:color="B91C1C"/>
              <w:bottom w:val="single" w:sz="8" w:space="0" w:color="B91C1C"/>
              <w:right w:val="single" w:sz="8" w:space="0" w:color="B91C1C"/>
            </w:tcBorders>
            <w:shd w:val="clear" w:color="auto" w:fill="FEE2E2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3FD67557" w14:textId="77777777" w:rsidR="00441C56" w:rsidRDefault="00000000">
            <w:r>
              <w:rPr>
                <w:b/>
                <w:color w:val="B91C1C"/>
                <w:sz w:val="23"/>
              </w:rPr>
              <w:t xml:space="preserve">Red flag  </w:t>
            </w:r>
            <w:r>
              <w:rPr>
                <w:color w:val="334155"/>
                <w:sz w:val="20"/>
              </w:rPr>
              <w:t>Neuroleptic malignant syndrome — fever, rigidity, altered consciousness, autonomic instability, raised CK — is a medical emergency. Same-day emergency assessment.</w:t>
            </w:r>
          </w:p>
        </w:tc>
      </w:tr>
    </w:tbl>
    <w:p w14:paraId="0AAF52F1" w14:textId="77777777" w:rsidR="00441C56" w:rsidRDefault="00441C56"/>
    <w:p w14:paraId="030DA37F" w14:textId="77777777" w:rsidR="00441C56" w:rsidRDefault="00000000">
      <w:pPr>
        <w:pStyle w:val="Heading1"/>
      </w:pPr>
      <w:r>
        <w:t>Valproate / semisodium valproate</w:t>
      </w:r>
    </w:p>
    <w:p w14:paraId="3D45FE9A" w14:textId="77777777" w:rsidR="00441C56" w:rsidRDefault="00000000">
      <w:pPr>
        <w:pStyle w:val="ListBullet"/>
      </w:pPr>
      <w:r>
        <w:rPr>
          <w:color w:val="334155"/>
        </w:rPr>
        <w:t>Valproate is subject to strengthened MHRA reproductive-risk controls for patients under 55 years.</w:t>
      </w:r>
    </w:p>
    <w:p w14:paraId="41452E04" w14:textId="77777777" w:rsidR="00441C56" w:rsidRDefault="00000000">
      <w:pPr>
        <w:pStyle w:val="ListBullet"/>
      </w:pPr>
      <w:r>
        <w:rPr>
          <w:color w:val="334155"/>
        </w:rPr>
        <w:t>It should only be prescribed to male or female patients under 55 when two specialists agree that the condition does not respond to other treatments and benefits outweigh risks.</w:t>
      </w:r>
    </w:p>
    <w:p w14:paraId="160338A8" w14:textId="77777777" w:rsidR="00441C56" w:rsidRDefault="00000000">
      <w:pPr>
        <w:pStyle w:val="ListBullet"/>
      </w:pPr>
      <w:r>
        <w:rPr>
          <w:color w:val="334155"/>
        </w:rPr>
        <w:t>Women and girls able to have children must be on the Pregnancy Prevention Programme if valproate is used.</w:t>
      </w:r>
    </w:p>
    <w:p w14:paraId="14A13969" w14:textId="77777777" w:rsidR="00441C56" w:rsidRDefault="00000000">
      <w:pPr>
        <w:pStyle w:val="ListBullet"/>
      </w:pPr>
      <w:r>
        <w:rPr>
          <w:color w:val="334155"/>
        </w:rPr>
        <w:t>Male patients under 55 starting valproate require a male risk acknowledgement process; men and partners should use effective contraception as a precaution around conception.</w:t>
      </w:r>
    </w:p>
    <w:p w14:paraId="0824235A" w14:textId="77777777" w:rsidR="00441C56" w:rsidRDefault="00000000">
      <w:pPr>
        <w:pStyle w:val="ListBullet"/>
      </w:pPr>
      <w:r>
        <w:rPr>
          <w:color w:val="334155"/>
        </w:rPr>
        <w:t>Do not stop valproate abruptly without specialist advice, but escalate promptly if pregnancy is planned or suspected.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441C56" w14:paraId="0432A894" w14:textId="77777777">
        <w:trPr>
          <w:jc w:val="center"/>
        </w:trPr>
        <w:tc>
          <w:tcPr>
            <w:tcW w:w="10224" w:type="dxa"/>
            <w:tcBorders>
              <w:top w:val="single" w:sz="8" w:space="0" w:color="6D28D9"/>
              <w:left w:val="single" w:sz="24" w:space="0" w:color="6D28D9"/>
              <w:bottom w:val="single" w:sz="8" w:space="0" w:color="6D28D9"/>
              <w:right w:val="single" w:sz="8" w:space="0" w:color="6D28D9"/>
            </w:tcBorders>
            <w:shd w:val="clear" w:color="auto" w:fill="F3E8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6D6CDBA1" w14:textId="77777777" w:rsidR="00441C56" w:rsidRDefault="00000000">
            <w:r>
              <w:rPr>
                <w:b/>
                <w:color w:val="6D28D9"/>
                <w:sz w:val="23"/>
              </w:rPr>
              <w:t xml:space="preserve">AKT exam tip  </w:t>
            </w:r>
            <w:r>
              <w:rPr>
                <w:color w:val="334155"/>
                <w:sz w:val="20"/>
              </w:rPr>
              <w:t>Valproate reproductive harms are not only a pregnancy issue for women. MHRA updates also require counselling and risk acknowledgement for males under 55 starting treatment.</w:t>
            </w:r>
          </w:p>
        </w:tc>
      </w:tr>
    </w:tbl>
    <w:p w14:paraId="2679D743" w14:textId="77777777" w:rsidR="00441C56" w:rsidRDefault="00441C56"/>
    <w:p w14:paraId="2B43E03C" w14:textId="77777777" w:rsidR="00441C56" w:rsidRDefault="00000000">
      <w:pPr>
        <w:pStyle w:val="Heading1"/>
      </w:pPr>
      <w:r>
        <w:lastRenderedPageBreak/>
        <w:t>Antidepressants — monitoring is mostly clinical</w:t>
      </w:r>
    </w:p>
    <w:p w14:paraId="65FE2ECB" w14:textId="77777777" w:rsidR="00441C56" w:rsidRDefault="00000000">
      <w:pPr>
        <w:pStyle w:val="ListBullet"/>
      </w:pPr>
      <w:r>
        <w:rPr>
          <w:color w:val="334155"/>
        </w:rPr>
        <w:t>There is no universal routine blood-test schedule for all antidepressants, but baseline investigations may be useful if symptoms suggest anaemia, thyroid disease, renal/hepatic disease or other physical mimics.</w:t>
      </w:r>
    </w:p>
    <w:p w14:paraId="63560925" w14:textId="77777777" w:rsidR="00441C56" w:rsidRDefault="00000000">
      <w:pPr>
        <w:pStyle w:val="ListBullet"/>
      </w:pPr>
      <w:r>
        <w:rPr>
          <w:color w:val="334155"/>
        </w:rPr>
        <w:t>Monitor mood, function, adherence, adverse effects, suicidality, agitation/restlessness and withdrawal symptoms.</w:t>
      </w:r>
    </w:p>
    <w:p w14:paraId="76A9C3C1" w14:textId="77777777" w:rsidR="00441C56" w:rsidRDefault="00000000">
      <w:pPr>
        <w:pStyle w:val="ListBullet"/>
      </w:pPr>
      <w:r>
        <w:rPr>
          <w:color w:val="334155"/>
        </w:rPr>
        <w:t>Check sodium if older adult, diuretic use, frailty or symptoms of hyponatraemia.</w:t>
      </w:r>
    </w:p>
    <w:p w14:paraId="69C7B1DB" w14:textId="77777777" w:rsidR="00441C56" w:rsidRDefault="00000000">
      <w:pPr>
        <w:pStyle w:val="ListBullet"/>
      </w:pPr>
      <w:r>
        <w:rPr>
          <w:color w:val="334155"/>
        </w:rPr>
        <w:t>ECG/QT caution is important with citalopram/escitalopram, tricyclics, overdose risk, heart disease or other QT-prolonging medicines.</w:t>
      </w:r>
    </w:p>
    <w:p w14:paraId="2CFF0A62" w14:textId="77777777" w:rsidR="00441C56" w:rsidRDefault="00000000">
      <w:pPr>
        <w:pStyle w:val="ListBullet"/>
      </w:pPr>
      <w:r>
        <w:rPr>
          <w:color w:val="334155"/>
        </w:rPr>
        <w:t>Serotonin syndrome is uncommon but important: sweating, tremor, clonus, hyperreflexia, diarrhoea, fever, agitation or confusion.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441C56" w14:paraId="1B8628B9" w14:textId="77777777">
        <w:trPr>
          <w:jc w:val="center"/>
        </w:trPr>
        <w:tc>
          <w:tcPr>
            <w:tcW w:w="10224" w:type="dxa"/>
            <w:tcBorders>
              <w:top w:val="single" w:sz="8" w:space="0" w:color="0F766E"/>
              <w:left w:val="single" w:sz="24" w:space="0" w:color="0F766E"/>
              <w:bottom w:val="single" w:sz="8" w:space="0" w:color="0F766E"/>
              <w:right w:val="single" w:sz="8" w:space="0" w:color="0F766E"/>
            </w:tcBorders>
            <w:shd w:val="clear" w:color="auto" w:fill="E6FFFB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4F3E13B0" w14:textId="77777777" w:rsidR="00441C56" w:rsidRDefault="00000000">
            <w:r>
              <w:rPr>
                <w:b/>
                <w:color w:val="0F766E"/>
                <w:sz w:val="23"/>
              </w:rPr>
              <w:t xml:space="preserve">SCA phrase bank  </w:t>
            </w:r>
            <w:r>
              <w:rPr>
                <w:color w:val="334155"/>
                <w:sz w:val="20"/>
              </w:rPr>
              <w:t>“This medicine has a monitoring plan. If a result is abnormal, we will not just leave it in the system — we will contact you or arrange review.”</w:t>
            </w:r>
          </w:p>
        </w:tc>
      </w:tr>
    </w:tbl>
    <w:p w14:paraId="04D4F643" w14:textId="77777777" w:rsidR="00441C56" w:rsidRDefault="00441C56"/>
    <w:p w14:paraId="78F80C87" w14:textId="77777777" w:rsidR="00441C56" w:rsidRDefault="00000000">
      <w:pPr>
        <w:pStyle w:val="Heading2"/>
      </w:pPr>
      <w:r>
        <w:t>Guidance checked for this July 2026 revision</w:t>
      </w:r>
    </w:p>
    <w:p w14:paraId="5F058CFB" w14:textId="77777777" w:rsidR="00441C56" w:rsidRDefault="00000000">
      <w:pPr>
        <w:pStyle w:val="ListBullet"/>
      </w:pPr>
      <w:r>
        <w:rPr>
          <w:color w:val="475569"/>
          <w:sz w:val="18"/>
        </w:rPr>
        <w:t>NHS Specialist Pharmacy Service: Lithium monitoring — accessed July 2026; bibliography cites NICE CG185 updated 2023, NICE CKS lithium revised September 2024 and BNF online.</w:t>
      </w:r>
    </w:p>
    <w:p w14:paraId="72FE4F6C" w14:textId="77777777" w:rsidR="00441C56" w:rsidRDefault="00000000">
      <w:pPr>
        <w:pStyle w:val="ListBullet"/>
      </w:pPr>
      <w:r>
        <w:rPr>
          <w:color w:val="475569"/>
          <w:sz w:val="18"/>
        </w:rPr>
        <w:t>NHS Specialist Pharmacy Service: Supporting lithium safety across the system — accessed July 2026.</w:t>
      </w:r>
    </w:p>
    <w:p w14:paraId="2139E510" w14:textId="77777777" w:rsidR="00441C56" w:rsidRDefault="00000000">
      <w:pPr>
        <w:pStyle w:val="ListBullet"/>
      </w:pPr>
      <w:r>
        <w:rPr>
          <w:color w:val="475569"/>
          <w:sz w:val="18"/>
        </w:rPr>
        <w:t>NICE CKS psychosis/schizophrenia monitoring — search snippets accessed July 2026; page access limited by UK location controls.</w:t>
      </w:r>
    </w:p>
    <w:p w14:paraId="45154FFC" w14:textId="77777777" w:rsidR="00441C56" w:rsidRDefault="00000000">
      <w:pPr>
        <w:pStyle w:val="ListBullet"/>
      </w:pPr>
      <w:r>
        <w:rPr>
          <w:color w:val="475569"/>
          <w:sz w:val="18"/>
        </w:rPr>
        <w:t>BNF clozapine drug monograph — search result accessed July 2026; BNF page access limited by UK location controls.</w:t>
      </w:r>
    </w:p>
    <w:p w14:paraId="5DAA40B9" w14:textId="77777777" w:rsidR="00441C56" w:rsidRDefault="00000000">
      <w:pPr>
        <w:pStyle w:val="ListBullet"/>
      </w:pPr>
      <w:r>
        <w:rPr>
          <w:color w:val="475569"/>
          <w:sz w:val="18"/>
        </w:rPr>
        <w:t>MHRA/GOV.UK Valproate reproductive risks — includes 2024, February 2025 and June 2025 updates.</w:t>
      </w:r>
    </w:p>
    <w:p w14:paraId="6781F2AA" w14:textId="77777777" w:rsidR="00441C56" w:rsidRDefault="00000000">
      <w:pPr>
        <w:pStyle w:val="ListBullet"/>
      </w:pPr>
      <w:r>
        <w:rPr>
          <w:color w:val="475569"/>
          <w:sz w:val="18"/>
        </w:rPr>
        <w:t>NICE QS80 physical health assessment in psychosis — search result accessed July 2026.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441C56" w14:paraId="6D99AB27" w14:textId="77777777">
        <w:trPr>
          <w:jc w:val="center"/>
        </w:trPr>
        <w:tc>
          <w:tcPr>
            <w:tcW w:w="10224" w:type="dxa"/>
            <w:tcBorders>
              <w:top w:val="single" w:sz="8" w:space="0" w:color="B91C1C"/>
              <w:left w:val="single" w:sz="24" w:space="0" w:color="B91C1C"/>
              <w:bottom w:val="single" w:sz="8" w:space="0" w:color="B91C1C"/>
              <w:right w:val="single" w:sz="8" w:space="0" w:color="B91C1C"/>
            </w:tcBorders>
            <w:shd w:val="clear" w:color="auto" w:fill="FEE2E2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7F474E74" w14:textId="77777777" w:rsidR="00441C56" w:rsidRDefault="00000000">
            <w:r>
              <w:rPr>
                <w:b/>
                <w:color w:val="B91C1C"/>
                <w:sz w:val="23"/>
              </w:rPr>
              <w:t xml:space="preserve">Final safety note  </w:t>
            </w:r>
            <w:r>
              <w:rPr>
                <w:color w:val="334155"/>
                <w:sz w:val="20"/>
              </w:rPr>
              <w:t>Always double check this advice and drug doses with the latest NICE/BNF guidance. This document is for educational purposes only.</w:t>
            </w:r>
          </w:p>
        </w:tc>
      </w:tr>
    </w:tbl>
    <w:p w14:paraId="3B47F07A" w14:textId="77777777" w:rsidR="00441C56" w:rsidRDefault="00441C56"/>
    <w:sectPr w:rsidR="00441C56" w:rsidSect="00034616">
      <w:footerReference w:type="default" r:id="rId9"/>
      <w:pgSz w:w="12240" w:h="15840"/>
      <w:pgMar w:top="792" w:right="1008" w:bottom="93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4E4B6" w14:textId="77777777" w:rsidR="00C757FB" w:rsidRDefault="00C757FB">
      <w:pPr>
        <w:spacing w:after="0" w:line="240" w:lineRule="auto"/>
      </w:pPr>
      <w:r>
        <w:separator/>
      </w:r>
    </w:p>
  </w:endnote>
  <w:endnote w:type="continuationSeparator" w:id="0">
    <w:p w14:paraId="41DFAA60" w14:textId="77777777" w:rsidR="00C757FB" w:rsidRDefault="00C75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94CDB" w14:textId="77777777" w:rsidR="00441C56" w:rsidRDefault="00000000">
    <w:pPr>
      <w:pStyle w:val="Footer"/>
      <w:jc w:val="center"/>
    </w:pPr>
    <w:r>
      <w:rPr>
        <w:color w:val="64748B"/>
        <w:sz w:val="17"/>
      </w:rPr>
      <w:t>A free resource provided by www.bradfordvts.co.uk, Dr Ramesh Mehay, revised 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F206A" w14:textId="77777777" w:rsidR="00C757FB" w:rsidRDefault="00C757FB">
      <w:pPr>
        <w:spacing w:after="0" w:line="240" w:lineRule="auto"/>
      </w:pPr>
      <w:r>
        <w:separator/>
      </w:r>
    </w:p>
  </w:footnote>
  <w:footnote w:type="continuationSeparator" w:id="0">
    <w:p w14:paraId="65A71AAC" w14:textId="77777777" w:rsidR="00C757FB" w:rsidRDefault="00C75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71264959">
    <w:abstractNumId w:val="8"/>
  </w:num>
  <w:num w:numId="2" w16cid:durableId="446049494">
    <w:abstractNumId w:val="6"/>
  </w:num>
  <w:num w:numId="3" w16cid:durableId="1849902845">
    <w:abstractNumId w:val="5"/>
  </w:num>
  <w:num w:numId="4" w16cid:durableId="676419897">
    <w:abstractNumId w:val="4"/>
  </w:num>
  <w:num w:numId="5" w16cid:durableId="849562236">
    <w:abstractNumId w:val="7"/>
  </w:num>
  <w:num w:numId="6" w16cid:durableId="1817797013">
    <w:abstractNumId w:val="3"/>
  </w:num>
  <w:num w:numId="7" w16cid:durableId="941844008">
    <w:abstractNumId w:val="2"/>
  </w:num>
  <w:num w:numId="8" w16cid:durableId="1814634709">
    <w:abstractNumId w:val="1"/>
  </w:num>
  <w:num w:numId="9" w16cid:durableId="1286892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1393"/>
    <w:rsid w:val="0015074B"/>
    <w:rsid w:val="0029639D"/>
    <w:rsid w:val="00326F90"/>
    <w:rsid w:val="00441C56"/>
    <w:rsid w:val="008C229E"/>
    <w:rsid w:val="00AA1D8D"/>
    <w:rsid w:val="00B47730"/>
    <w:rsid w:val="00C757F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E4600F"/>
  <w14:defaultImageDpi w14:val="300"/>
  <w15:docId w15:val="{752D254E-C113-44D3-A213-13CCB950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Calibri" w:eastAsia="Calibri" w:hAnsi="Calibri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color w:val="2F5D8C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/>
      <w:outlineLvl w:val="1"/>
    </w:pPr>
    <w:rPr>
      <w:rFonts w:asciiTheme="majorHAnsi" w:eastAsiaTheme="majorEastAsia" w:hAnsiTheme="majorHAnsi" w:cstheme="majorBidi"/>
      <w:b/>
      <w:bCs/>
      <w:color w:val="0F766E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80"/>
      <w:outlineLvl w:val="2"/>
    </w:pPr>
    <w:rPr>
      <w:rFonts w:asciiTheme="majorHAnsi" w:eastAsiaTheme="majorEastAsia" w:hAnsiTheme="majorHAnsi" w:cstheme="majorBidi"/>
      <w:b/>
      <w:bCs/>
      <w:color w:val="334155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925</Words>
  <Characters>5802</Characters>
  <Application>Microsoft Office Word</Application>
  <DocSecurity>0</DocSecurity>
  <Lines>175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Ramesh Mehay</cp:lastModifiedBy>
  <cp:revision>2</cp:revision>
  <dcterms:created xsi:type="dcterms:W3CDTF">2013-12-23T23:15:00Z</dcterms:created>
  <dcterms:modified xsi:type="dcterms:W3CDTF">2026-07-04T15:28:00Z</dcterms:modified>
  <cp:category/>
</cp:coreProperties>
</file>