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24"/>
      </w:tblGrid>
      <w:tr w:rsidR="00672514" w14:paraId="05EAEAEB" w14:textId="77777777">
        <w:trPr>
          <w:jc w:val="center"/>
        </w:trPr>
        <w:tc>
          <w:tcPr>
            <w:tcW w:w="10224" w:type="dxa"/>
            <w:tcBorders>
              <w:top w:val="nil"/>
              <w:left w:val="nil"/>
              <w:bottom w:val="nil"/>
              <w:right w:val="nil"/>
            </w:tcBorders>
            <w:shd w:val="clear" w:color="auto" w:fill="E87420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30FD7128" w14:textId="77777777" w:rsidR="00672514" w:rsidRDefault="00000000">
            <w:pPr>
              <w:jc w:val="center"/>
            </w:pPr>
            <w:r>
              <w:rPr>
                <w:b/>
                <w:color w:val="FFFFFF"/>
                <w:sz w:val="22"/>
              </w:rPr>
              <w:t>BRADFORD VTS TEACHING AIDS</w:t>
            </w:r>
          </w:p>
        </w:tc>
      </w:tr>
      <w:tr w:rsidR="00672514" w14:paraId="43D5635F" w14:textId="77777777">
        <w:trPr>
          <w:jc w:val="center"/>
        </w:trPr>
        <w:tc>
          <w:tcPr>
            <w:tcW w:w="10224" w:type="dxa"/>
            <w:tcBorders>
              <w:top w:val="nil"/>
              <w:left w:val="nil"/>
              <w:bottom w:val="nil"/>
              <w:right w:val="nil"/>
            </w:tcBorders>
            <w:shd w:val="clear" w:color="auto" w:fill="E87420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2042F59E" w14:textId="77777777" w:rsidR="00672514" w:rsidRDefault="00000000">
            <w:pPr>
              <w:jc w:val="center"/>
            </w:pPr>
            <w:r>
              <w:rPr>
                <w:b/>
                <w:color w:val="FFFFFF"/>
                <w:sz w:val="76"/>
              </w:rPr>
              <w:t>Psychiatry Core Curriculum</w:t>
            </w:r>
          </w:p>
        </w:tc>
      </w:tr>
      <w:tr w:rsidR="00672514" w14:paraId="25410B90" w14:textId="77777777">
        <w:trPr>
          <w:jc w:val="center"/>
        </w:trPr>
        <w:tc>
          <w:tcPr>
            <w:tcW w:w="10224" w:type="dxa"/>
            <w:tcBorders>
              <w:top w:val="nil"/>
              <w:left w:val="nil"/>
              <w:bottom w:val="nil"/>
              <w:right w:val="nil"/>
            </w:tcBorders>
            <w:shd w:val="clear" w:color="auto" w:fill="E87420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6C521D75" w14:textId="77777777" w:rsidR="00672514" w:rsidRDefault="00000000">
            <w:pPr>
              <w:jc w:val="center"/>
            </w:pPr>
            <w:r>
              <w:rPr>
                <w:i/>
                <w:color w:val="FFFFFF"/>
                <w:sz w:val="26"/>
              </w:rPr>
              <w:t>A GP training roadmap · Bradford VTS · July 2026</w:t>
            </w:r>
          </w:p>
        </w:tc>
      </w:tr>
    </w:tbl>
    <w:p w14:paraId="4B65691B" w14:textId="77777777" w:rsidR="00672514" w:rsidRDefault="00672514"/>
    <w:p w14:paraId="0C7E09D4" w14:textId="77777777" w:rsidR="00672514" w:rsidRDefault="00000000">
      <w:pPr>
        <w:jc w:val="center"/>
      </w:pPr>
      <w:r>
        <w:rPr>
          <w:noProof/>
        </w:rPr>
        <w:drawing>
          <wp:inline distT="0" distB="0" distL="0" distR="0" wp14:anchorId="04B2DA90" wp14:editId="5BBE3568">
            <wp:extent cx="4524375" cy="2547056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ntal_health_hero_5.jpe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36355" cy="255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BB566" w14:textId="77777777" w:rsidR="00672514" w:rsidRDefault="00000000">
      <w:pPr>
        <w:jc w:val="center"/>
      </w:pPr>
      <w:r>
        <w:rPr>
          <w:i/>
          <w:color w:val="64748B"/>
          <w:sz w:val="19"/>
        </w:rPr>
        <w:t>A modernised curriculum map for GP trainees: what to know, what to practise, and how psychiatry shows up in AKT, SCA and everyday primary care.</w:t>
      </w:r>
    </w:p>
    <w:p w14:paraId="257AEA6A" w14:textId="77777777" w:rsidR="00672514" w:rsidRPr="00041B73" w:rsidRDefault="00672514">
      <w:pPr>
        <w:rPr>
          <w:sz w:val="2"/>
          <w:szCs w:val="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24"/>
      </w:tblGrid>
      <w:tr w:rsidR="00672514" w14:paraId="785A8929" w14:textId="77777777">
        <w:trPr>
          <w:jc w:val="center"/>
        </w:trPr>
        <w:tc>
          <w:tcPr>
            <w:tcW w:w="10224" w:type="dxa"/>
            <w:tcBorders>
              <w:top w:val="single" w:sz="8" w:space="0" w:color="2F5D8C"/>
              <w:left w:val="single" w:sz="24" w:space="0" w:color="2F5D8C"/>
              <w:bottom w:val="single" w:sz="8" w:space="0" w:color="2F5D8C"/>
              <w:right w:val="single" w:sz="8" w:space="0" w:color="2F5D8C"/>
            </w:tcBorders>
            <w:shd w:val="clear" w:color="auto" w:fill="EAF3FA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777FAE9C" w14:textId="77777777" w:rsidR="00672514" w:rsidRDefault="00000000">
            <w:r>
              <w:rPr>
                <w:b/>
                <w:color w:val="2F5D8C"/>
                <w:sz w:val="23"/>
              </w:rPr>
              <w:t xml:space="preserve">Clinical </w:t>
            </w:r>
            <w:proofErr w:type="gramStart"/>
            <w:r>
              <w:rPr>
                <w:b/>
                <w:color w:val="2F5D8C"/>
                <w:sz w:val="23"/>
              </w:rPr>
              <w:t xml:space="preserve">currency  </w:t>
            </w:r>
            <w:r>
              <w:rPr>
                <w:color w:val="334155"/>
                <w:sz w:val="20"/>
              </w:rPr>
              <w:t>The</w:t>
            </w:r>
            <w:proofErr w:type="gramEnd"/>
            <w:r>
              <w:rPr>
                <w:color w:val="334155"/>
                <w:sz w:val="20"/>
              </w:rPr>
              <w:t xml:space="preserve"> source document was based on a 1978 RCGP/RCPsych working party and included outdated legal references. This version is reframed against the current RCGP mental health curriculum topic guide accessed July 2026, while preserving the educational intent: future GPs need relationship skills, psychiatric assessment skills, risk skills, prescribing awareness and collaborative working.</w:t>
            </w:r>
          </w:p>
        </w:tc>
      </w:tr>
    </w:tbl>
    <w:p w14:paraId="444CD8B7" w14:textId="77777777" w:rsidR="00672514" w:rsidRPr="00041B73" w:rsidRDefault="00672514">
      <w:pPr>
        <w:rPr>
          <w:sz w:val="2"/>
          <w:szCs w:val="2"/>
        </w:rPr>
      </w:pPr>
    </w:p>
    <w:p w14:paraId="5322B0D5" w14:textId="77777777" w:rsidR="00672514" w:rsidRDefault="00000000">
      <w:pPr>
        <w:pStyle w:val="Heading1"/>
      </w:pPr>
      <w:r>
        <w:t>Why psychiatry is central to general practice</w:t>
      </w:r>
    </w:p>
    <w:p w14:paraId="74E6B8BD" w14:textId="77777777" w:rsidR="00672514" w:rsidRDefault="00000000">
      <w:pPr>
        <w:pStyle w:val="ListBullet"/>
      </w:pPr>
      <w:r>
        <w:rPr>
          <w:color w:val="334155"/>
        </w:rPr>
        <w:t>Mental health presentations are common, complex and often mixed with physical symptoms, social stress, trauma and long-term conditions.</w:t>
      </w:r>
    </w:p>
    <w:p w14:paraId="524A10F0" w14:textId="77777777" w:rsidR="00672514" w:rsidRDefault="00000000">
      <w:pPr>
        <w:pStyle w:val="ListBullet"/>
      </w:pPr>
      <w:r>
        <w:rPr>
          <w:color w:val="334155"/>
        </w:rPr>
        <w:t>GPs provide first-contact care, continuity, diagnosis, medication review, safety-netting, physical health monitoring and coordination with community services.</w:t>
      </w:r>
    </w:p>
    <w:p w14:paraId="7E789EC6" w14:textId="77777777" w:rsidR="00672514" w:rsidRDefault="00000000">
      <w:pPr>
        <w:pStyle w:val="ListBullet"/>
      </w:pPr>
      <w:r>
        <w:rPr>
          <w:color w:val="334155"/>
        </w:rPr>
        <w:t>Good psychiatry in primary care is not just recognising depression. It is understanding the whole person, family, culture, risk and function.</w:t>
      </w:r>
    </w:p>
    <w:p w14:paraId="74701F17" w14:textId="77777777" w:rsidR="00672514" w:rsidRDefault="00000000">
      <w:pPr>
        <w:pStyle w:val="ListBullet"/>
      </w:pPr>
      <w:r>
        <w:rPr>
          <w:color w:val="334155"/>
        </w:rPr>
        <w:t>The modern curriculum is capability-based: communication, data gathering, clinical management, complexity, community orientation, professionalism and team working.</w:t>
      </w:r>
    </w:p>
    <w:p w14:paraId="0C65BDA7" w14:textId="77777777" w:rsidR="00672514" w:rsidRDefault="00000000">
      <w:pPr>
        <w:pStyle w:val="Heading2"/>
      </w:pPr>
      <w:r>
        <w:lastRenderedPageBreak/>
        <w:t>Curriculum spine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045"/>
        <w:gridCol w:w="2045"/>
        <w:gridCol w:w="2045"/>
        <w:gridCol w:w="2045"/>
        <w:gridCol w:w="2045"/>
      </w:tblGrid>
      <w:tr w:rsidR="00672514" w14:paraId="6FFEB0B0" w14:textId="77777777">
        <w:trPr>
          <w:jc w:val="center"/>
        </w:trPr>
        <w:tc>
          <w:tcPr>
            <w:tcW w:w="2045" w:type="dxa"/>
            <w:tcBorders>
              <w:top w:val="single" w:sz="6" w:space="0" w:color="0F766E"/>
              <w:left w:val="single" w:sz="6" w:space="0" w:color="0F766E"/>
              <w:bottom w:val="single" w:sz="6" w:space="0" w:color="0F766E"/>
              <w:right w:val="single" w:sz="6" w:space="0" w:color="0F766E"/>
            </w:tcBorders>
            <w:shd w:val="clear" w:color="auto" w:fill="E6FFFB"/>
            <w:tcMar>
              <w:top w:w="150" w:type="dxa"/>
              <w:left w:w="100" w:type="dxa"/>
              <w:bottom w:w="150" w:type="dxa"/>
              <w:right w:w="100" w:type="dxa"/>
            </w:tcMar>
          </w:tcPr>
          <w:p w14:paraId="362972BB" w14:textId="77777777" w:rsidR="00672514" w:rsidRDefault="00000000">
            <w:pPr>
              <w:jc w:val="center"/>
            </w:pPr>
            <w:r>
              <w:rPr>
                <w:b/>
                <w:color w:val="334155"/>
                <w:sz w:val="19"/>
              </w:rPr>
              <w:t>Relationship</w:t>
            </w:r>
          </w:p>
        </w:tc>
        <w:tc>
          <w:tcPr>
            <w:tcW w:w="2045" w:type="dxa"/>
            <w:tcBorders>
              <w:top w:val="single" w:sz="6" w:space="0" w:color="0F766E"/>
              <w:left w:val="single" w:sz="6" w:space="0" w:color="0F766E"/>
              <w:bottom w:val="single" w:sz="6" w:space="0" w:color="0F766E"/>
              <w:right w:val="single" w:sz="6" w:space="0" w:color="0F766E"/>
            </w:tcBorders>
            <w:shd w:val="clear" w:color="auto" w:fill="F3E8FF"/>
            <w:tcMar>
              <w:top w:w="150" w:type="dxa"/>
              <w:left w:w="100" w:type="dxa"/>
              <w:bottom w:w="150" w:type="dxa"/>
              <w:right w:w="100" w:type="dxa"/>
            </w:tcMar>
          </w:tcPr>
          <w:p w14:paraId="6F233936" w14:textId="77777777" w:rsidR="00672514" w:rsidRDefault="00000000">
            <w:pPr>
              <w:jc w:val="center"/>
            </w:pPr>
            <w:r>
              <w:rPr>
                <w:b/>
                <w:color w:val="334155"/>
                <w:sz w:val="19"/>
              </w:rPr>
              <w:t>Assessment</w:t>
            </w:r>
          </w:p>
        </w:tc>
        <w:tc>
          <w:tcPr>
            <w:tcW w:w="2045" w:type="dxa"/>
            <w:tcBorders>
              <w:top w:val="single" w:sz="6" w:space="0" w:color="0F766E"/>
              <w:left w:val="single" w:sz="6" w:space="0" w:color="0F766E"/>
              <w:bottom w:val="single" w:sz="6" w:space="0" w:color="0F766E"/>
              <w:right w:val="single" w:sz="6" w:space="0" w:color="0F766E"/>
            </w:tcBorders>
            <w:shd w:val="clear" w:color="auto" w:fill="E6FFFB"/>
            <w:tcMar>
              <w:top w:w="150" w:type="dxa"/>
              <w:left w:w="100" w:type="dxa"/>
              <w:bottom w:w="150" w:type="dxa"/>
              <w:right w:w="100" w:type="dxa"/>
            </w:tcMar>
          </w:tcPr>
          <w:p w14:paraId="3556BF2F" w14:textId="77777777" w:rsidR="00672514" w:rsidRDefault="00000000">
            <w:pPr>
              <w:jc w:val="center"/>
            </w:pPr>
            <w:r>
              <w:rPr>
                <w:b/>
                <w:color w:val="334155"/>
                <w:sz w:val="19"/>
              </w:rPr>
              <w:t>Formulation</w:t>
            </w:r>
          </w:p>
        </w:tc>
        <w:tc>
          <w:tcPr>
            <w:tcW w:w="2045" w:type="dxa"/>
            <w:tcBorders>
              <w:top w:val="single" w:sz="6" w:space="0" w:color="0F766E"/>
              <w:left w:val="single" w:sz="6" w:space="0" w:color="0F766E"/>
              <w:bottom w:val="single" w:sz="6" w:space="0" w:color="0F766E"/>
              <w:right w:val="single" w:sz="6" w:space="0" w:color="0F766E"/>
            </w:tcBorders>
            <w:shd w:val="clear" w:color="auto" w:fill="F3E8FF"/>
            <w:tcMar>
              <w:top w:w="150" w:type="dxa"/>
              <w:left w:w="100" w:type="dxa"/>
              <w:bottom w:w="150" w:type="dxa"/>
              <w:right w:w="100" w:type="dxa"/>
            </w:tcMar>
          </w:tcPr>
          <w:p w14:paraId="5BF13D92" w14:textId="77777777" w:rsidR="00672514" w:rsidRDefault="00000000">
            <w:pPr>
              <w:jc w:val="center"/>
            </w:pPr>
            <w:r>
              <w:rPr>
                <w:b/>
                <w:color w:val="334155"/>
                <w:sz w:val="19"/>
              </w:rPr>
              <w:t>Management</w:t>
            </w:r>
          </w:p>
        </w:tc>
        <w:tc>
          <w:tcPr>
            <w:tcW w:w="2045" w:type="dxa"/>
            <w:tcBorders>
              <w:top w:val="single" w:sz="6" w:space="0" w:color="0F766E"/>
              <w:left w:val="single" w:sz="6" w:space="0" w:color="0F766E"/>
              <w:bottom w:val="single" w:sz="6" w:space="0" w:color="0F766E"/>
              <w:right w:val="single" w:sz="6" w:space="0" w:color="0F766E"/>
            </w:tcBorders>
            <w:shd w:val="clear" w:color="auto" w:fill="E6FFFB"/>
            <w:tcMar>
              <w:top w:w="150" w:type="dxa"/>
              <w:left w:w="100" w:type="dxa"/>
              <w:bottom w:w="150" w:type="dxa"/>
              <w:right w:w="100" w:type="dxa"/>
            </w:tcMar>
          </w:tcPr>
          <w:p w14:paraId="50D3FF87" w14:textId="77777777" w:rsidR="00672514" w:rsidRDefault="00000000">
            <w:pPr>
              <w:jc w:val="center"/>
            </w:pPr>
            <w:r>
              <w:rPr>
                <w:b/>
                <w:color w:val="334155"/>
                <w:sz w:val="19"/>
              </w:rPr>
              <w:t>Review and safety</w:t>
            </w:r>
          </w:p>
        </w:tc>
      </w:tr>
    </w:tbl>
    <w:p w14:paraId="18CD3731" w14:textId="77777777" w:rsidR="00672514" w:rsidRDefault="00672514"/>
    <w:p w14:paraId="13CB11F8" w14:textId="77777777" w:rsidR="00672514" w:rsidRDefault="00000000">
      <w:pPr>
        <w:pStyle w:val="Heading1"/>
      </w:pPr>
      <w:r>
        <w:t>Core capabilities for GP trainees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112"/>
        <w:gridCol w:w="5112"/>
      </w:tblGrid>
      <w:tr w:rsidR="00672514" w14:paraId="5911B2B1" w14:textId="77777777">
        <w:trPr>
          <w:tblHeader/>
          <w:jc w:val="center"/>
        </w:trPr>
        <w:tc>
          <w:tcPr>
            <w:tcW w:w="5112" w:type="dxa"/>
            <w:shd w:val="clear" w:color="auto" w:fill="2F5D8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D0F4A" w14:textId="77777777" w:rsidR="00672514" w:rsidRDefault="00000000">
            <w:pPr>
              <w:jc w:val="center"/>
            </w:pPr>
            <w:r>
              <w:rPr>
                <w:b/>
                <w:color w:val="FFFFFF"/>
                <w:sz w:val="19"/>
              </w:rPr>
              <w:t>Capability area</w:t>
            </w:r>
          </w:p>
        </w:tc>
        <w:tc>
          <w:tcPr>
            <w:tcW w:w="5112" w:type="dxa"/>
            <w:shd w:val="clear" w:color="auto" w:fill="2F5D8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06C91" w14:textId="77777777" w:rsidR="00672514" w:rsidRDefault="00000000">
            <w:pPr>
              <w:jc w:val="center"/>
            </w:pPr>
            <w:r>
              <w:rPr>
                <w:b/>
                <w:color w:val="FFFFFF"/>
                <w:sz w:val="19"/>
              </w:rPr>
              <w:t>What the trainee should be able to do</w:t>
            </w:r>
          </w:p>
        </w:tc>
      </w:tr>
      <w:tr w:rsidR="00672514" w14:paraId="6A94BD7A" w14:textId="77777777">
        <w:trPr>
          <w:jc w:val="center"/>
        </w:trPr>
        <w:tc>
          <w:tcPr>
            <w:tcW w:w="5112" w:type="dxa"/>
            <w:shd w:val="clear" w:color="auto" w:fill="F8FAFC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7011D19" w14:textId="77777777" w:rsidR="00672514" w:rsidRDefault="00000000">
            <w:r>
              <w:rPr>
                <w:color w:val="334155"/>
                <w:sz w:val="18"/>
              </w:rPr>
              <w:t>Therapeutic relationship</w:t>
            </w:r>
          </w:p>
        </w:tc>
        <w:tc>
          <w:tcPr>
            <w:tcW w:w="5112" w:type="dxa"/>
            <w:shd w:val="clear" w:color="auto" w:fill="F8FAFC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0C61808" w14:textId="77777777" w:rsidR="00672514" w:rsidRDefault="00000000">
            <w:r>
              <w:rPr>
                <w:color w:val="334155"/>
                <w:sz w:val="18"/>
              </w:rPr>
              <w:t>Build trust, listen actively, recognise cues, validate distress and explain mental health problems without stigma.</w:t>
            </w:r>
          </w:p>
        </w:tc>
      </w:tr>
      <w:tr w:rsidR="00672514" w14:paraId="024CE7AB" w14:textId="77777777">
        <w:trPr>
          <w:jc w:val="center"/>
        </w:trPr>
        <w:tc>
          <w:tcPr>
            <w:tcW w:w="5112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735D19A" w14:textId="77777777" w:rsidR="00672514" w:rsidRDefault="00000000">
            <w:r>
              <w:rPr>
                <w:color w:val="334155"/>
                <w:sz w:val="18"/>
              </w:rPr>
              <w:t>Whole-person assessment</w:t>
            </w:r>
          </w:p>
        </w:tc>
        <w:tc>
          <w:tcPr>
            <w:tcW w:w="5112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6B6EA72" w14:textId="77777777" w:rsidR="00672514" w:rsidRDefault="00000000">
            <w:r>
              <w:rPr>
                <w:color w:val="334155"/>
                <w:sz w:val="18"/>
              </w:rPr>
              <w:t>Explore biological, psychological, social, cultural, developmental and family factors.</w:t>
            </w:r>
          </w:p>
        </w:tc>
      </w:tr>
      <w:tr w:rsidR="00672514" w14:paraId="3C93B6EB" w14:textId="77777777">
        <w:trPr>
          <w:jc w:val="center"/>
        </w:trPr>
        <w:tc>
          <w:tcPr>
            <w:tcW w:w="5112" w:type="dxa"/>
            <w:shd w:val="clear" w:color="auto" w:fill="F8FAFC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B602CD6" w14:textId="77777777" w:rsidR="00672514" w:rsidRDefault="00000000">
            <w:r>
              <w:rPr>
                <w:color w:val="334155"/>
                <w:sz w:val="18"/>
              </w:rPr>
              <w:t>Psychiatric history and MSE</w:t>
            </w:r>
          </w:p>
        </w:tc>
        <w:tc>
          <w:tcPr>
            <w:tcW w:w="5112" w:type="dxa"/>
            <w:shd w:val="clear" w:color="auto" w:fill="F8FAFC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3A503E9" w14:textId="77777777" w:rsidR="00672514" w:rsidRDefault="00000000">
            <w:r>
              <w:rPr>
                <w:color w:val="334155"/>
                <w:sz w:val="18"/>
              </w:rPr>
              <w:t>Take a focused psychiatric history, perform mental state examination and present a concise formulation.</w:t>
            </w:r>
          </w:p>
        </w:tc>
      </w:tr>
      <w:tr w:rsidR="00672514" w14:paraId="76448212" w14:textId="77777777">
        <w:trPr>
          <w:jc w:val="center"/>
        </w:trPr>
        <w:tc>
          <w:tcPr>
            <w:tcW w:w="5112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9DD34D5" w14:textId="77777777" w:rsidR="00672514" w:rsidRDefault="00000000">
            <w:r>
              <w:rPr>
                <w:color w:val="334155"/>
                <w:sz w:val="18"/>
              </w:rPr>
              <w:t>Risk formulation</w:t>
            </w:r>
          </w:p>
        </w:tc>
        <w:tc>
          <w:tcPr>
            <w:tcW w:w="5112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6409298" w14:textId="77777777" w:rsidR="00672514" w:rsidRDefault="00000000">
            <w:r>
              <w:rPr>
                <w:color w:val="334155"/>
                <w:sz w:val="18"/>
              </w:rPr>
              <w:t>Assess self-harm, suicide, harm to others, vulnerability, safeguarding and protective factors without relying on crude risk labels.</w:t>
            </w:r>
          </w:p>
        </w:tc>
      </w:tr>
      <w:tr w:rsidR="00672514" w14:paraId="7078CBD9" w14:textId="77777777">
        <w:trPr>
          <w:jc w:val="center"/>
        </w:trPr>
        <w:tc>
          <w:tcPr>
            <w:tcW w:w="5112" w:type="dxa"/>
            <w:shd w:val="clear" w:color="auto" w:fill="F8FAFC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D3ED6DD" w14:textId="77777777" w:rsidR="00672514" w:rsidRDefault="00000000">
            <w:r>
              <w:rPr>
                <w:color w:val="334155"/>
                <w:sz w:val="18"/>
              </w:rPr>
              <w:t>Diagnosis and differential</w:t>
            </w:r>
          </w:p>
        </w:tc>
        <w:tc>
          <w:tcPr>
            <w:tcW w:w="5112" w:type="dxa"/>
            <w:shd w:val="clear" w:color="auto" w:fill="F8FAFC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EC5AC89" w14:textId="77777777" w:rsidR="00672514" w:rsidRDefault="00000000">
            <w:r>
              <w:rPr>
                <w:color w:val="334155"/>
                <w:sz w:val="18"/>
              </w:rPr>
              <w:t>Recognise common, severe, atypical and physical mimics of mental illness.</w:t>
            </w:r>
          </w:p>
        </w:tc>
      </w:tr>
      <w:tr w:rsidR="00672514" w14:paraId="5F9C0F76" w14:textId="77777777">
        <w:trPr>
          <w:jc w:val="center"/>
        </w:trPr>
        <w:tc>
          <w:tcPr>
            <w:tcW w:w="5112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53139FE" w14:textId="77777777" w:rsidR="00672514" w:rsidRDefault="00000000">
            <w:r>
              <w:rPr>
                <w:color w:val="334155"/>
                <w:sz w:val="18"/>
              </w:rPr>
              <w:t>Prescribing and deprescribing</w:t>
            </w:r>
          </w:p>
        </w:tc>
        <w:tc>
          <w:tcPr>
            <w:tcW w:w="5112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C8AB059" w14:textId="77777777" w:rsidR="00672514" w:rsidRDefault="00000000">
            <w:r>
              <w:rPr>
                <w:color w:val="334155"/>
                <w:sz w:val="18"/>
              </w:rPr>
              <w:t>Discuss benefits, adverse effects, interactions, monitoring, withdrawal and shared decisions around psychotropics.</w:t>
            </w:r>
          </w:p>
        </w:tc>
      </w:tr>
      <w:tr w:rsidR="00672514" w14:paraId="62265F3E" w14:textId="77777777">
        <w:trPr>
          <w:jc w:val="center"/>
        </w:trPr>
        <w:tc>
          <w:tcPr>
            <w:tcW w:w="5112" w:type="dxa"/>
            <w:shd w:val="clear" w:color="auto" w:fill="F8FAFC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10A0680" w14:textId="77777777" w:rsidR="00672514" w:rsidRDefault="00000000">
            <w:r>
              <w:rPr>
                <w:color w:val="334155"/>
                <w:sz w:val="18"/>
              </w:rPr>
              <w:t>Psychological approaches</w:t>
            </w:r>
          </w:p>
        </w:tc>
        <w:tc>
          <w:tcPr>
            <w:tcW w:w="5112" w:type="dxa"/>
            <w:shd w:val="clear" w:color="auto" w:fill="F8FAFC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8A80DCD" w14:textId="77777777" w:rsidR="00672514" w:rsidRDefault="00000000">
            <w:r>
              <w:rPr>
                <w:color w:val="334155"/>
                <w:sz w:val="18"/>
              </w:rPr>
              <w:t>Explain and signpost CBT, counselling, trauma-focused therapies, family therapy, EMDR and social prescribing where appropriate.</w:t>
            </w:r>
          </w:p>
        </w:tc>
      </w:tr>
      <w:tr w:rsidR="00672514" w14:paraId="30A0A74D" w14:textId="77777777">
        <w:trPr>
          <w:jc w:val="center"/>
        </w:trPr>
        <w:tc>
          <w:tcPr>
            <w:tcW w:w="5112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520B6F2" w14:textId="77777777" w:rsidR="00672514" w:rsidRDefault="00000000">
            <w:r>
              <w:rPr>
                <w:color w:val="334155"/>
                <w:sz w:val="18"/>
              </w:rPr>
              <w:t>Collaborative working</w:t>
            </w:r>
          </w:p>
        </w:tc>
        <w:tc>
          <w:tcPr>
            <w:tcW w:w="5112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3175190" w14:textId="77777777" w:rsidR="00672514" w:rsidRDefault="00000000">
            <w:r>
              <w:rPr>
                <w:color w:val="334155"/>
                <w:sz w:val="18"/>
              </w:rPr>
              <w:t>Work with CMHTs, crisis teams, social care, CAMHS, Talking Therapies, voluntary sector, safeguarding and carers.</w:t>
            </w:r>
          </w:p>
        </w:tc>
      </w:tr>
      <w:tr w:rsidR="00672514" w14:paraId="02D6A759" w14:textId="77777777">
        <w:trPr>
          <w:jc w:val="center"/>
        </w:trPr>
        <w:tc>
          <w:tcPr>
            <w:tcW w:w="5112" w:type="dxa"/>
            <w:shd w:val="clear" w:color="auto" w:fill="F8FAFC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E3F1257" w14:textId="77777777" w:rsidR="00672514" w:rsidRDefault="00000000">
            <w:r>
              <w:rPr>
                <w:color w:val="334155"/>
                <w:sz w:val="18"/>
              </w:rPr>
              <w:t>Legal and ethical practice</w:t>
            </w:r>
          </w:p>
        </w:tc>
        <w:tc>
          <w:tcPr>
            <w:tcW w:w="5112" w:type="dxa"/>
            <w:shd w:val="clear" w:color="auto" w:fill="F8FAFC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4AF4428" w14:textId="77777777" w:rsidR="00672514" w:rsidRDefault="00000000">
            <w:r>
              <w:rPr>
                <w:color w:val="334155"/>
                <w:sz w:val="18"/>
              </w:rPr>
              <w:t>Understand capacity, consent, confidentiality, safeguarding and Mental Health Act principles, noting UK jurisdiction differences.</w:t>
            </w:r>
          </w:p>
        </w:tc>
      </w:tr>
      <w:tr w:rsidR="00672514" w14:paraId="39EC7B6C" w14:textId="77777777">
        <w:trPr>
          <w:jc w:val="center"/>
        </w:trPr>
        <w:tc>
          <w:tcPr>
            <w:tcW w:w="5112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FDEBBB3" w14:textId="77777777" w:rsidR="00672514" w:rsidRDefault="00000000">
            <w:r>
              <w:rPr>
                <w:color w:val="334155"/>
                <w:sz w:val="18"/>
              </w:rPr>
              <w:t>Physical health integration</w:t>
            </w:r>
          </w:p>
        </w:tc>
        <w:tc>
          <w:tcPr>
            <w:tcW w:w="5112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ED3AEFA" w14:textId="77777777" w:rsidR="00672514" w:rsidRDefault="00000000">
            <w:r>
              <w:rPr>
                <w:color w:val="334155"/>
                <w:sz w:val="18"/>
              </w:rPr>
              <w:t>Avoid diagnostic overshadowing; monitor severe mental illness physical health and medication harms.</w:t>
            </w:r>
          </w:p>
        </w:tc>
      </w:tr>
    </w:tbl>
    <w:p w14:paraId="4047A677" w14:textId="77777777" w:rsidR="00672514" w:rsidRDefault="00672514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24"/>
      </w:tblGrid>
      <w:tr w:rsidR="00672514" w14:paraId="3B93E67D" w14:textId="77777777">
        <w:trPr>
          <w:jc w:val="center"/>
        </w:trPr>
        <w:tc>
          <w:tcPr>
            <w:tcW w:w="10224" w:type="dxa"/>
            <w:tcBorders>
              <w:top w:val="single" w:sz="8" w:space="0" w:color="6D28D9"/>
              <w:left w:val="single" w:sz="24" w:space="0" w:color="6D28D9"/>
              <w:bottom w:val="single" w:sz="8" w:space="0" w:color="6D28D9"/>
              <w:right w:val="single" w:sz="8" w:space="0" w:color="6D28D9"/>
            </w:tcBorders>
            <w:shd w:val="clear" w:color="auto" w:fill="F3E8FF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17CA00F8" w14:textId="77777777" w:rsidR="00672514" w:rsidRDefault="00000000">
            <w:r>
              <w:rPr>
                <w:b/>
                <w:color w:val="6D28D9"/>
                <w:sz w:val="23"/>
              </w:rPr>
              <w:t xml:space="preserve">AKT exam tip  </w:t>
            </w:r>
            <w:r>
              <w:rPr>
                <w:color w:val="334155"/>
                <w:sz w:val="20"/>
              </w:rPr>
              <w:t>Mental health AKT questions often test thresholds: suicide/self-harm assessment principles, perinatal red flags, psychosis, bipolar disorder, medication adverse effects, interactions and physical health monitoring.</w:t>
            </w:r>
          </w:p>
        </w:tc>
      </w:tr>
    </w:tbl>
    <w:p w14:paraId="33FE0C52" w14:textId="77777777" w:rsidR="00672514" w:rsidRDefault="00672514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24"/>
      </w:tblGrid>
      <w:tr w:rsidR="00672514" w14:paraId="04F9E796" w14:textId="77777777">
        <w:trPr>
          <w:jc w:val="center"/>
        </w:trPr>
        <w:tc>
          <w:tcPr>
            <w:tcW w:w="10224" w:type="dxa"/>
            <w:tcBorders>
              <w:top w:val="single" w:sz="8" w:space="0" w:color="0F766E"/>
              <w:left w:val="single" w:sz="24" w:space="0" w:color="0F766E"/>
              <w:bottom w:val="single" w:sz="8" w:space="0" w:color="0F766E"/>
              <w:right w:val="single" w:sz="8" w:space="0" w:color="0F766E"/>
            </w:tcBorders>
            <w:shd w:val="clear" w:color="auto" w:fill="E6FFFB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342B877F" w14:textId="77777777" w:rsidR="00672514" w:rsidRDefault="00000000">
            <w:r>
              <w:rPr>
                <w:b/>
                <w:color w:val="0F766E"/>
                <w:sz w:val="23"/>
              </w:rPr>
              <w:t xml:space="preserve">SCA consultation tip  </w:t>
            </w:r>
            <w:r>
              <w:rPr>
                <w:color w:val="334155"/>
                <w:sz w:val="20"/>
              </w:rPr>
              <w:t>The SCA often tests process: rapport, agenda-setting, ICE, risk handled sensitively, shared plan, safety-netting, follow-up and awareness of local pathways.</w:t>
            </w:r>
          </w:p>
        </w:tc>
      </w:tr>
    </w:tbl>
    <w:p w14:paraId="02360DCF" w14:textId="77777777" w:rsidR="00672514" w:rsidRDefault="00672514"/>
    <w:p w14:paraId="6EBC6708" w14:textId="77777777" w:rsidR="00672514" w:rsidRDefault="00000000">
      <w:pPr>
        <w:pStyle w:val="Heading1"/>
      </w:pPr>
      <w:r>
        <w:lastRenderedPageBreak/>
        <w:t>Conditions every GP trainee must recognise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112"/>
        <w:gridCol w:w="5112"/>
      </w:tblGrid>
      <w:tr w:rsidR="00672514" w14:paraId="3562775B" w14:textId="77777777">
        <w:trPr>
          <w:tblHeader/>
          <w:jc w:val="center"/>
        </w:trPr>
        <w:tc>
          <w:tcPr>
            <w:tcW w:w="5112" w:type="dxa"/>
            <w:shd w:val="clear" w:color="auto" w:fill="2F5D8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C99DE3" w14:textId="77777777" w:rsidR="00672514" w:rsidRDefault="00000000">
            <w:pPr>
              <w:jc w:val="center"/>
            </w:pPr>
            <w:r>
              <w:rPr>
                <w:b/>
                <w:color w:val="FFFFFF"/>
                <w:sz w:val="19"/>
              </w:rPr>
              <w:t>Group</w:t>
            </w:r>
          </w:p>
        </w:tc>
        <w:tc>
          <w:tcPr>
            <w:tcW w:w="5112" w:type="dxa"/>
            <w:shd w:val="clear" w:color="auto" w:fill="2F5D8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AE14F" w14:textId="77777777" w:rsidR="00672514" w:rsidRDefault="00000000">
            <w:pPr>
              <w:jc w:val="center"/>
            </w:pPr>
            <w:r>
              <w:rPr>
                <w:b/>
                <w:color w:val="FFFFFF"/>
                <w:sz w:val="19"/>
              </w:rPr>
              <w:t>Examples</w:t>
            </w:r>
          </w:p>
        </w:tc>
      </w:tr>
      <w:tr w:rsidR="00672514" w:rsidRPr="00041B73" w14:paraId="14050DA4" w14:textId="77777777">
        <w:trPr>
          <w:jc w:val="center"/>
        </w:trPr>
        <w:tc>
          <w:tcPr>
            <w:tcW w:w="5112" w:type="dxa"/>
            <w:shd w:val="clear" w:color="auto" w:fill="F8FAFC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D89A804" w14:textId="77777777" w:rsidR="00672514" w:rsidRDefault="00000000">
            <w:r>
              <w:rPr>
                <w:color w:val="334155"/>
                <w:sz w:val="18"/>
              </w:rPr>
              <w:t>Mood disorders</w:t>
            </w:r>
          </w:p>
        </w:tc>
        <w:tc>
          <w:tcPr>
            <w:tcW w:w="5112" w:type="dxa"/>
            <w:shd w:val="clear" w:color="auto" w:fill="F8FAFC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4FF5FA5" w14:textId="77777777" w:rsidR="00672514" w:rsidRPr="00041B73" w:rsidRDefault="00000000">
            <w:pPr>
              <w:rPr>
                <w:lang w:val="fr-FR"/>
              </w:rPr>
            </w:pPr>
            <w:r w:rsidRPr="00041B73">
              <w:rPr>
                <w:color w:val="334155"/>
                <w:sz w:val="18"/>
                <w:lang w:val="fr-FR"/>
              </w:rPr>
              <w:t>Depression, bipolar disorder, cyclothymia, persistent depressive symptoms, psychotic depression.</w:t>
            </w:r>
          </w:p>
        </w:tc>
      </w:tr>
      <w:tr w:rsidR="00672514" w14:paraId="488CB4C5" w14:textId="77777777">
        <w:trPr>
          <w:jc w:val="center"/>
        </w:trPr>
        <w:tc>
          <w:tcPr>
            <w:tcW w:w="5112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0E9181C" w14:textId="77777777" w:rsidR="00672514" w:rsidRDefault="00000000">
            <w:r>
              <w:rPr>
                <w:color w:val="334155"/>
                <w:sz w:val="18"/>
              </w:rPr>
              <w:t>Anxiety and related disorders</w:t>
            </w:r>
          </w:p>
        </w:tc>
        <w:tc>
          <w:tcPr>
            <w:tcW w:w="5112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94EA13F" w14:textId="77777777" w:rsidR="00672514" w:rsidRDefault="00000000">
            <w:r>
              <w:rPr>
                <w:color w:val="334155"/>
                <w:sz w:val="18"/>
              </w:rPr>
              <w:t>GAD, panic, phobias, OCD, health anxiety, body dysmorphic disorder.</w:t>
            </w:r>
          </w:p>
        </w:tc>
      </w:tr>
      <w:tr w:rsidR="00672514" w14:paraId="50D92EEF" w14:textId="77777777">
        <w:trPr>
          <w:jc w:val="center"/>
        </w:trPr>
        <w:tc>
          <w:tcPr>
            <w:tcW w:w="5112" w:type="dxa"/>
            <w:shd w:val="clear" w:color="auto" w:fill="F8FAFC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8FFBCF6" w14:textId="77777777" w:rsidR="00672514" w:rsidRDefault="00000000">
            <w:r>
              <w:rPr>
                <w:color w:val="334155"/>
                <w:sz w:val="18"/>
              </w:rPr>
              <w:t>Trauma and stress</w:t>
            </w:r>
          </w:p>
        </w:tc>
        <w:tc>
          <w:tcPr>
            <w:tcW w:w="5112" w:type="dxa"/>
            <w:shd w:val="clear" w:color="auto" w:fill="F8FAFC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6010993" w14:textId="77777777" w:rsidR="00672514" w:rsidRDefault="00000000">
            <w:r>
              <w:rPr>
                <w:color w:val="334155"/>
                <w:sz w:val="18"/>
              </w:rPr>
              <w:t>PTSD, complex trauma, acute stress reactions, adjustment reactions, domestic abuse consequences.</w:t>
            </w:r>
          </w:p>
        </w:tc>
      </w:tr>
      <w:tr w:rsidR="00672514" w14:paraId="7BF9C254" w14:textId="77777777">
        <w:trPr>
          <w:jc w:val="center"/>
        </w:trPr>
        <w:tc>
          <w:tcPr>
            <w:tcW w:w="5112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6EA5B32" w14:textId="77777777" w:rsidR="00672514" w:rsidRDefault="00000000">
            <w:r>
              <w:rPr>
                <w:color w:val="334155"/>
                <w:sz w:val="18"/>
              </w:rPr>
              <w:t>Psychosis and severe mental illness</w:t>
            </w:r>
          </w:p>
        </w:tc>
        <w:tc>
          <w:tcPr>
            <w:tcW w:w="5112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7B954DF" w14:textId="77777777" w:rsidR="00672514" w:rsidRDefault="00000000">
            <w:r>
              <w:rPr>
                <w:color w:val="334155"/>
                <w:sz w:val="18"/>
              </w:rPr>
              <w:t>Schizophrenia, delusional disorder, mania, severe behavioural disturbance, relapse signs.</w:t>
            </w:r>
          </w:p>
        </w:tc>
      </w:tr>
      <w:tr w:rsidR="00672514" w14:paraId="0BBA1617" w14:textId="77777777">
        <w:trPr>
          <w:jc w:val="center"/>
        </w:trPr>
        <w:tc>
          <w:tcPr>
            <w:tcW w:w="5112" w:type="dxa"/>
            <w:shd w:val="clear" w:color="auto" w:fill="F8FAFC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7A1101F" w14:textId="77777777" w:rsidR="00672514" w:rsidRDefault="00000000">
            <w:r>
              <w:rPr>
                <w:color w:val="334155"/>
                <w:sz w:val="18"/>
              </w:rPr>
              <w:t>Self-harm and suicide</w:t>
            </w:r>
          </w:p>
        </w:tc>
        <w:tc>
          <w:tcPr>
            <w:tcW w:w="5112" w:type="dxa"/>
            <w:shd w:val="clear" w:color="auto" w:fill="F8FAFC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8F435A0" w14:textId="77777777" w:rsidR="00672514" w:rsidRDefault="00000000">
            <w:r>
              <w:rPr>
                <w:color w:val="334155"/>
                <w:sz w:val="18"/>
              </w:rPr>
              <w:t>Self-injury, suicidal ideation, post-attempt care, recurrence prevention, crisis planning.</w:t>
            </w:r>
          </w:p>
        </w:tc>
      </w:tr>
      <w:tr w:rsidR="00672514" w14:paraId="7E3E4F76" w14:textId="77777777">
        <w:trPr>
          <w:jc w:val="center"/>
        </w:trPr>
        <w:tc>
          <w:tcPr>
            <w:tcW w:w="5112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CEE3776" w14:textId="77777777" w:rsidR="00672514" w:rsidRDefault="00000000">
            <w:r>
              <w:rPr>
                <w:color w:val="334155"/>
                <w:sz w:val="18"/>
              </w:rPr>
              <w:t>Eating and body-related disorders</w:t>
            </w:r>
          </w:p>
        </w:tc>
        <w:tc>
          <w:tcPr>
            <w:tcW w:w="5112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9D2922B" w14:textId="77777777" w:rsidR="00672514" w:rsidRDefault="00000000">
            <w:r>
              <w:rPr>
                <w:color w:val="334155"/>
                <w:sz w:val="18"/>
              </w:rPr>
              <w:t>Anorexia, bulimia, binge-eating disorder, body image distress.</w:t>
            </w:r>
          </w:p>
        </w:tc>
      </w:tr>
      <w:tr w:rsidR="00672514" w14:paraId="7097C66C" w14:textId="77777777">
        <w:trPr>
          <w:jc w:val="center"/>
        </w:trPr>
        <w:tc>
          <w:tcPr>
            <w:tcW w:w="5112" w:type="dxa"/>
            <w:shd w:val="clear" w:color="auto" w:fill="F8FAFC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77B6BE3" w14:textId="77777777" w:rsidR="00672514" w:rsidRDefault="00000000">
            <w:r>
              <w:rPr>
                <w:color w:val="334155"/>
                <w:sz w:val="18"/>
              </w:rPr>
              <w:t>Perinatal mental health</w:t>
            </w:r>
          </w:p>
        </w:tc>
        <w:tc>
          <w:tcPr>
            <w:tcW w:w="5112" w:type="dxa"/>
            <w:shd w:val="clear" w:color="auto" w:fill="F8FAFC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4E6AD6C" w14:textId="77777777" w:rsidR="00672514" w:rsidRDefault="00000000">
            <w:r>
              <w:rPr>
                <w:color w:val="334155"/>
                <w:sz w:val="18"/>
              </w:rPr>
              <w:t>Antenatal/postnatal depression and anxiety, postpartum psychosis, safeguarding and parent–infant context.</w:t>
            </w:r>
          </w:p>
        </w:tc>
      </w:tr>
      <w:tr w:rsidR="00672514" w14:paraId="2A6FC306" w14:textId="77777777">
        <w:trPr>
          <w:jc w:val="center"/>
        </w:trPr>
        <w:tc>
          <w:tcPr>
            <w:tcW w:w="5112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9A4144D" w14:textId="77777777" w:rsidR="00672514" w:rsidRDefault="00000000">
            <w:r>
              <w:rPr>
                <w:color w:val="334155"/>
                <w:sz w:val="18"/>
              </w:rPr>
              <w:t>Substance and behavioural addictions</w:t>
            </w:r>
          </w:p>
        </w:tc>
        <w:tc>
          <w:tcPr>
            <w:tcW w:w="5112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6AB7336" w14:textId="77777777" w:rsidR="00672514" w:rsidRDefault="00000000">
            <w:r>
              <w:rPr>
                <w:color w:val="334155"/>
                <w:sz w:val="18"/>
              </w:rPr>
              <w:t>Alcohol, drugs, prescribed medicine dependence, gambling, dual diagnosis.</w:t>
            </w:r>
          </w:p>
        </w:tc>
      </w:tr>
      <w:tr w:rsidR="00672514" w14:paraId="47EE6A7A" w14:textId="77777777">
        <w:trPr>
          <w:jc w:val="center"/>
        </w:trPr>
        <w:tc>
          <w:tcPr>
            <w:tcW w:w="5112" w:type="dxa"/>
            <w:shd w:val="clear" w:color="auto" w:fill="F8FAFC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C997FF1" w14:textId="77777777" w:rsidR="00672514" w:rsidRDefault="00000000">
            <w:r>
              <w:rPr>
                <w:color w:val="334155"/>
                <w:sz w:val="18"/>
              </w:rPr>
              <w:t>Neurodevelopmental and life-course</w:t>
            </w:r>
          </w:p>
        </w:tc>
        <w:tc>
          <w:tcPr>
            <w:tcW w:w="5112" w:type="dxa"/>
            <w:shd w:val="clear" w:color="auto" w:fill="F8FAFC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7CE1452" w14:textId="77777777" w:rsidR="00672514" w:rsidRDefault="00000000">
            <w:r>
              <w:rPr>
                <w:color w:val="334155"/>
                <w:sz w:val="18"/>
              </w:rPr>
              <w:t>ADHD, autism, learning disability, dementia, delirium, behaviour problems across ages.</w:t>
            </w:r>
          </w:p>
        </w:tc>
      </w:tr>
      <w:tr w:rsidR="00672514" w14:paraId="71D1F172" w14:textId="77777777">
        <w:trPr>
          <w:jc w:val="center"/>
        </w:trPr>
        <w:tc>
          <w:tcPr>
            <w:tcW w:w="5112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077983F" w14:textId="77777777" w:rsidR="00672514" w:rsidRDefault="00000000">
            <w:r>
              <w:rPr>
                <w:color w:val="334155"/>
                <w:sz w:val="18"/>
              </w:rPr>
              <w:t>Mental health with physical illness</w:t>
            </w:r>
          </w:p>
        </w:tc>
        <w:tc>
          <w:tcPr>
            <w:tcW w:w="5112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7187F22" w14:textId="77777777" w:rsidR="00672514" w:rsidRDefault="00000000">
            <w:r>
              <w:rPr>
                <w:color w:val="334155"/>
                <w:sz w:val="18"/>
              </w:rPr>
              <w:t>Medically unexplained symptoms, chronic pain, steroids/endocrine causes, long-term condition distress.</w:t>
            </w:r>
          </w:p>
        </w:tc>
      </w:tr>
    </w:tbl>
    <w:p w14:paraId="1E28A82A" w14:textId="77777777" w:rsidR="00672514" w:rsidRDefault="00672514"/>
    <w:p w14:paraId="18C80F94" w14:textId="77777777" w:rsidR="00672514" w:rsidRDefault="00000000">
      <w:pPr>
        <w:pStyle w:val="Heading1"/>
      </w:pPr>
      <w:r>
        <w:t>From old curriculum to modern practice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112"/>
        <w:gridCol w:w="5112"/>
      </w:tblGrid>
      <w:tr w:rsidR="00672514" w14:paraId="79793532" w14:textId="77777777">
        <w:trPr>
          <w:tblHeader/>
          <w:jc w:val="center"/>
        </w:trPr>
        <w:tc>
          <w:tcPr>
            <w:tcW w:w="5112" w:type="dxa"/>
            <w:shd w:val="clear" w:color="auto" w:fill="2F5D8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A5CB5" w14:textId="77777777" w:rsidR="00672514" w:rsidRDefault="00000000">
            <w:pPr>
              <w:jc w:val="center"/>
            </w:pPr>
            <w:r>
              <w:rPr>
                <w:b/>
                <w:color w:val="FFFFFF"/>
                <w:sz w:val="19"/>
              </w:rPr>
              <w:t>Older wording / focus</w:t>
            </w:r>
          </w:p>
        </w:tc>
        <w:tc>
          <w:tcPr>
            <w:tcW w:w="5112" w:type="dxa"/>
            <w:shd w:val="clear" w:color="auto" w:fill="2F5D8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937194" w14:textId="77777777" w:rsidR="00672514" w:rsidRDefault="00000000">
            <w:pPr>
              <w:jc w:val="center"/>
            </w:pPr>
            <w:r>
              <w:rPr>
                <w:b/>
                <w:color w:val="FFFFFF"/>
                <w:sz w:val="19"/>
              </w:rPr>
              <w:t>Modern Bradford VTS framing</w:t>
            </w:r>
          </w:p>
        </w:tc>
      </w:tr>
      <w:tr w:rsidR="00672514" w14:paraId="04A0B67D" w14:textId="77777777">
        <w:trPr>
          <w:jc w:val="center"/>
        </w:trPr>
        <w:tc>
          <w:tcPr>
            <w:tcW w:w="5112" w:type="dxa"/>
            <w:shd w:val="clear" w:color="auto" w:fill="F8FAFC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9FAB7E0" w14:textId="77777777" w:rsidR="00672514" w:rsidRDefault="00000000">
            <w:r>
              <w:rPr>
                <w:color w:val="334155"/>
                <w:sz w:val="18"/>
              </w:rPr>
              <w:t>“Mental handicap”</w:t>
            </w:r>
          </w:p>
        </w:tc>
        <w:tc>
          <w:tcPr>
            <w:tcW w:w="5112" w:type="dxa"/>
            <w:shd w:val="clear" w:color="auto" w:fill="F8FAFC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26CD7D3" w14:textId="77777777" w:rsidR="00672514" w:rsidRDefault="00000000">
            <w:r>
              <w:rPr>
                <w:color w:val="334155"/>
                <w:sz w:val="18"/>
              </w:rPr>
              <w:t>Use “learning disability” and be specific about strengths, support needs and reasonable adjustments.</w:t>
            </w:r>
          </w:p>
        </w:tc>
      </w:tr>
      <w:tr w:rsidR="00672514" w14:paraId="5D9ADBC0" w14:textId="77777777">
        <w:trPr>
          <w:jc w:val="center"/>
        </w:trPr>
        <w:tc>
          <w:tcPr>
            <w:tcW w:w="5112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4857E0D" w14:textId="77777777" w:rsidR="00672514" w:rsidRDefault="00000000">
            <w:r>
              <w:rPr>
                <w:color w:val="334155"/>
                <w:sz w:val="18"/>
              </w:rPr>
              <w:t>Mental Health Act 1989</w:t>
            </w:r>
          </w:p>
        </w:tc>
        <w:tc>
          <w:tcPr>
            <w:tcW w:w="5112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0418BBF" w14:textId="77777777" w:rsidR="00672514" w:rsidRDefault="00000000">
            <w:r>
              <w:rPr>
                <w:color w:val="334155"/>
                <w:sz w:val="18"/>
              </w:rPr>
              <w:t>Use current Mental Health Act principles and local jurisdiction-specific processes; know who to contact urgently.</w:t>
            </w:r>
          </w:p>
        </w:tc>
      </w:tr>
      <w:tr w:rsidR="00672514" w14:paraId="26A857AF" w14:textId="77777777">
        <w:trPr>
          <w:jc w:val="center"/>
        </w:trPr>
        <w:tc>
          <w:tcPr>
            <w:tcW w:w="5112" w:type="dxa"/>
            <w:shd w:val="clear" w:color="auto" w:fill="F8FAFC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8ED4BE4" w14:textId="77777777" w:rsidR="00672514" w:rsidRDefault="00000000">
            <w:r>
              <w:rPr>
                <w:color w:val="334155"/>
                <w:sz w:val="18"/>
              </w:rPr>
              <w:t>Children Act 1989 only</w:t>
            </w:r>
          </w:p>
        </w:tc>
        <w:tc>
          <w:tcPr>
            <w:tcW w:w="5112" w:type="dxa"/>
            <w:shd w:val="clear" w:color="auto" w:fill="F8FAFC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28515F6" w14:textId="77777777" w:rsidR="00672514" w:rsidRDefault="00000000">
            <w:r>
              <w:rPr>
                <w:color w:val="334155"/>
                <w:sz w:val="18"/>
              </w:rPr>
              <w:t>Safeguarding now includes wider statutory duties, local safeguarding pathways and multi-agency working.</w:t>
            </w:r>
          </w:p>
        </w:tc>
      </w:tr>
      <w:tr w:rsidR="00672514" w14:paraId="34F92B38" w14:textId="77777777">
        <w:trPr>
          <w:jc w:val="center"/>
        </w:trPr>
        <w:tc>
          <w:tcPr>
            <w:tcW w:w="5112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3389BD5" w14:textId="77777777" w:rsidR="00672514" w:rsidRDefault="00000000">
            <w:r>
              <w:rPr>
                <w:color w:val="334155"/>
                <w:sz w:val="18"/>
              </w:rPr>
              <w:t>Placebo effects of drugs</w:t>
            </w:r>
          </w:p>
        </w:tc>
        <w:tc>
          <w:tcPr>
            <w:tcW w:w="5112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DBF0A41" w14:textId="77777777" w:rsidR="00672514" w:rsidRDefault="00000000">
            <w:r>
              <w:rPr>
                <w:color w:val="334155"/>
                <w:sz w:val="18"/>
              </w:rPr>
              <w:t>Teach placebo and nocebo effects ethically: communication shapes outcomes, but informed consent remains essential.</w:t>
            </w:r>
          </w:p>
        </w:tc>
      </w:tr>
      <w:tr w:rsidR="00672514" w14:paraId="6BE67456" w14:textId="77777777">
        <w:trPr>
          <w:jc w:val="center"/>
        </w:trPr>
        <w:tc>
          <w:tcPr>
            <w:tcW w:w="5112" w:type="dxa"/>
            <w:shd w:val="clear" w:color="auto" w:fill="F8FAFC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5FBC162" w14:textId="77777777" w:rsidR="00672514" w:rsidRDefault="00000000">
            <w:r>
              <w:rPr>
                <w:color w:val="334155"/>
                <w:sz w:val="18"/>
              </w:rPr>
              <w:t>Psychodynamics as a separate skill</w:t>
            </w:r>
          </w:p>
        </w:tc>
        <w:tc>
          <w:tcPr>
            <w:tcW w:w="5112" w:type="dxa"/>
            <w:shd w:val="clear" w:color="auto" w:fill="F8FAFC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636B5BA" w14:textId="77777777" w:rsidR="00672514" w:rsidRDefault="00000000">
            <w:r>
              <w:rPr>
                <w:color w:val="334155"/>
                <w:sz w:val="18"/>
              </w:rPr>
              <w:t xml:space="preserve">Use formulation: predisposing, precipitating, perpetuating and </w:t>
            </w:r>
            <w:r>
              <w:rPr>
                <w:color w:val="334155"/>
                <w:sz w:val="18"/>
              </w:rPr>
              <w:lastRenderedPageBreak/>
              <w:t>protective factors, including trauma and social context.</w:t>
            </w:r>
          </w:p>
        </w:tc>
      </w:tr>
    </w:tbl>
    <w:p w14:paraId="030A0A4C" w14:textId="77777777" w:rsidR="00672514" w:rsidRDefault="00672514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24"/>
      </w:tblGrid>
      <w:tr w:rsidR="00672514" w14:paraId="46B8271A" w14:textId="77777777">
        <w:trPr>
          <w:jc w:val="center"/>
        </w:trPr>
        <w:tc>
          <w:tcPr>
            <w:tcW w:w="10224" w:type="dxa"/>
            <w:tcBorders>
              <w:top w:val="single" w:sz="8" w:space="0" w:color="B45309"/>
              <w:left w:val="single" w:sz="24" w:space="0" w:color="B45309"/>
              <w:bottom w:val="single" w:sz="8" w:space="0" w:color="B45309"/>
              <w:right w:val="single" w:sz="8" w:space="0" w:color="B45309"/>
            </w:tcBorders>
            <w:shd w:val="clear" w:color="auto" w:fill="FFF7ED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3339AD3F" w14:textId="77777777" w:rsidR="00672514" w:rsidRDefault="00000000">
            <w:r>
              <w:rPr>
                <w:b/>
                <w:color w:val="B45309"/>
                <w:sz w:val="23"/>
              </w:rPr>
              <w:t xml:space="preserve">Pitfall  </w:t>
            </w:r>
            <w:r>
              <w:rPr>
                <w:color w:val="334155"/>
                <w:sz w:val="20"/>
              </w:rPr>
              <w:t>Do not treat psychiatry as “soft” medicine. It requires rigorous assessment, risk thinking, medication safety, legal literacy and careful follow-up.</w:t>
            </w:r>
          </w:p>
        </w:tc>
      </w:tr>
    </w:tbl>
    <w:p w14:paraId="21C0D96D" w14:textId="77777777" w:rsidR="00672514" w:rsidRDefault="00672514"/>
    <w:p w14:paraId="7E620149" w14:textId="77777777" w:rsidR="00672514" w:rsidRDefault="00000000">
      <w:pPr>
        <w:pStyle w:val="Heading1"/>
      </w:pPr>
      <w:r>
        <w:t>How to learn psychiatry during GP training</w:t>
      </w:r>
    </w:p>
    <w:p w14:paraId="10D853CB" w14:textId="77777777" w:rsidR="00672514" w:rsidRDefault="00000000">
      <w:pPr>
        <w:pStyle w:val="ListNumber"/>
      </w:pPr>
      <w:r>
        <w:rPr>
          <w:color w:val="334155"/>
        </w:rPr>
        <w:t>Sit in with experienced GPs managing depression, anxiety, psychosis, substance misuse and self-harm.</w:t>
      </w:r>
    </w:p>
    <w:p w14:paraId="56135967" w14:textId="77777777" w:rsidR="00672514" w:rsidRDefault="00000000">
      <w:pPr>
        <w:pStyle w:val="ListNumber"/>
      </w:pPr>
      <w:r>
        <w:rPr>
          <w:color w:val="334155"/>
        </w:rPr>
        <w:t>Practise presenting a mental health case using a concise formulation, not just a diagnosis.</w:t>
      </w:r>
    </w:p>
    <w:p w14:paraId="3F59A946" w14:textId="77777777" w:rsidR="00672514" w:rsidRDefault="00000000">
      <w:pPr>
        <w:pStyle w:val="ListNumber"/>
      </w:pPr>
      <w:r>
        <w:rPr>
          <w:color w:val="334155"/>
        </w:rPr>
        <w:t>Shadow crisis teams, community mental health teams, Talking Therapies, CAMHS or liaison psychiatry where available.</w:t>
      </w:r>
    </w:p>
    <w:p w14:paraId="6DBFA8A3" w14:textId="77777777" w:rsidR="00672514" w:rsidRDefault="00000000">
      <w:pPr>
        <w:pStyle w:val="ListNumber"/>
      </w:pPr>
      <w:r>
        <w:rPr>
          <w:color w:val="334155"/>
        </w:rPr>
        <w:t>Review practice registers for severe mental illness and learn what good annual physical health checks look like.</w:t>
      </w:r>
    </w:p>
    <w:p w14:paraId="6CB5569F" w14:textId="77777777" w:rsidR="00672514" w:rsidRDefault="00000000">
      <w:pPr>
        <w:pStyle w:val="ListNumber"/>
      </w:pPr>
      <w:r>
        <w:rPr>
          <w:color w:val="334155"/>
        </w:rPr>
        <w:t>Use debriefs after difficult consultations to reflect on emotion, risk, uncertainty and boundaries.</w:t>
      </w:r>
    </w:p>
    <w:p w14:paraId="03C8F0B3" w14:textId="77777777" w:rsidR="00672514" w:rsidRDefault="00000000">
      <w:pPr>
        <w:pStyle w:val="ListNumber"/>
      </w:pPr>
      <w:r>
        <w:rPr>
          <w:color w:val="334155"/>
        </w:rPr>
        <w:t>Collect WPBA evidence from real consultations: risk assessment, medication review, safeguarding, capacity and collaborative care.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24"/>
      </w:tblGrid>
      <w:tr w:rsidR="00672514" w14:paraId="39233B39" w14:textId="77777777">
        <w:trPr>
          <w:jc w:val="center"/>
        </w:trPr>
        <w:tc>
          <w:tcPr>
            <w:tcW w:w="10224" w:type="dxa"/>
            <w:tcBorders>
              <w:top w:val="single" w:sz="8" w:space="0" w:color="B91C1C"/>
              <w:left w:val="single" w:sz="24" w:space="0" w:color="B91C1C"/>
              <w:bottom w:val="single" w:sz="8" w:space="0" w:color="B91C1C"/>
              <w:right w:val="single" w:sz="8" w:space="0" w:color="B91C1C"/>
            </w:tcBorders>
            <w:shd w:val="clear" w:color="auto" w:fill="FEE2E2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4EC6BBE6" w14:textId="77777777" w:rsidR="00672514" w:rsidRDefault="00000000">
            <w:r>
              <w:rPr>
                <w:b/>
                <w:color w:val="B91C1C"/>
                <w:sz w:val="23"/>
              </w:rPr>
              <w:t xml:space="preserve">Red flag curriculum areas  </w:t>
            </w:r>
            <w:r>
              <w:rPr>
                <w:color w:val="334155"/>
                <w:sz w:val="20"/>
              </w:rPr>
              <w:t>Any GP trainee should know how to respond to active suicidal intent, postpartum psychosis, first-episode psychosis, delirium, severe eating disorder physical compromise, domestic abuse, safeguarding disclosure and violent/agitated crisis.</w:t>
            </w:r>
          </w:p>
        </w:tc>
      </w:tr>
    </w:tbl>
    <w:p w14:paraId="17A3DD4A" w14:textId="77777777" w:rsidR="00672514" w:rsidRDefault="00672514"/>
    <w:p w14:paraId="046D22B9" w14:textId="77777777" w:rsidR="00672514" w:rsidRDefault="00000000">
      <w:pPr>
        <w:pStyle w:val="Heading1"/>
      </w:pPr>
      <w:r>
        <w:t>Quick self-check for trainees</w:t>
      </w:r>
    </w:p>
    <w:p w14:paraId="69D9C794" w14:textId="77777777" w:rsidR="00672514" w:rsidRDefault="00000000">
      <w:pPr>
        <w:pStyle w:val="ListBullet"/>
      </w:pPr>
      <w:r>
        <w:rPr>
          <w:color w:val="334155"/>
        </w:rPr>
        <w:t>Can I ask directly about suicide without sounding alarmed or judgemental?</w:t>
      </w:r>
    </w:p>
    <w:p w14:paraId="62CA77B1" w14:textId="77777777" w:rsidR="00672514" w:rsidRDefault="00000000">
      <w:pPr>
        <w:pStyle w:val="ListBullet"/>
      </w:pPr>
      <w:r>
        <w:rPr>
          <w:color w:val="334155"/>
        </w:rPr>
        <w:t>Can I explain antidepressant benefits, side effects, withdrawal and review plans clearly?</w:t>
      </w:r>
    </w:p>
    <w:p w14:paraId="0C5EB5F8" w14:textId="77777777" w:rsidR="00672514" w:rsidRDefault="00000000">
      <w:pPr>
        <w:pStyle w:val="ListBullet"/>
      </w:pPr>
      <w:r>
        <w:rPr>
          <w:color w:val="334155"/>
        </w:rPr>
        <w:t>Can I recognise psychosis and ask non-leading questions about voices and beliefs?</w:t>
      </w:r>
    </w:p>
    <w:p w14:paraId="28779774" w14:textId="77777777" w:rsidR="00672514" w:rsidRDefault="00000000">
      <w:pPr>
        <w:pStyle w:val="ListBullet"/>
      </w:pPr>
      <w:r>
        <w:rPr>
          <w:color w:val="334155"/>
        </w:rPr>
        <w:t>Can I describe local urgent mental health pathways?</w:t>
      </w:r>
    </w:p>
    <w:p w14:paraId="0EFA0500" w14:textId="77777777" w:rsidR="00672514" w:rsidRDefault="00000000">
      <w:pPr>
        <w:pStyle w:val="ListBullet"/>
      </w:pPr>
      <w:r>
        <w:rPr>
          <w:color w:val="334155"/>
        </w:rPr>
        <w:t>Can I avoid diagnostic overshadowing when a patient with SMI has physical symptoms?</w:t>
      </w:r>
    </w:p>
    <w:p w14:paraId="289E8BE5" w14:textId="77777777" w:rsidR="00672514" w:rsidRDefault="00000000">
      <w:pPr>
        <w:pStyle w:val="ListBullet"/>
      </w:pPr>
      <w:r>
        <w:rPr>
          <w:color w:val="334155"/>
        </w:rPr>
        <w:t>Can I involve carers appropriately while respecting confidentiality?</w:t>
      </w:r>
    </w:p>
    <w:p w14:paraId="6569A130" w14:textId="77777777" w:rsidR="00672514" w:rsidRDefault="00000000">
      <w:pPr>
        <w:pStyle w:val="ListBullet"/>
      </w:pPr>
      <w:r>
        <w:rPr>
          <w:color w:val="334155"/>
        </w:rPr>
        <w:t>Can I formulate a case using the 4 Ps and protective factors?</w:t>
      </w:r>
    </w:p>
    <w:p w14:paraId="205995D7" w14:textId="77777777" w:rsidR="00672514" w:rsidRDefault="00000000">
      <w:pPr>
        <w:pStyle w:val="Heading2"/>
      </w:pPr>
      <w:r>
        <w:t>Guidance checked for this July 2026 revision</w:t>
      </w:r>
    </w:p>
    <w:p w14:paraId="27D6260F" w14:textId="77777777" w:rsidR="00672514" w:rsidRDefault="00000000">
      <w:pPr>
        <w:pStyle w:val="ListBullet"/>
      </w:pPr>
      <w:r>
        <w:rPr>
          <w:color w:val="475569"/>
          <w:sz w:val="18"/>
        </w:rPr>
        <w:t>RCGP GP Curriculum: Mental health topic guide — accessed July 2026.</w:t>
      </w:r>
    </w:p>
    <w:p w14:paraId="5D7ED5D4" w14:textId="77777777" w:rsidR="00672514" w:rsidRDefault="00000000">
      <w:pPr>
        <w:pStyle w:val="ListBullet"/>
      </w:pPr>
      <w:r>
        <w:rPr>
          <w:color w:val="475569"/>
          <w:sz w:val="18"/>
        </w:rPr>
        <w:t>NICE NG225 Self-harm — used to update risk-assessment teaching principles.</w:t>
      </w:r>
    </w:p>
    <w:p w14:paraId="65DE11B0" w14:textId="77777777" w:rsidR="00672514" w:rsidRDefault="00000000">
      <w:pPr>
        <w:pStyle w:val="ListBullet"/>
      </w:pPr>
      <w:r>
        <w:rPr>
          <w:color w:val="475569"/>
          <w:sz w:val="18"/>
        </w:rPr>
        <w:t>NICE NG222 Depression in adults — used to align treatment and shared decision-making references.</w:t>
      </w:r>
    </w:p>
    <w:p w14:paraId="13596774" w14:textId="77777777" w:rsidR="00672514" w:rsidRDefault="00000000">
      <w:pPr>
        <w:pStyle w:val="ListBullet"/>
      </w:pPr>
      <w:r>
        <w:rPr>
          <w:color w:val="475569"/>
          <w:sz w:val="18"/>
        </w:rPr>
        <w:t>MHRA/GOV.UK valproate reproductive-risk guidance — used to update psychotropic safety curriculum areas.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24"/>
      </w:tblGrid>
      <w:tr w:rsidR="00672514" w14:paraId="79D9E322" w14:textId="77777777">
        <w:trPr>
          <w:jc w:val="center"/>
        </w:trPr>
        <w:tc>
          <w:tcPr>
            <w:tcW w:w="10224" w:type="dxa"/>
            <w:tcBorders>
              <w:top w:val="single" w:sz="8" w:space="0" w:color="B91C1C"/>
              <w:left w:val="single" w:sz="24" w:space="0" w:color="B91C1C"/>
              <w:bottom w:val="single" w:sz="8" w:space="0" w:color="B91C1C"/>
              <w:right w:val="single" w:sz="8" w:space="0" w:color="B91C1C"/>
            </w:tcBorders>
            <w:shd w:val="clear" w:color="auto" w:fill="FEE2E2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67E290CC" w14:textId="77777777" w:rsidR="00672514" w:rsidRDefault="00000000">
            <w:r>
              <w:rPr>
                <w:b/>
                <w:color w:val="B91C1C"/>
                <w:sz w:val="23"/>
              </w:rPr>
              <w:t xml:space="preserve">Final safety note  </w:t>
            </w:r>
            <w:r>
              <w:rPr>
                <w:color w:val="334155"/>
                <w:sz w:val="20"/>
              </w:rPr>
              <w:t>Always double check this advice and drug doses with the latest NICE/BNF guidance. This document is for educational purposes only.</w:t>
            </w:r>
          </w:p>
        </w:tc>
      </w:tr>
    </w:tbl>
    <w:p w14:paraId="36EB8750" w14:textId="77777777" w:rsidR="00672514" w:rsidRDefault="00672514"/>
    <w:sectPr w:rsidR="00672514" w:rsidSect="00034616">
      <w:footerReference w:type="default" r:id="rId9"/>
      <w:pgSz w:w="12240" w:h="15840"/>
      <w:pgMar w:top="792" w:right="1008" w:bottom="936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B8CCD" w14:textId="77777777" w:rsidR="00581C09" w:rsidRDefault="00581C09">
      <w:pPr>
        <w:spacing w:after="0" w:line="240" w:lineRule="auto"/>
      </w:pPr>
      <w:r>
        <w:separator/>
      </w:r>
    </w:p>
  </w:endnote>
  <w:endnote w:type="continuationSeparator" w:id="0">
    <w:p w14:paraId="314CE4CF" w14:textId="77777777" w:rsidR="00581C09" w:rsidRDefault="00581C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BA7A5" w14:textId="77777777" w:rsidR="00672514" w:rsidRDefault="00000000">
    <w:pPr>
      <w:pStyle w:val="Footer"/>
      <w:jc w:val="center"/>
    </w:pPr>
    <w:r>
      <w:rPr>
        <w:color w:val="64748B"/>
        <w:sz w:val="17"/>
      </w:rPr>
      <w:t>A free resource provided by www.bradfordvts.co.uk, Dr Ramesh Mehay, revised July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7347C" w14:textId="77777777" w:rsidR="00581C09" w:rsidRDefault="00581C09">
      <w:pPr>
        <w:spacing w:after="0" w:line="240" w:lineRule="auto"/>
      </w:pPr>
      <w:r>
        <w:separator/>
      </w:r>
    </w:p>
  </w:footnote>
  <w:footnote w:type="continuationSeparator" w:id="0">
    <w:p w14:paraId="26E50F11" w14:textId="77777777" w:rsidR="00581C09" w:rsidRDefault="00581C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99753255">
    <w:abstractNumId w:val="8"/>
  </w:num>
  <w:num w:numId="2" w16cid:durableId="11801793">
    <w:abstractNumId w:val="6"/>
  </w:num>
  <w:num w:numId="3" w16cid:durableId="436294403">
    <w:abstractNumId w:val="5"/>
  </w:num>
  <w:num w:numId="4" w16cid:durableId="1822187928">
    <w:abstractNumId w:val="4"/>
  </w:num>
  <w:num w:numId="5" w16cid:durableId="1586304362">
    <w:abstractNumId w:val="7"/>
  </w:num>
  <w:num w:numId="6" w16cid:durableId="963999237">
    <w:abstractNumId w:val="3"/>
  </w:num>
  <w:num w:numId="7" w16cid:durableId="1660696320">
    <w:abstractNumId w:val="2"/>
  </w:num>
  <w:num w:numId="8" w16cid:durableId="1629893215">
    <w:abstractNumId w:val="1"/>
  </w:num>
  <w:num w:numId="9" w16cid:durableId="110785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41B73"/>
    <w:rsid w:val="0006063C"/>
    <w:rsid w:val="0015074B"/>
    <w:rsid w:val="0029639D"/>
    <w:rsid w:val="00326F90"/>
    <w:rsid w:val="00581C09"/>
    <w:rsid w:val="00672514"/>
    <w:rsid w:val="008C229E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D82627"/>
  <w14:defaultImageDpi w14:val="300"/>
  <w15:docId w15:val="{752D254E-C113-44D3-A213-13CCB950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259" w:lineRule="auto"/>
    </w:pPr>
    <w:rPr>
      <w:rFonts w:ascii="Calibri" w:eastAsia="Calibri" w:hAnsi="Calibri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color w:val="2F5D8C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/>
      <w:outlineLvl w:val="1"/>
    </w:pPr>
    <w:rPr>
      <w:rFonts w:asciiTheme="majorHAnsi" w:eastAsiaTheme="majorEastAsia" w:hAnsiTheme="majorHAnsi" w:cstheme="majorBidi"/>
      <w:b/>
      <w:bCs/>
      <w:color w:val="0F766E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80"/>
      <w:outlineLvl w:val="2"/>
    </w:pPr>
    <w:rPr>
      <w:rFonts w:asciiTheme="majorHAnsi" w:eastAsiaTheme="majorEastAsia" w:hAnsiTheme="majorHAnsi" w:cstheme="majorBidi"/>
      <w:b/>
      <w:bCs/>
      <w:color w:val="334155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958</Words>
  <Characters>6509</Characters>
  <Application>Microsoft Office Word</Application>
  <DocSecurity>0</DocSecurity>
  <Lines>154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7353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Ramesh Mehay</cp:lastModifiedBy>
  <cp:revision>2</cp:revision>
  <dcterms:created xsi:type="dcterms:W3CDTF">2013-12-23T23:15:00Z</dcterms:created>
  <dcterms:modified xsi:type="dcterms:W3CDTF">2026-07-04T15:25:00Z</dcterms:modified>
  <cp:category/>
</cp:coreProperties>
</file>