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204"/>
        <w:tblBorders>
          <w:top w:val="none" w:color="auto" w:sz="0"/>
          <w:left w:val="none" w:color="auto" w:sz="0"/>
          <w:bottom w:val="none" w:color="auto" w:sz="0"/>
          <w:right w:val="none" w:color="auto" w:sz="0"/>
          <w:insideH w:val="none" w:color="auto" w:sz="0"/>
          <w:insideV w:val="none" w:color="auto" w:sz="0"/>
        </w:tblBorders>
      </w:tblPr>
      <w:tblGrid>
        <w:gridCol w:w="10204"/>
      </w:tblGrid>
      <w:tr>
        <w:tc>
          <w:tcPr>
            <w:tcW w:type="dxa" w:w="10204"/>
            <w:tcBorders>
              <w:top w:val="none" w:color="auto" w:sz="0"/>
              <w:left w:val="none" w:color="auto" w:sz="0"/>
              <w:bottom w:val="none" w:color="auto" w:sz="0"/>
              <w:right w:val="none" w:color="auto" w:sz="0"/>
            </w:tcBorders>
            <w:shd w:fill="0E5C5B" w:color="auto" w:val="clear"/>
            <w:tcMar>
              <w:top w:type="dxa" w:w="180"/>
              <w:left w:type="dxa" w:w="260"/>
              <w:bottom w:type="dxa" w:w="160"/>
              <w:right w:type="dxa" w:w="260"/>
            </w:tcMar>
            <w:vAlign w:val="center"/>
          </w:tcPr>
          <w:p>
            <w:pPr>
              <w:spacing w:after="0" w:before="40"/>
            </w:pPr>
            <w:r>
              <w:rPr>
                <w:rFonts w:ascii="Arial" w:cs="Arial" w:eastAsia="Arial" w:hAnsi="Arial"/>
                <w:b/>
                <w:bCs/>
                <w:i w:val="false"/>
                <w:iCs w:val="false"/>
                <w:color w:val="FFFFFF"/>
                <w:spacing w:val="40"/>
                <w:sz w:val="26"/>
                <w:szCs w:val="26"/>
              </w:rPr>
              <w:t xml:space="preserve">BRADFORD VTS</w:t>
            </w:r>
          </w:p>
          <w:p>
            <w:pPr>
              <w:spacing w:after="40" w:before="20"/>
            </w:pPr>
            <w:r>
              <w:rPr>
                <w:rFonts w:ascii="Arial" w:cs="Arial" w:eastAsia="Arial" w:hAnsi="Arial"/>
                <w:b w:val="false"/>
                <w:bCs w:val="false"/>
                <w:i w:val="false"/>
                <w:iCs w:val="false"/>
                <w:color w:val="BFD8D7"/>
                <w:spacing w:val="30"/>
                <w:sz w:val="15"/>
                <w:szCs w:val="15"/>
              </w:rPr>
              <w:t xml:space="preserve">GP SPECIALTY TRAINING  ·  SMALL-GROUP TEACHING RESOURCE</w:t>
            </w:r>
          </w:p>
        </w:tc>
      </w:tr>
      <w:tr>
        <w:tc>
          <w:tcPr>
            <w:tcW w:type="dxa" w:w="10204"/>
            <w:tcBorders>
              <w:top w:val="none" w:color="auto" w:sz="0"/>
              <w:left w:val="none" w:color="auto" w:sz="0"/>
              <w:bottom w:val="none" w:color="auto" w:sz="0"/>
              <w:right w:val="none" w:color="auto" w:sz="0"/>
            </w:tcBorders>
            <w:shd w:fill="B07410" w:color="auto" w:val="clear"/>
            <w:tcMar>
              <w:top w:type="dxa" w:w="20"/>
              <w:left w:type="dxa" w:w="0"/>
              <w:bottom w:type="dxa" w:w="20"/>
              <w:right w:type="dxa" w:w="0"/>
            </w:tcMar>
            <w:vAlign w:val="center"/>
          </w:tcPr>
          <w:p/>
        </w:tc>
      </w:tr>
    </w:tbl>
    <w:p>
      <w:pPr>
        <w:spacing w:after="60" w:before="360"/>
      </w:pPr>
      <w:r>
        <w:rPr>
          <w:rFonts w:ascii="Arial" w:cs="Arial" w:eastAsia="Arial" w:hAnsi="Arial"/>
          <w:b/>
          <w:bCs/>
          <w:i w:val="false"/>
          <w:iCs w:val="false"/>
          <w:color w:val="0E5C5B"/>
          <w:sz w:val="64"/>
          <w:szCs w:val="64"/>
        </w:rPr>
        <w:t xml:space="preserve">PTSD</w:t>
      </w:r>
    </w:p>
    <w:p>
      <w:pPr>
        <w:spacing w:after="80"/>
      </w:pPr>
      <w:r>
        <w:rPr>
          <w:rFonts w:ascii="Arial" w:cs="Arial" w:eastAsia="Arial" w:hAnsi="Arial"/>
          <w:b/>
          <w:bCs/>
          <w:i w:val="false"/>
          <w:iCs w:val="false"/>
          <w:color w:val="B07410"/>
          <w:spacing w:val="30"/>
          <w:sz w:val="19"/>
          <w:szCs w:val="19"/>
        </w:rPr>
        <w:t xml:space="preserve">POST-TRAUMATIC STRESS DISORDER  —  A CASE FOR SMALL-GROUP DISCUSSION</w:t>
      </w:r>
    </w:p>
    <w:p>
      <w:pPr>
        <w:spacing w:after="260"/>
      </w:pPr>
      <w:r>
        <w:rPr>
          <w:rFonts w:ascii="Arial" w:cs="Arial" w:eastAsia="Arial" w:hAnsi="Arial"/>
          <w:b w:val="false"/>
          <w:bCs w:val="false"/>
          <w:i/>
          <w:iCs/>
          <w:color w:val="5B6B6B"/>
          <w:sz w:val="20"/>
          <w:szCs w:val="20"/>
        </w:rPr>
        <w:t xml:space="preserve">A consultation-based scenario for GP registrars. Read the case as a group, work through the four discussion questions with your trainer, then compare your thinking with the guidance notes.</w:t>
      </w:r>
    </w:p>
    <w:tbl>
      <w:tblPr>
        <w:tblW w:type="dxa" w:w="10204"/>
        <w:tblBorders>
          <w:top w:val="none" w:color="auto" w:sz="0"/>
          <w:left w:val="none" w:color="auto" w:sz="0"/>
          <w:bottom w:val="none" w:color="auto" w:sz="0"/>
          <w:right w:val="none" w:color="auto" w:sz="0"/>
          <w:insideH w:val="none" w:color="auto" w:sz="0"/>
          <w:insideV w:val="none" w:color="auto" w:sz="0"/>
        </w:tblBorders>
      </w:tblPr>
      <w:tblGrid>
        <w:gridCol w:w="700"/>
        <w:gridCol w:w="9504"/>
      </w:tblGrid>
      <w:tr>
        <w:trPr>
          <w:cantSplit/>
        </w:trPr>
        <w:tc>
          <w:tcPr>
            <w:tcW w:type="dxa" w:w="700"/>
            <w:tcBorders>
              <w:top w:val="none" w:color="auto" w:sz="0"/>
              <w:left w:val="none" w:color="auto" w:sz="0"/>
              <w:bottom w:val="none" w:color="auto" w:sz="0"/>
              <w:right w:val="none" w:color="auto" w:sz="0"/>
            </w:tcBorders>
            <w:shd w:fill="B07410" w:color="auto" w:val="clear"/>
            <w:tcMar>
              <w:top w:type="dxa" w:w="110"/>
              <w:left w:type="dxa" w:w="60"/>
              <w:bottom w:type="dxa" w:w="110"/>
              <w:right w:type="dxa" w:w="60"/>
            </w:tcMar>
            <w:vAlign w:val="center"/>
          </w:tcPr>
          <w:p>
            <w:pPr>
              <w:jc w:val="center"/>
            </w:pPr>
            <w:r>
              <w:rPr>
                <w:rFonts w:ascii="Arial" w:cs="Arial" w:eastAsia="Arial" w:hAnsi="Arial"/>
                <w:b/>
                <w:bCs/>
                <w:i w:val="false"/>
                <w:iCs w:val="false"/>
                <w:color w:val="FFFFFF"/>
                <w:sz w:val="30"/>
                <w:szCs w:val="30"/>
              </w:rPr>
              <w:t xml:space="preserve">1</w:t>
            </w:r>
          </w:p>
        </w:tc>
        <w:tc>
          <w:tcPr>
            <w:tcW w:type="dxa" w:w="9504"/>
            <w:tcBorders>
              <w:top w:val="none" w:color="auto" w:sz="0"/>
              <w:left w:val="none" w:color="auto" w:sz="0"/>
              <w:bottom w:val="none" w:color="auto" w:sz="0"/>
              <w:right w:val="none" w:color="auto" w:sz="0"/>
            </w:tcBorders>
            <w:shd w:fill="0E5C5B" w:color="auto" w:val="clear"/>
            <w:tcMar>
              <w:top w:type="dxa" w:w="110"/>
              <w:left w:type="dxa" w:w="240"/>
              <w:bottom w:type="dxa" w:w="110"/>
              <w:right w:type="dxa" w:w="160"/>
            </w:tcMar>
            <w:vAlign w:val="center"/>
          </w:tcPr>
          <w:p>
            <w:r>
              <w:rPr>
                <w:rFonts w:ascii="Arial" w:cs="Arial" w:eastAsia="Arial" w:hAnsi="Arial"/>
                <w:b/>
                <w:bCs/>
                <w:i w:val="false"/>
                <w:iCs w:val="false"/>
                <w:color w:val="FFFFFF"/>
                <w:spacing w:val="20"/>
                <w:sz w:val="27"/>
                <w:szCs w:val="27"/>
              </w:rPr>
              <w:t xml:space="preserve">Case discussion</w:t>
            </w:r>
          </w:p>
        </w:tc>
      </w:tr>
    </w:tbl>
    <w:p>
      <w:pPr>
        <w:spacing w:after="160"/>
      </w:pPr>
    </w:p>
    <w:tbl>
      <w:tblPr>
        <w:tblW w:type="dxa" w:w="10204"/>
        <w:tblBorders>
          <w:top w:val="none" w:color="auto" w:sz="0"/>
          <w:left w:val="none" w:color="auto" w:sz="0"/>
          <w:bottom w:val="none" w:color="auto" w:sz="0"/>
          <w:right w:val="none" w:color="auto" w:sz="0"/>
          <w:insideH w:val="none" w:color="auto" w:sz="0"/>
          <w:insideV w:val="none" w:color="auto" w:sz="0"/>
        </w:tblBorders>
      </w:tblPr>
      <w:tblGrid>
        <w:gridCol w:w="10204"/>
      </w:tblGrid>
      <w:tr>
        <w:trPr>
          <w:cantSplit/>
        </w:trPr>
        <w:tc>
          <w:tcPr>
            <w:tcW w:type="dxa" w:w="10204"/>
            <w:tcBorders>
              <w:top w:val="none" w:color="auto" w:sz="0"/>
              <w:left w:val="single" w:color="B07410" w:sz="22"/>
              <w:bottom w:val="none" w:color="auto" w:sz="0"/>
              <w:right w:val="none" w:color="auto" w:sz="0"/>
            </w:tcBorders>
            <w:shd w:fill="FBF3E3" w:color="auto" w:val="clear"/>
            <w:tcMar>
              <w:top w:type="dxa" w:w="180"/>
              <w:left w:type="dxa" w:w="240"/>
              <w:bottom w:type="dxa" w:w="180"/>
              <w:right w:type="dxa" w:w="260"/>
            </w:tcMar>
            <w:vAlign w:val="center"/>
          </w:tcPr>
          <w:p>
            <w:pPr>
              <w:spacing w:after="60"/>
            </w:pPr>
            <w:r>
              <w:rPr>
                <w:rFonts w:ascii="Arial" w:cs="Arial" w:eastAsia="Arial" w:hAnsi="Arial"/>
                <w:b/>
                <w:bCs/>
                <w:i w:val="false"/>
                <w:iCs w:val="false"/>
                <w:color w:val="B07410"/>
                <w:spacing w:val="30"/>
                <w:sz w:val="16"/>
                <w:szCs w:val="16"/>
              </w:rPr>
              <w:t xml:space="preserve">THE SETTING</w:t>
            </w:r>
          </w:p>
          <w:p>
            <w:pPr>
              <w:spacing w:line="288"/>
            </w:pPr>
            <w:r>
              <w:rPr>
                <w:rFonts w:ascii="Arial" w:cs="Arial" w:eastAsia="Arial" w:hAnsi="Arial"/>
                <w:b w:val="false"/>
                <w:bCs w:val="false"/>
                <w:i w:val="false"/>
                <w:iCs w:val="false"/>
                <w:color w:val="1F2A2A"/>
                <w:sz w:val="21"/>
                <w:szCs w:val="21"/>
              </w:rPr>
              <w:t xml:space="preserve">You are in the middle of a busy surgery. Your next patient is a </w:t>
            </w:r>
            <w:r>
              <w:rPr>
                <w:rFonts w:ascii="Arial" w:cs="Arial" w:eastAsia="Arial" w:hAnsi="Arial"/>
                <w:b/>
                <w:bCs/>
                <w:i w:val="false"/>
                <w:iCs w:val="false"/>
                <w:color w:val="1F2A2A"/>
                <w:sz w:val="21"/>
                <w:szCs w:val="21"/>
              </w:rPr>
              <w:t xml:space="preserve">30-year-old man</w:t>
            </w:r>
            <w:r>
              <w:rPr>
                <w:rFonts w:ascii="Arial" w:cs="Arial" w:eastAsia="Arial" w:hAnsi="Arial"/>
                <w:b w:val="false"/>
                <w:bCs w:val="false"/>
                <w:i w:val="false"/>
                <w:iCs w:val="false"/>
                <w:color w:val="1F2A2A"/>
                <w:sz w:val="21"/>
                <w:szCs w:val="21"/>
              </w:rPr>
              <w:t xml:space="preserve"> you have never met. His notes show he is not a frequent attender — before the last two months, he had not been seen for over two years.</w:t>
            </w:r>
          </w:p>
        </w:tc>
      </w:tr>
    </w:tbl>
    <w:p>
      <w:pPr>
        <w:spacing w:after="160"/>
      </w:pPr>
    </w:p>
    <w:p>
      <w:pPr>
        <w:keepNext/>
        <w:spacing w:after="100"/>
      </w:pPr>
      <w:r>
        <w:rPr>
          <w:rFonts w:ascii="Arial" w:cs="Arial" w:eastAsia="Arial" w:hAnsi="Arial"/>
          <w:b/>
          <w:bCs/>
          <w:i w:val="false"/>
          <w:iCs w:val="false"/>
          <w:color w:val="0E5C5B"/>
          <w:spacing w:val="30"/>
          <w:sz w:val="16"/>
          <w:szCs w:val="16"/>
        </w:rPr>
        <w:t xml:space="preserve">WHAT THE RECORDS TELL YOU</w:t>
      </w:r>
    </w:p>
    <w:tbl>
      <w:tblPr>
        <w:tblW w:type="dxa" w:w="10204"/>
        <w:tblBorders>
          <w:top w:val="none" w:color="auto" w:sz="0"/>
          <w:left w:val="none" w:color="auto" w:sz="0"/>
          <w:bottom w:val="none" w:color="auto" w:sz="0"/>
          <w:right w:val="none" w:color="auto" w:sz="0"/>
          <w:insideH w:val="none" w:color="auto" w:sz="0"/>
          <w:insideV w:val="none" w:color="auto" w:sz="0"/>
        </w:tblBorders>
      </w:tblPr>
      <w:tblGrid>
        <w:gridCol w:w="1900"/>
        <w:gridCol w:w="8304"/>
      </w:tblGrid>
      <w:tr>
        <w:trPr>
          <w:cantSplit/>
        </w:trPr>
        <w:tc>
          <w:tcPr>
            <w:tcW w:type="dxa" w:w="1900"/>
            <w:tcBorders>
              <w:top w:val="none" w:color="auto" w:sz="0"/>
              <w:left w:val="single" w:color="B07410" w:sz="22"/>
              <w:bottom w:val="none" w:color="auto" w:sz="0"/>
              <w:right w:val="none" w:color="auto" w:sz="0"/>
            </w:tcBorders>
            <w:shd w:fill="F3F8F8" w:color="auto" w:val="clear"/>
            <w:tcMar>
              <w:top w:type="dxa" w:w="170"/>
              <w:left w:type="dxa" w:w="220"/>
              <w:bottom w:type="dxa" w:w="170"/>
              <w:right w:type="dxa" w:w="120"/>
            </w:tcMar>
            <w:vAlign w:val="top"/>
          </w:tcPr>
          <w:p>
            <w:r>
              <w:rPr>
                <w:rFonts w:ascii="Arial" w:cs="Arial" w:eastAsia="Arial" w:hAnsi="Arial"/>
                <w:b/>
                <w:bCs/>
                <w:i w:val="false"/>
                <w:iCs w:val="false"/>
                <w:color w:val="0E5C5B"/>
                <w:spacing w:val="20"/>
                <w:sz w:val="17"/>
                <w:szCs w:val="17"/>
              </w:rPr>
              <w:t xml:space="preserve">6 WEEKS AGO</w:t>
            </w:r>
          </w:p>
        </w:tc>
        <w:tc>
          <w:tcPr>
            <w:tcW w:type="dxa" w:w="8304"/>
            <w:tcBorders>
              <w:top w:val="none" w:color="auto" w:sz="0"/>
              <w:left w:val="none" w:color="auto" w:sz="0"/>
              <w:bottom w:val="none" w:color="auto" w:sz="0"/>
              <w:right w:val="none" w:color="auto" w:sz="0"/>
            </w:tcBorders>
            <w:shd w:fill="F3F8F8" w:color="auto" w:val="clear"/>
            <w:tcMar>
              <w:top w:type="dxa" w:w="160"/>
              <w:left w:type="dxa" w:w="200"/>
              <w:bottom w:type="dxa" w:w="160"/>
              <w:right w:type="dxa" w:w="260"/>
            </w:tcMar>
            <w:vAlign w:val="top"/>
          </w:tcPr>
          <w:p>
            <w:pPr>
              <w:spacing w:after="0" w:before="0" w:line="288"/>
            </w:pPr>
            <w:r>
              <w:rPr>
                <w:rFonts w:ascii="Arial" w:cs="Arial" w:eastAsia="Arial" w:hAnsi="Arial"/>
                <w:b w:val="false"/>
                <w:bCs w:val="false"/>
                <w:i w:val="false"/>
                <w:iCs w:val="false"/>
                <w:color w:val="1F2A2A"/>
                <w:sz w:val="21"/>
                <w:szCs w:val="21"/>
              </w:rPr>
              <w:t xml:space="preserve">Your colleague saw him for the first time. He is a </w:t>
            </w:r>
            <w:r>
              <w:rPr>
                <w:rFonts w:ascii="Arial" w:cs="Arial" w:eastAsia="Arial" w:hAnsi="Arial"/>
                <w:b/>
                <w:bCs/>
                <w:i w:val="false"/>
                <w:iCs w:val="false"/>
                <w:color w:val="1F2A2A"/>
                <w:sz w:val="21"/>
                <w:szCs w:val="21"/>
              </w:rPr>
              <w:t xml:space="preserve">soldier</w:t>
            </w:r>
            <w:r>
              <w:rPr>
                <w:rFonts w:ascii="Arial" w:cs="Arial" w:eastAsia="Arial" w:hAnsi="Arial"/>
                <w:b w:val="false"/>
                <w:bCs w:val="false"/>
                <w:i w:val="false"/>
                <w:iCs w:val="false"/>
                <w:color w:val="1F2A2A"/>
                <w:sz w:val="21"/>
                <w:szCs w:val="21"/>
              </w:rPr>
              <w:t xml:space="preserve"> who recently returned home from an overseas deployment, having been </w:t>
            </w:r>
            <w:r>
              <w:rPr>
                <w:rFonts w:ascii="Arial" w:cs="Arial" w:eastAsia="Arial" w:hAnsi="Arial"/>
                <w:b/>
                <w:bCs/>
                <w:i w:val="false"/>
                <w:iCs w:val="false"/>
                <w:color w:val="1F2A2A"/>
                <w:sz w:val="21"/>
                <w:szCs w:val="21"/>
              </w:rPr>
              <w:t xml:space="preserve">injured in an explosion</w:t>
            </w:r>
            <w:r>
              <w:rPr>
                <w:rFonts w:ascii="Arial" w:cs="Arial" w:eastAsia="Arial" w:hAnsi="Arial"/>
                <w:b w:val="false"/>
                <w:bCs w:val="false"/>
                <w:i w:val="false"/>
                <w:iCs w:val="false"/>
                <w:color w:val="1F2A2A"/>
                <w:sz w:val="21"/>
                <w:szCs w:val="21"/>
              </w:rPr>
              <w:t xml:space="preserve">. Physically he has recovered well, but he will not be returning to the army.</w:t>
            </w:r>
          </w:p>
          <w:p>
            <w:pPr>
              <w:spacing w:after="0" w:before="80" w:line="288"/>
            </w:pPr>
            <w:r>
              <w:rPr>
                <w:rFonts w:ascii="Arial" w:cs="Arial" w:eastAsia="Arial" w:hAnsi="Arial"/>
                <w:b w:val="false"/>
                <w:bCs w:val="false"/>
                <w:i w:val="false"/>
                <w:iCs w:val="false"/>
                <w:color w:val="1F2A2A"/>
                <w:sz w:val="21"/>
                <w:szCs w:val="21"/>
              </w:rPr>
              <w:t xml:space="preserve">He complained of </w:t>
            </w:r>
            <w:r>
              <w:rPr>
                <w:rFonts w:ascii="Arial" w:cs="Arial" w:eastAsia="Arial" w:hAnsi="Arial"/>
                <w:b/>
                <w:bCs/>
                <w:i w:val="false"/>
                <w:iCs w:val="false"/>
                <w:color w:val="1F2A2A"/>
                <w:sz w:val="21"/>
                <w:szCs w:val="21"/>
              </w:rPr>
              <w:t xml:space="preserve">disturbed sleep, low mood and not feeling himself</w:t>
            </w:r>
            <w:r>
              <w:rPr>
                <w:rFonts w:ascii="Arial" w:cs="Arial" w:eastAsia="Arial" w:hAnsi="Arial"/>
                <w:b w:val="false"/>
                <w:bCs w:val="false"/>
                <w:i w:val="false"/>
                <w:iCs w:val="false"/>
                <w:color w:val="1F2A2A"/>
                <w:sz w:val="21"/>
                <w:szCs w:val="21"/>
              </w:rPr>
              <w:t xml:space="preserve">. He admitted drinking </w:t>
            </w:r>
            <w:r>
              <w:rPr>
                <w:rFonts w:ascii="Arial" w:cs="Arial" w:eastAsia="Arial" w:hAnsi="Arial"/>
                <w:b/>
                <w:bCs/>
                <w:i w:val="false"/>
                <w:iCs w:val="false"/>
                <w:color w:val="1F2A2A"/>
                <w:sz w:val="21"/>
                <w:szCs w:val="21"/>
              </w:rPr>
              <w:t xml:space="preserve">80 units of alcohol a week</w:t>
            </w:r>
            <w:r>
              <w:rPr>
                <w:rFonts w:ascii="Arial" w:cs="Arial" w:eastAsia="Arial" w:hAnsi="Arial"/>
                <w:b w:val="false"/>
                <w:bCs w:val="false"/>
                <w:i w:val="false"/>
                <w:iCs w:val="false"/>
                <w:color w:val="1F2A2A"/>
                <w:sz w:val="21"/>
                <w:szCs w:val="21"/>
              </w:rPr>
              <w:t xml:space="preserve"> and smoking </w:t>
            </w:r>
            <w:r>
              <w:rPr>
                <w:rFonts w:ascii="Arial" w:cs="Arial" w:eastAsia="Arial" w:hAnsi="Arial"/>
                <w:b/>
                <w:bCs/>
                <w:i w:val="false"/>
                <w:iCs w:val="false"/>
                <w:color w:val="1F2A2A"/>
                <w:sz w:val="21"/>
                <w:szCs w:val="21"/>
              </w:rPr>
              <w:t xml:space="preserve">20 cigarettes a day</w:t>
            </w:r>
            <w:r>
              <w:rPr>
                <w:rFonts w:ascii="Arial" w:cs="Arial" w:eastAsia="Arial" w:hAnsi="Arial"/>
                <w:b w:val="false"/>
                <w:bCs w:val="false"/>
                <w:i w:val="false"/>
                <w:iCs w:val="false"/>
                <w:color w:val="1F2A2A"/>
                <w:sz w:val="21"/>
                <w:szCs w:val="21"/>
              </w:rPr>
              <w:t xml:space="preserve">. He was finding it hard to adjust to family life, with frequent arguments with his wife.</w:t>
            </w:r>
          </w:p>
        </w:tc>
      </w:tr>
      <w:tr>
        <w:trPr>
          <w:cantSplit/>
        </w:trPr>
        <w:tc>
          <w:tcPr>
            <w:tcW w:type="dxa" w:w="1900"/>
            <w:tcBorders>
              <w:top w:val="none" w:color="auto" w:sz="0"/>
              <w:left w:val="single" w:color="B07410" w:sz="22"/>
              <w:bottom w:val="none" w:color="auto" w:sz="0"/>
              <w:right w:val="none" w:color="auto" w:sz="0"/>
            </w:tcBorders>
            <w:shd w:fill="FFFFFF" w:color="auto" w:val="clear"/>
            <w:tcMar>
              <w:top w:type="dxa" w:w="170"/>
              <w:left w:type="dxa" w:w="220"/>
              <w:bottom w:type="dxa" w:w="170"/>
              <w:right w:type="dxa" w:w="120"/>
            </w:tcMar>
            <w:vAlign w:val="top"/>
          </w:tcPr>
          <w:p>
            <w:r>
              <w:rPr>
                <w:rFonts w:ascii="Arial" w:cs="Arial" w:eastAsia="Arial" w:hAnsi="Arial"/>
                <w:b/>
                <w:bCs/>
                <w:i w:val="false"/>
                <w:iCs w:val="false"/>
                <w:color w:val="0E5C5B"/>
                <w:spacing w:val="20"/>
                <w:sz w:val="17"/>
                <w:szCs w:val="17"/>
              </w:rPr>
              <w:t xml:space="preserve">4 WEEKS AGO</w:t>
            </w:r>
          </w:p>
        </w:tc>
        <w:tc>
          <w:tcPr>
            <w:tcW w:type="dxa" w:w="8304"/>
            <w:tcBorders>
              <w:top w:val="none" w:color="auto" w:sz="0"/>
              <w:left w:val="none" w:color="auto" w:sz="0"/>
              <w:bottom w:val="none" w:color="auto" w:sz="0"/>
              <w:right w:val="none" w:color="auto" w:sz="0"/>
            </w:tcBorders>
            <w:shd w:fill="FFFFFF" w:color="auto" w:val="clear"/>
            <w:tcMar>
              <w:top w:type="dxa" w:w="160"/>
              <w:left w:type="dxa" w:w="200"/>
              <w:bottom w:type="dxa" w:w="160"/>
              <w:right w:type="dxa" w:w="260"/>
            </w:tcMar>
            <w:vAlign w:val="top"/>
          </w:tcPr>
          <w:p>
            <w:pPr>
              <w:spacing w:after="0" w:before="0" w:line="288"/>
            </w:pPr>
            <w:r>
              <w:rPr>
                <w:rFonts w:ascii="Arial" w:cs="Arial" w:eastAsia="Arial" w:hAnsi="Arial"/>
                <w:b w:val="false"/>
                <w:bCs w:val="false"/>
                <w:i w:val="false"/>
                <w:iCs w:val="false"/>
                <w:color w:val="1F2A2A"/>
                <w:sz w:val="21"/>
                <w:szCs w:val="21"/>
              </w:rPr>
              <w:t xml:space="preserve">He saw your colleague again and was </w:t>
            </w:r>
            <w:r>
              <w:rPr>
                <w:rFonts w:ascii="Arial" w:cs="Arial" w:eastAsia="Arial" w:hAnsi="Arial"/>
                <w:b/>
                <w:bCs/>
                <w:i w:val="false"/>
                <w:iCs w:val="false"/>
                <w:color w:val="1F2A2A"/>
                <w:sz w:val="21"/>
                <w:szCs w:val="21"/>
              </w:rPr>
              <w:t xml:space="preserve">started on an SSRI</w:t>
            </w:r>
            <w:r>
              <w:rPr>
                <w:rFonts w:ascii="Arial" w:cs="Arial" w:eastAsia="Arial" w:hAnsi="Arial"/>
                <w:b w:val="false"/>
                <w:bCs w:val="false"/>
                <w:i w:val="false"/>
                <w:iCs w:val="false"/>
                <w:color w:val="1F2A2A"/>
                <w:sz w:val="21"/>
                <w:szCs w:val="21"/>
              </w:rPr>
              <w:t xml:space="preserve">.</w:t>
            </w:r>
          </w:p>
        </w:tc>
      </w:tr>
      <w:tr>
        <w:trPr>
          <w:cantSplit/>
        </w:trPr>
        <w:tc>
          <w:tcPr>
            <w:tcW w:type="dxa" w:w="1900"/>
            <w:tcBorders>
              <w:top w:val="none" w:color="auto" w:sz="0"/>
              <w:left w:val="single" w:color="B07410" w:sz="22"/>
              <w:bottom w:val="none" w:color="auto" w:sz="0"/>
              <w:right w:val="none" w:color="auto" w:sz="0"/>
            </w:tcBorders>
            <w:shd w:fill="F3F8F8" w:color="auto" w:val="clear"/>
            <w:tcMar>
              <w:top w:type="dxa" w:w="170"/>
              <w:left w:type="dxa" w:w="220"/>
              <w:bottom w:type="dxa" w:w="170"/>
              <w:right w:type="dxa" w:w="120"/>
            </w:tcMar>
            <w:vAlign w:val="top"/>
          </w:tcPr>
          <w:p>
            <w:r>
              <w:rPr>
                <w:rFonts w:ascii="Arial" w:cs="Arial" w:eastAsia="Arial" w:hAnsi="Arial"/>
                <w:b/>
                <w:bCs/>
                <w:i w:val="false"/>
                <w:iCs w:val="false"/>
                <w:color w:val="0E5C5B"/>
                <w:spacing w:val="20"/>
                <w:sz w:val="17"/>
                <w:szCs w:val="17"/>
              </w:rPr>
              <w:t xml:space="preserve">1 WEEK AGO</w:t>
            </w:r>
          </w:p>
        </w:tc>
        <w:tc>
          <w:tcPr>
            <w:tcW w:type="dxa" w:w="8304"/>
            <w:tcBorders>
              <w:top w:val="none" w:color="auto" w:sz="0"/>
              <w:left w:val="none" w:color="auto" w:sz="0"/>
              <w:bottom w:val="none" w:color="auto" w:sz="0"/>
              <w:right w:val="none" w:color="auto" w:sz="0"/>
            </w:tcBorders>
            <w:shd w:fill="F3F8F8" w:color="auto" w:val="clear"/>
            <w:tcMar>
              <w:top w:type="dxa" w:w="160"/>
              <w:left w:type="dxa" w:w="200"/>
              <w:bottom w:type="dxa" w:w="160"/>
              <w:right w:type="dxa" w:w="260"/>
            </w:tcMar>
            <w:vAlign w:val="top"/>
          </w:tcPr>
          <w:p>
            <w:pPr>
              <w:spacing w:after="0" w:before="0" w:line="288"/>
            </w:pPr>
            <w:r>
              <w:rPr>
                <w:rFonts w:ascii="Arial" w:cs="Arial" w:eastAsia="Arial" w:hAnsi="Arial"/>
                <w:b w:val="false"/>
                <w:bCs w:val="false"/>
                <w:i w:val="false"/>
                <w:iCs w:val="false"/>
                <w:color w:val="1F2A2A"/>
                <w:sz w:val="21"/>
                <w:szCs w:val="21"/>
              </w:rPr>
              <w:t xml:space="preserve">The most recent entry is a </w:t>
            </w:r>
            <w:r>
              <w:rPr>
                <w:rFonts w:ascii="Arial" w:cs="Arial" w:eastAsia="Arial" w:hAnsi="Arial"/>
                <w:b/>
                <w:bCs/>
                <w:i w:val="false"/>
                <w:iCs w:val="false"/>
                <w:color w:val="1F2A2A"/>
                <w:sz w:val="21"/>
                <w:szCs w:val="21"/>
              </w:rPr>
              <w:t xml:space="preserve">hospital discharge letter</w:t>
            </w:r>
            <w:r>
              <w:rPr>
                <w:rFonts w:ascii="Arial" w:cs="Arial" w:eastAsia="Arial" w:hAnsi="Arial"/>
                <w:b w:val="false"/>
                <w:bCs w:val="false"/>
                <w:i w:val="false"/>
                <w:iCs w:val="false"/>
                <w:color w:val="1F2A2A"/>
                <w:sz w:val="21"/>
                <w:szCs w:val="21"/>
              </w:rPr>
              <w:t xml:space="preserve">. He was admitted via A&amp;E with a </w:t>
            </w:r>
            <w:r>
              <w:rPr>
                <w:rFonts w:ascii="Arial" w:cs="Arial" w:eastAsia="Arial" w:hAnsi="Arial"/>
                <w:b/>
                <w:bCs/>
                <w:i w:val="false"/>
                <w:iCs w:val="false"/>
                <w:color w:val="1F2A2A"/>
                <w:sz w:val="21"/>
                <w:szCs w:val="21"/>
              </w:rPr>
              <w:t xml:space="preserve">stab wound to his arm</w:t>
            </w:r>
            <w:r>
              <w:rPr>
                <w:rFonts w:ascii="Arial" w:cs="Arial" w:eastAsia="Arial" w:hAnsi="Arial"/>
                <w:b w:val="false"/>
                <w:bCs w:val="false"/>
                <w:i w:val="false"/>
                <w:iCs w:val="false"/>
                <w:color w:val="1F2A2A"/>
                <w:sz w:val="21"/>
                <w:szCs w:val="21"/>
              </w:rPr>
              <w:t xml:space="preserve"> requiring surgical intervention. The circumstances of the injury are unclear.</w:t>
            </w:r>
          </w:p>
          <w:p>
            <w:pPr>
              <w:spacing w:after="0" w:before="80" w:line="288"/>
            </w:pPr>
            <w:r>
              <w:rPr>
                <w:rFonts w:ascii="Arial" w:cs="Arial" w:eastAsia="Arial" w:hAnsi="Arial"/>
                <w:b w:val="false"/>
                <w:bCs w:val="false"/>
                <w:i w:val="false"/>
                <w:iCs w:val="false"/>
                <w:color w:val="1F2A2A"/>
                <w:sz w:val="21"/>
                <w:szCs w:val="21"/>
              </w:rPr>
              <w:t xml:space="preserve">The consultant asks you, as his GP, to explore the possibility that this may have been </w:t>
            </w:r>
            <w:r>
              <w:rPr>
                <w:rFonts w:ascii="Arial" w:cs="Arial" w:eastAsia="Arial" w:hAnsi="Arial"/>
                <w:b/>
                <w:bCs/>
                <w:i w:val="false"/>
                <w:iCs w:val="false"/>
                <w:color w:val="1F2A2A"/>
                <w:sz w:val="21"/>
                <w:szCs w:val="21"/>
              </w:rPr>
              <w:t xml:space="preserve">self-harm</w:t>
            </w:r>
            <w:r>
              <w:rPr>
                <w:rFonts w:ascii="Arial" w:cs="Arial" w:eastAsia="Arial" w:hAnsi="Arial"/>
                <w:b w:val="false"/>
                <w:bCs w:val="false"/>
                <w:i w:val="false"/>
                <w:iCs w:val="false"/>
                <w:color w:val="1F2A2A"/>
                <w:sz w:val="21"/>
                <w:szCs w:val="21"/>
              </w:rPr>
              <w:t xml:space="preserve">, and suggests that referral to a psychiatrist may be in order.</w:t>
            </w:r>
          </w:p>
        </w:tc>
      </w:tr>
      <w:tr>
        <w:trPr>
          <w:cantSplit/>
        </w:trPr>
        <w:tc>
          <w:tcPr>
            <w:tcW w:type="dxa" w:w="1900"/>
            <w:tcBorders>
              <w:top w:val="none" w:color="auto" w:sz="0"/>
              <w:left w:val="single" w:color="B07410" w:sz="22"/>
              <w:bottom w:val="none" w:color="auto" w:sz="0"/>
              <w:right w:val="none" w:color="auto" w:sz="0"/>
            </w:tcBorders>
            <w:shd w:fill="FFFFFF" w:color="auto" w:val="clear"/>
            <w:tcMar>
              <w:top w:type="dxa" w:w="170"/>
              <w:left w:type="dxa" w:w="220"/>
              <w:bottom w:type="dxa" w:w="170"/>
              <w:right w:type="dxa" w:w="120"/>
            </w:tcMar>
            <w:vAlign w:val="top"/>
          </w:tcPr>
          <w:p>
            <w:r>
              <w:rPr>
                <w:rFonts w:ascii="Arial" w:cs="Arial" w:eastAsia="Arial" w:hAnsi="Arial"/>
                <w:b/>
                <w:bCs/>
                <w:i w:val="false"/>
                <w:iCs w:val="false"/>
                <w:color w:val="0E5C5B"/>
                <w:spacing w:val="20"/>
                <w:sz w:val="17"/>
                <w:szCs w:val="17"/>
              </w:rPr>
              <w:t xml:space="preserve">TODAY</w:t>
            </w:r>
          </w:p>
        </w:tc>
        <w:tc>
          <w:tcPr>
            <w:tcW w:type="dxa" w:w="8304"/>
            <w:tcBorders>
              <w:top w:val="none" w:color="auto" w:sz="0"/>
              <w:left w:val="none" w:color="auto" w:sz="0"/>
              <w:bottom w:val="none" w:color="auto" w:sz="0"/>
              <w:right w:val="none" w:color="auto" w:sz="0"/>
            </w:tcBorders>
            <w:shd w:fill="FFFFFF" w:color="auto" w:val="clear"/>
            <w:tcMar>
              <w:top w:type="dxa" w:w="160"/>
              <w:left w:type="dxa" w:w="200"/>
              <w:bottom w:type="dxa" w:w="160"/>
              <w:right w:type="dxa" w:w="260"/>
            </w:tcMar>
            <w:vAlign w:val="top"/>
          </w:tcPr>
          <w:p>
            <w:pPr>
              <w:spacing w:after="0" w:before="0" w:line="288"/>
            </w:pPr>
            <w:r>
              <w:rPr>
                <w:rFonts w:ascii="Arial" w:cs="Arial" w:eastAsia="Arial" w:hAnsi="Arial"/>
                <w:b w:val="false"/>
                <w:bCs w:val="false"/>
                <w:i w:val="false"/>
                <w:iCs w:val="false"/>
                <w:color w:val="1F2A2A"/>
                <w:sz w:val="21"/>
                <w:szCs w:val="21"/>
              </w:rPr>
              <w:t xml:space="preserve">It is now </w:t>
            </w:r>
            <w:r>
              <w:rPr>
                <w:rFonts w:ascii="Arial" w:cs="Arial" w:eastAsia="Arial" w:hAnsi="Arial"/>
                <w:b/>
                <w:bCs/>
                <w:i w:val="false"/>
                <w:iCs w:val="false"/>
                <w:color w:val="1F2A2A"/>
                <w:sz w:val="21"/>
                <w:szCs w:val="21"/>
              </w:rPr>
              <w:t xml:space="preserve">one month since he started his antidepressant</w:t>
            </w:r>
            <w:r>
              <w:rPr>
                <w:rFonts w:ascii="Arial" w:cs="Arial" w:eastAsia="Arial" w:hAnsi="Arial"/>
                <w:b w:val="false"/>
                <w:bCs w:val="false"/>
                <w:i w:val="false"/>
                <w:iCs w:val="false"/>
                <w:color w:val="1F2A2A"/>
                <w:sz w:val="21"/>
                <w:szCs w:val="21"/>
              </w:rPr>
              <w:t xml:space="preserve">. He is back to see you for </w:t>
            </w:r>
            <w:r>
              <w:rPr>
                <w:rFonts w:ascii="Arial" w:cs="Arial" w:eastAsia="Arial" w:hAnsi="Arial"/>
                <w:b/>
                <w:bCs/>
                <w:i w:val="false"/>
                <w:iCs w:val="false"/>
                <w:color w:val="1F2A2A"/>
                <w:sz w:val="21"/>
                <w:szCs w:val="21"/>
              </w:rPr>
              <w:t xml:space="preserve">review and more tablets</w:t>
            </w:r>
            <w:r>
              <w:rPr>
                <w:rFonts w:ascii="Arial" w:cs="Arial" w:eastAsia="Arial" w:hAnsi="Arial"/>
                <w:b w:val="false"/>
                <w:bCs w:val="false"/>
                <w:i w:val="false"/>
                <w:iCs w:val="false"/>
                <w:color w:val="1F2A2A"/>
                <w:sz w:val="21"/>
                <w:szCs w:val="21"/>
              </w:rPr>
              <w:t xml:space="preserve">.</w:t>
            </w:r>
          </w:p>
        </w:tc>
      </w:tr>
    </w:tbl>
    <w:p>
      <w:pPr>
        <w:pageBreakBefore/>
      </w:pPr>
    </w:p>
    <w:tbl>
      <w:tblPr>
        <w:tblW w:type="dxa" w:w="10204"/>
        <w:tblBorders>
          <w:top w:val="none" w:color="auto" w:sz="0"/>
          <w:left w:val="none" w:color="auto" w:sz="0"/>
          <w:bottom w:val="none" w:color="auto" w:sz="0"/>
          <w:right w:val="none" w:color="auto" w:sz="0"/>
          <w:insideH w:val="none" w:color="auto" w:sz="0"/>
          <w:insideV w:val="none" w:color="auto" w:sz="0"/>
        </w:tblBorders>
      </w:tblPr>
      <w:tblGrid>
        <w:gridCol w:w="700"/>
        <w:gridCol w:w="9504"/>
      </w:tblGrid>
      <w:tr>
        <w:trPr>
          <w:cantSplit/>
        </w:trPr>
        <w:tc>
          <w:tcPr>
            <w:tcW w:type="dxa" w:w="700"/>
            <w:tcBorders>
              <w:top w:val="none" w:color="auto" w:sz="0"/>
              <w:left w:val="none" w:color="auto" w:sz="0"/>
              <w:bottom w:val="none" w:color="auto" w:sz="0"/>
              <w:right w:val="none" w:color="auto" w:sz="0"/>
            </w:tcBorders>
            <w:shd w:fill="B07410" w:color="auto" w:val="clear"/>
            <w:tcMar>
              <w:top w:type="dxa" w:w="110"/>
              <w:left w:type="dxa" w:w="60"/>
              <w:bottom w:type="dxa" w:w="110"/>
              <w:right w:type="dxa" w:w="60"/>
            </w:tcMar>
            <w:vAlign w:val="center"/>
          </w:tcPr>
          <w:p>
            <w:pPr>
              <w:jc w:val="center"/>
            </w:pPr>
            <w:r>
              <w:rPr>
                <w:rFonts w:ascii="Arial" w:cs="Arial" w:eastAsia="Arial" w:hAnsi="Arial"/>
                <w:b/>
                <w:bCs/>
                <w:i w:val="false"/>
                <w:iCs w:val="false"/>
                <w:color w:val="FFFFFF"/>
                <w:sz w:val="30"/>
                <w:szCs w:val="30"/>
              </w:rPr>
              <w:t xml:space="preserve">2</w:t>
            </w:r>
          </w:p>
        </w:tc>
        <w:tc>
          <w:tcPr>
            <w:tcW w:type="dxa" w:w="9504"/>
            <w:tcBorders>
              <w:top w:val="none" w:color="auto" w:sz="0"/>
              <w:left w:val="none" w:color="auto" w:sz="0"/>
              <w:bottom w:val="none" w:color="auto" w:sz="0"/>
              <w:right w:val="none" w:color="auto" w:sz="0"/>
            </w:tcBorders>
            <w:shd w:fill="0E5C5B" w:color="auto" w:val="clear"/>
            <w:tcMar>
              <w:top w:type="dxa" w:w="110"/>
              <w:left w:type="dxa" w:w="240"/>
              <w:bottom w:type="dxa" w:w="110"/>
              <w:right w:type="dxa" w:w="160"/>
            </w:tcMar>
            <w:vAlign w:val="center"/>
          </w:tcPr>
          <w:p>
            <w:r>
              <w:rPr>
                <w:rFonts w:ascii="Arial" w:cs="Arial" w:eastAsia="Arial" w:hAnsi="Arial"/>
                <w:b/>
                <w:bCs/>
                <w:i w:val="false"/>
                <w:iCs w:val="false"/>
                <w:color w:val="FFFFFF"/>
                <w:spacing w:val="20"/>
                <w:sz w:val="27"/>
                <w:szCs w:val="27"/>
              </w:rPr>
              <w:t xml:space="preserve">Areas for discussion</w:t>
            </w:r>
          </w:p>
        </w:tc>
      </w:tr>
    </w:tbl>
    <w:p>
      <w:pPr>
        <w:spacing w:after="200"/>
      </w:pPr>
    </w:p>
    <w:tbl>
      <w:tblPr>
        <w:tblW w:type="dxa" w:w="10204"/>
        <w:tblBorders>
          <w:top w:val="none" w:color="auto" w:sz="0"/>
          <w:left w:val="none" w:color="auto" w:sz="0"/>
          <w:bottom w:val="none" w:color="auto" w:sz="0"/>
          <w:right w:val="none" w:color="auto" w:sz="0"/>
          <w:insideH w:val="none" w:color="auto" w:sz="0"/>
          <w:insideV w:val="none" w:color="auto" w:sz="0"/>
        </w:tblBorders>
      </w:tblPr>
      <w:tblGrid>
        <w:gridCol w:w="700"/>
        <w:gridCol w:w="9504"/>
      </w:tblGrid>
      <w:tr>
        <w:trPr>
          <w:cantSplit/>
        </w:trPr>
        <w:tc>
          <w:tcPr>
            <w:tcW w:type="dxa" w:w="700"/>
            <w:tcBorders>
              <w:top w:val="none" w:color="auto" w:sz="0"/>
              <w:left w:val="single" w:color="0E5C5B" w:sz="22"/>
              <w:bottom w:val="none" w:color="auto" w:sz="0"/>
              <w:right w:val="none" w:color="auto" w:sz="0"/>
            </w:tcBorders>
            <w:shd w:fill="E7F1F0" w:color="auto" w:val="clear"/>
            <w:tcMar>
              <w:top w:type="dxa" w:w="150"/>
              <w:left w:type="dxa" w:w="60"/>
              <w:bottom w:type="dxa" w:w="150"/>
              <w:right w:type="dxa" w:w="60"/>
            </w:tcMar>
            <w:vAlign w:val="center"/>
          </w:tcPr>
          <w:p>
            <w:pPr>
              <w:jc w:val="center"/>
            </w:pPr>
            <w:r>
              <w:rPr>
                <w:rFonts w:ascii="Arial" w:cs="Arial" w:eastAsia="Arial" w:hAnsi="Arial"/>
                <w:b/>
                <w:bCs/>
                <w:i w:val="false"/>
                <w:iCs w:val="false"/>
                <w:color w:val="0E5C5B"/>
                <w:sz w:val="30"/>
                <w:szCs w:val="30"/>
              </w:rPr>
              <w:t xml:space="preserve">1</w:t>
            </w:r>
          </w:p>
        </w:tc>
        <w:tc>
          <w:tcPr>
            <w:tcW w:type="dxa" w:w="9504"/>
            <w:tcBorders>
              <w:top w:val="none" w:color="auto" w:sz="0"/>
              <w:left w:val="none" w:color="auto" w:sz="0"/>
              <w:bottom w:val="none" w:color="auto" w:sz="0"/>
              <w:right w:val="none" w:color="auto" w:sz="0"/>
            </w:tcBorders>
            <w:shd w:fill="F3F8F8" w:color="auto" w:val="clear"/>
            <w:tcMar>
              <w:top w:type="dxa" w:w="150"/>
              <w:left w:type="dxa" w:w="240"/>
              <w:bottom w:type="dxa" w:w="150"/>
              <w:right w:type="dxa" w:w="240"/>
            </w:tcMar>
            <w:vAlign w:val="center"/>
          </w:tcPr>
          <w:p>
            <w:pPr>
              <w:spacing w:after="0" w:before="0" w:line="288"/>
            </w:pPr>
            <w:r>
              <w:rPr>
                <w:rFonts w:ascii="Arial" w:cs="Arial" w:eastAsia="Arial" w:hAnsi="Arial"/>
                <w:b/>
                <w:bCs/>
                <w:i w:val="false"/>
                <w:iCs w:val="false"/>
                <w:color w:val="1F2A2A"/>
                <w:sz w:val="21"/>
                <w:szCs w:val="21"/>
              </w:rPr>
              <w:t xml:space="preserve">What are your thoughts </w:t>
            </w:r>
            <w:r>
              <w:rPr>
                <w:rFonts w:ascii="Arial" w:cs="Arial" w:eastAsia="Arial" w:hAnsi="Arial"/>
                <w:b/>
                <w:bCs/>
                <w:i/>
                <w:iCs/>
                <w:color w:val="1F2A2A"/>
                <w:sz w:val="21"/>
                <w:szCs w:val="21"/>
              </w:rPr>
              <w:t xml:space="preserve">before</w:t>
            </w:r>
            <w:r>
              <w:rPr>
                <w:rFonts w:ascii="Arial" w:cs="Arial" w:eastAsia="Arial" w:hAnsi="Arial"/>
                <w:b/>
                <w:bCs/>
                <w:i w:val="false"/>
                <w:iCs w:val="false"/>
                <w:color w:val="1F2A2A"/>
                <w:sz w:val="21"/>
                <w:szCs w:val="21"/>
              </w:rPr>
              <w:t xml:space="preserve"> seeing the patient?</w:t>
            </w:r>
          </w:p>
        </w:tc>
      </w:tr>
    </w:tbl>
    <w:p>
      <w:pPr>
        <w:spacing w:after="160"/>
      </w:pPr>
    </w:p>
    <w:tbl>
      <w:tblPr>
        <w:tblW w:type="dxa" w:w="10204"/>
        <w:tblBorders>
          <w:top w:val="none" w:color="auto" w:sz="0"/>
          <w:left w:val="none" w:color="auto" w:sz="0"/>
          <w:bottom w:val="none" w:color="auto" w:sz="0"/>
          <w:right w:val="none" w:color="auto" w:sz="0"/>
          <w:insideH w:val="none" w:color="auto" w:sz="0"/>
          <w:insideV w:val="none" w:color="auto" w:sz="0"/>
        </w:tblBorders>
      </w:tblPr>
      <w:tblGrid>
        <w:gridCol w:w="700"/>
        <w:gridCol w:w="9504"/>
      </w:tblGrid>
      <w:tr>
        <w:trPr>
          <w:cantSplit/>
        </w:trPr>
        <w:tc>
          <w:tcPr>
            <w:tcW w:type="dxa" w:w="700"/>
            <w:tcBorders>
              <w:top w:val="none" w:color="auto" w:sz="0"/>
              <w:left w:val="single" w:color="0E5C5B" w:sz="22"/>
              <w:bottom w:val="none" w:color="auto" w:sz="0"/>
              <w:right w:val="none" w:color="auto" w:sz="0"/>
            </w:tcBorders>
            <w:shd w:fill="E7F1F0" w:color="auto" w:val="clear"/>
            <w:tcMar>
              <w:top w:type="dxa" w:w="150"/>
              <w:left w:type="dxa" w:w="60"/>
              <w:bottom w:type="dxa" w:w="150"/>
              <w:right w:type="dxa" w:w="60"/>
            </w:tcMar>
            <w:vAlign w:val="center"/>
          </w:tcPr>
          <w:p>
            <w:pPr>
              <w:jc w:val="center"/>
            </w:pPr>
            <w:r>
              <w:rPr>
                <w:rFonts w:ascii="Arial" w:cs="Arial" w:eastAsia="Arial" w:hAnsi="Arial"/>
                <w:b/>
                <w:bCs/>
                <w:i w:val="false"/>
                <w:iCs w:val="false"/>
                <w:color w:val="0E5C5B"/>
                <w:sz w:val="30"/>
                <w:szCs w:val="30"/>
              </w:rPr>
              <w:t xml:space="preserve">2</w:t>
            </w:r>
          </w:p>
        </w:tc>
        <w:tc>
          <w:tcPr>
            <w:tcW w:type="dxa" w:w="9504"/>
            <w:tcBorders>
              <w:top w:val="none" w:color="auto" w:sz="0"/>
              <w:left w:val="none" w:color="auto" w:sz="0"/>
              <w:bottom w:val="none" w:color="auto" w:sz="0"/>
              <w:right w:val="none" w:color="auto" w:sz="0"/>
            </w:tcBorders>
            <w:shd w:fill="F3F8F8" w:color="auto" w:val="clear"/>
            <w:tcMar>
              <w:top w:type="dxa" w:w="150"/>
              <w:left w:type="dxa" w:w="240"/>
              <w:bottom w:type="dxa" w:w="150"/>
              <w:right w:type="dxa" w:w="240"/>
            </w:tcMar>
            <w:vAlign w:val="center"/>
          </w:tcPr>
          <w:p>
            <w:pPr>
              <w:spacing w:after="0" w:before="0" w:line="288"/>
            </w:pPr>
            <w:r>
              <w:rPr>
                <w:rFonts w:ascii="Arial" w:cs="Arial" w:eastAsia="Arial" w:hAnsi="Arial"/>
                <w:b/>
                <w:bCs/>
                <w:i w:val="false"/>
                <w:iCs w:val="false"/>
                <w:color w:val="1F2A2A"/>
                <w:sz w:val="21"/>
                <w:szCs w:val="21"/>
              </w:rPr>
              <w:t xml:space="preserve">How will you approach the consultation?</w:t>
            </w:r>
          </w:p>
          <w:p>
            <w:pPr>
              <w:spacing w:after="0" w:before="40" w:line="288"/>
            </w:pPr>
            <w:r>
              <w:rPr>
                <w:rFonts w:ascii="Arial" w:cs="Arial" w:eastAsia="Arial" w:hAnsi="Arial"/>
                <w:b w:val="false"/>
                <w:bCs w:val="false"/>
                <w:i w:val="false"/>
                <w:iCs w:val="false"/>
                <w:color w:val="5B6B6B"/>
                <w:sz w:val="21"/>
                <w:szCs w:val="21"/>
              </w:rPr>
              <w:t xml:space="preserve">What areas do you want to cover — what is your agenda?</w:t>
            </w:r>
          </w:p>
        </w:tc>
      </w:tr>
    </w:tbl>
    <w:p>
      <w:pPr>
        <w:spacing w:after="160"/>
      </w:pPr>
    </w:p>
    <w:tbl>
      <w:tblPr>
        <w:tblW w:type="dxa" w:w="10204"/>
        <w:tblBorders>
          <w:top w:val="none" w:color="auto" w:sz="0"/>
          <w:left w:val="none" w:color="auto" w:sz="0"/>
          <w:bottom w:val="none" w:color="auto" w:sz="0"/>
          <w:right w:val="none" w:color="auto" w:sz="0"/>
          <w:insideH w:val="none" w:color="auto" w:sz="0"/>
          <w:insideV w:val="none" w:color="auto" w:sz="0"/>
        </w:tblBorders>
      </w:tblPr>
      <w:tblGrid>
        <w:gridCol w:w="700"/>
        <w:gridCol w:w="9504"/>
      </w:tblGrid>
      <w:tr>
        <w:trPr>
          <w:cantSplit/>
        </w:trPr>
        <w:tc>
          <w:tcPr>
            <w:tcW w:type="dxa" w:w="700"/>
            <w:tcBorders>
              <w:top w:val="none" w:color="auto" w:sz="0"/>
              <w:left w:val="single" w:color="0E5C5B" w:sz="22"/>
              <w:bottom w:val="none" w:color="auto" w:sz="0"/>
              <w:right w:val="none" w:color="auto" w:sz="0"/>
            </w:tcBorders>
            <w:shd w:fill="E7F1F0" w:color="auto" w:val="clear"/>
            <w:tcMar>
              <w:top w:type="dxa" w:w="150"/>
              <w:left w:type="dxa" w:w="60"/>
              <w:bottom w:type="dxa" w:w="150"/>
              <w:right w:type="dxa" w:w="60"/>
            </w:tcMar>
            <w:vAlign w:val="center"/>
          </w:tcPr>
          <w:p>
            <w:pPr>
              <w:jc w:val="center"/>
            </w:pPr>
            <w:r>
              <w:rPr>
                <w:rFonts w:ascii="Arial" w:cs="Arial" w:eastAsia="Arial" w:hAnsi="Arial"/>
                <w:b/>
                <w:bCs/>
                <w:i w:val="false"/>
                <w:iCs w:val="false"/>
                <w:color w:val="0E5C5B"/>
                <w:sz w:val="30"/>
                <w:szCs w:val="30"/>
              </w:rPr>
              <w:t xml:space="preserve">3</w:t>
            </w:r>
          </w:p>
        </w:tc>
        <w:tc>
          <w:tcPr>
            <w:tcW w:type="dxa" w:w="9504"/>
            <w:tcBorders>
              <w:top w:val="none" w:color="auto" w:sz="0"/>
              <w:left w:val="none" w:color="auto" w:sz="0"/>
              <w:bottom w:val="none" w:color="auto" w:sz="0"/>
              <w:right w:val="none" w:color="auto" w:sz="0"/>
            </w:tcBorders>
            <w:shd w:fill="F3F8F8" w:color="auto" w:val="clear"/>
            <w:tcMar>
              <w:top w:type="dxa" w:w="150"/>
              <w:left w:type="dxa" w:w="240"/>
              <w:bottom w:type="dxa" w:w="150"/>
              <w:right w:type="dxa" w:w="240"/>
            </w:tcMar>
            <w:vAlign w:val="center"/>
          </w:tcPr>
          <w:p>
            <w:pPr>
              <w:spacing w:after="0" w:before="0" w:line="288"/>
            </w:pPr>
            <w:r>
              <w:rPr>
                <w:rFonts w:ascii="Arial" w:cs="Arial" w:eastAsia="Arial" w:hAnsi="Arial"/>
                <w:b/>
                <w:bCs/>
                <w:i w:val="false"/>
                <w:iCs w:val="false"/>
                <w:color w:val="1F2A2A"/>
                <w:sz w:val="21"/>
                <w:szCs w:val="21"/>
              </w:rPr>
              <w:t xml:space="preserve">How will you bring up his recent hospital admission?</w:t>
            </w:r>
          </w:p>
        </w:tc>
      </w:tr>
    </w:tbl>
    <w:p>
      <w:pPr>
        <w:spacing w:after="160"/>
      </w:pPr>
    </w:p>
    <w:tbl>
      <w:tblPr>
        <w:tblW w:type="dxa" w:w="10204"/>
        <w:tblBorders>
          <w:top w:val="none" w:color="auto" w:sz="0"/>
          <w:left w:val="none" w:color="auto" w:sz="0"/>
          <w:bottom w:val="none" w:color="auto" w:sz="0"/>
          <w:right w:val="none" w:color="auto" w:sz="0"/>
          <w:insideH w:val="none" w:color="auto" w:sz="0"/>
          <w:insideV w:val="none" w:color="auto" w:sz="0"/>
        </w:tblBorders>
      </w:tblPr>
      <w:tblGrid>
        <w:gridCol w:w="700"/>
        <w:gridCol w:w="9504"/>
      </w:tblGrid>
      <w:tr>
        <w:trPr>
          <w:cantSplit/>
        </w:trPr>
        <w:tc>
          <w:tcPr>
            <w:tcW w:type="dxa" w:w="700"/>
            <w:tcBorders>
              <w:top w:val="none" w:color="auto" w:sz="0"/>
              <w:left w:val="single" w:color="0E5C5B" w:sz="22"/>
              <w:bottom w:val="none" w:color="auto" w:sz="0"/>
              <w:right w:val="none" w:color="auto" w:sz="0"/>
            </w:tcBorders>
            <w:shd w:fill="E7F1F0" w:color="auto" w:val="clear"/>
            <w:tcMar>
              <w:top w:type="dxa" w:w="150"/>
              <w:left w:type="dxa" w:w="60"/>
              <w:bottom w:type="dxa" w:w="150"/>
              <w:right w:type="dxa" w:w="60"/>
            </w:tcMar>
            <w:vAlign w:val="center"/>
          </w:tcPr>
          <w:p>
            <w:pPr>
              <w:jc w:val="center"/>
            </w:pPr>
            <w:r>
              <w:rPr>
                <w:rFonts w:ascii="Arial" w:cs="Arial" w:eastAsia="Arial" w:hAnsi="Arial"/>
                <w:b/>
                <w:bCs/>
                <w:i w:val="false"/>
                <w:iCs w:val="false"/>
                <w:color w:val="0E5C5B"/>
                <w:sz w:val="30"/>
                <w:szCs w:val="30"/>
              </w:rPr>
              <w:t xml:space="preserve">4</w:t>
            </w:r>
          </w:p>
        </w:tc>
        <w:tc>
          <w:tcPr>
            <w:tcW w:type="dxa" w:w="9504"/>
            <w:tcBorders>
              <w:top w:val="none" w:color="auto" w:sz="0"/>
              <w:left w:val="none" w:color="auto" w:sz="0"/>
              <w:bottom w:val="none" w:color="auto" w:sz="0"/>
              <w:right w:val="none" w:color="auto" w:sz="0"/>
            </w:tcBorders>
            <w:shd w:fill="F3F8F8" w:color="auto" w:val="clear"/>
            <w:tcMar>
              <w:top w:type="dxa" w:w="150"/>
              <w:left w:type="dxa" w:w="240"/>
              <w:bottom w:type="dxa" w:w="150"/>
              <w:right w:type="dxa" w:w="240"/>
            </w:tcMar>
            <w:vAlign w:val="center"/>
          </w:tcPr>
          <w:p>
            <w:pPr>
              <w:spacing w:after="0" w:before="0" w:line="288"/>
            </w:pPr>
            <w:r>
              <w:rPr>
                <w:rFonts w:ascii="Arial" w:cs="Arial" w:eastAsia="Arial" w:hAnsi="Arial"/>
                <w:b/>
                <w:bCs/>
                <w:i w:val="false"/>
                <w:iCs w:val="false"/>
                <w:color w:val="1F2A2A"/>
                <w:sz w:val="21"/>
                <w:szCs w:val="21"/>
              </w:rPr>
              <w:t xml:space="preserve">What sort of follow-up do you want to arrange?</w:t>
            </w:r>
          </w:p>
        </w:tc>
      </w:tr>
    </w:tbl>
    <w:p>
      <w:pPr>
        <w:spacing w:after="160"/>
      </w:pPr>
    </w:p>
    <w:p>
      <w:pPr>
        <w:spacing w:after="60"/>
      </w:pPr>
    </w:p>
    <w:tbl>
      <w:tblPr>
        <w:tblW w:type="dxa" w:w="10204"/>
        <w:tblBorders>
          <w:top w:val="none" w:color="auto" w:sz="0"/>
          <w:left w:val="none" w:color="auto" w:sz="0"/>
          <w:bottom w:val="none" w:color="auto" w:sz="0"/>
          <w:right w:val="none" w:color="auto" w:sz="0"/>
          <w:insideH w:val="none" w:color="auto" w:sz="0"/>
          <w:insideV w:val="none" w:color="auto" w:sz="0"/>
        </w:tblBorders>
      </w:tblPr>
      <w:tblGrid>
        <w:gridCol w:w="10204"/>
      </w:tblGrid>
      <w:tr>
        <w:trPr>
          <w:cantSplit/>
        </w:trPr>
        <w:tc>
          <w:tcPr>
            <w:tcW w:type="dxa" w:w="10204"/>
            <w:tcBorders>
              <w:top w:val="none" w:color="auto" w:sz="0"/>
              <w:left w:val="none" w:color="auto" w:sz="0"/>
              <w:bottom w:val="none" w:color="auto" w:sz="0"/>
              <w:right w:val="none" w:color="auto" w:sz="0"/>
            </w:tcBorders>
            <w:shd w:fill="0E5C5B" w:color="auto" w:val="clear"/>
            <w:tcMar>
              <w:top w:type="dxa" w:w="200"/>
              <w:left w:type="dxa" w:w="260"/>
              <w:bottom w:type="dxa" w:w="200"/>
              <w:right w:type="dxa" w:w="280"/>
            </w:tcMar>
            <w:vAlign w:val="center"/>
          </w:tcPr>
          <w:p>
            <w:pPr>
              <w:spacing w:after="60"/>
            </w:pPr>
            <w:r>
              <w:rPr>
                <w:rFonts w:ascii="Arial" w:cs="Arial" w:eastAsia="Arial" w:hAnsi="Arial"/>
                <w:b/>
                <w:bCs/>
                <w:i w:val="false"/>
                <w:iCs w:val="false"/>
                <w:color w:val="FFFFFF"/>
                <w:spacing w:val="30"/>
                <w:sz w:val="16"/>
                <w:szCs w:val="16"/>
              </w:rPr>
              <w:t xml:space="preserve">HOW TO USE THIS CASE</w:t>
            </w:r>
          </w:p>
          <w:p>
            <w:pPr>
              <w:spacing w:line="288"/>
            </w:pPr>
            <w:r>
              <w:rPr>
                <w:rFonts w:ascii="Arial" w:cs="Arial" w:eastAsia="Arial" w:hAnsi="Arial"/>
                <w:b w:val="false"/>
                <w:bCs w:val="false"/>
                <w:i w:val="false"/>
                <w:iCs w:val="false"/>
                <w:color w:val="E7F1F0"/>
                <w:sz w:val="20"/>
                <w:szCs w:val="20"/>
              </w:rPr>
              <w:t xml:space="preserve">Work through the questions in order and commit to your own answers before turning to the guidance notes in Section 3. There is no single right answer — the value lies in sharing how each group member would prepare, structure the consultation, raise sensitive issues, and plan safe follow-up.</w:t>
            </w:r>
          </w:p>
        </w:tc>
      </w:tr>
    </w:tbl>
    <w:p>
      <w:pPr>
        <w:pageBreakBefore/>
      </w:pPr>
    </w:p>
    <w:tbl>
      <w:tblPr>
        <w:tblW w:type="dxa" w:w="10204"/>
        <w:tblBorders>
          <w:top w:val="none" w:color="auto" w:sz="0"/>
          <w:left w:val="none" w:color="auto" w:sz="0"/>
          <w:bottom w:val="none" w:color="auto" w:sz="0"/>
          <w:right w:val="none" w:color="auto" w:sz="0"/>
          <w:insideH w:val="none" w:color="auto" w:sz="0"/>
          <w:insideV w:val="none" w:color="auto" w:sz="0"/>
        </w:tblBorders>
      </w:tblPr>
      <w:tblGrid>
        <w:gridCol w:w="700"/>
        <w:gridCol w:w="9504"/>
      </w:tblGrid>
      <w:tr>
        <w:trPr>
          <w:cantSplit/>
        </w:trPr>
        <w:tc>
          <w:tcPr>
            <w:tcW w:type="dxa" w:w="700"/>
            <w:tcBorders>
              <w:top w:val="none" w:color="auto" w:sz="0"/>
              <w:left w:val="none" w:color="auto" w:sz="0"/>
              <w:bottom w:val="none" w:color="auto" w:sz="0"/>
              <w:right w:val="none" w:color="auto" w:sz="0"/>
            </w:tcBorders>
            <w:shd w:fill="B07410" w:color="auto" w:val="clear"/>
            <w:tcMar>
              <w:top w:type="dxa" w:w="110"/>
              <w:left w:type="dxa" w:w="60"/>
              <w:bottom w:type="dxa" w:w="110"/>
              <w:right w:type="dxa" w:w="60"/>
            </w:tcMar>
            <w:vAlign w:val="center"/>
          </w:tcPr>
          <w:p>
            <w:pPr>
              <w:jc w:val="center"/>
            </w:pPr>
            <w:r>
              <w:rPr>
                <w:rFonts w:ascii="Arial" w:cs="Arial" w:eastAsia="Arial" w:hAnsi="Arial"/>
                <w:b/>
                <w:bCs/>
                <w:i w:val="false"/>
                <w:iCs w:val="false"/>
                <w:color w:val="FFFFFF"/>
                <w:sz w:val="30"/>
                <w:szCs w:val="30"/>
              </w:rPr>
              <w:t xml:space="preserve">3</w:t>
            </w:r>
          </w:p>
        </w:tc>
        <w:tc>
          <w:tcPr>
            <w:tcW w:type="dxa" w:w="9504"/>
            <w:tcBorders>
              <w:top w:val="none" w:color="auto" w:sz="0"/>
              <w:left w:val="none" w:color="auto" w:sz="0"/>
              <w:bottom w:val="none" w:color="auto" w:sz="0"/>
              <w:right w:val="none" w:color="auto" w:sz="0"/>
            </w:tcBorders>
            <w:shd w:fill="0E5C5B" w:color="auto" w:val="clear"/>
            <w:tcMar>
              <w:top w:type="dxa" w:w="110"/>
              <w:left w:type="dxa" w:w="240"/>
              <w:bottom w:type="dxa" w:w="110"/>
              <w:right w:type="dxa" w:w="160"/>
            </w:tcMar>
            <w:vAlign w:val="center"/>
          </w:tcPr>
          <w:p>
            <w:r>
              <w:rPr>
                <w:rFonts w:ascii="Arial" w:cs="Arial" w:eastAsia="Arial" w:hAnsi="Arial"/>
                <w:b/>
                <w:bCs/>
                <w:i w:val="false"/>
                <w:iCs w:val="false"/>
                <w:color w:val="FFFFFF"/>
                <w:spacing w:val="20"/>
                <w:sz w:val="27"/>
                <w:szCs w:val="27"/>
              </w:rPr>
              <w:t xml:space="preserve">Guidance notes</w:t>
            </w:r>
          </w:p>
        </w:tc>
      </w:tr>
    </w:tbl>
    <w:p>
      <w:pPr>
        <w:spacing w:after="140"/>
      </w:pPr>
    </w:p>
    <w:p>
      <w:pPr>
        <w:spacing w:after="220" w:line="288"/>
      </w:pPr>
      <w:r>
        <w:rPr>
          <w:rFonts w:ascii="Arial" w:cs="Arial" w:eastAsia="Arial" w:hAnsi="Arial"/>
          <w:b w:val="false"/>
          <w:bCs w:val="false"/>
          <w:i/>
          <w:iCs/>
          <w:color w:val="5B6B6B"/>
          <w:sz w:val="20"/>
          <w:szCs w:val="20"/>
        </w:rPr>
        <w:t xml:space="preserve">These notes outline what would be reasonable and expected of a GP or GP trainee in UK primary care. They are not a script — strong answers may differ in emphasis. Clinical content is aligned with NICE NG116 (PTSD), NG225 (self-harm), CG115 (alcohol-use disorders) and NG222 (depression); full sources are listed at the end.</w:t>
      </w:r>
    </w:p>
    <w:tbl>
      <w:tblPr>
        <w:tblW w:type="dxa" w:w="10204"/>
        <w:tblBorders>
          <w:top w:val="none" w:color="auto" w:sz="0"/>
          <w:left w:val="none" w:color="auto" w:sz="0"/>
          <w:bottom w:val="none" w:color="auto" w:sz="0"/>
          <w:right w:val="none" w:color="auto" w:sz="0"/>
          <w:insideH w:val="none" w:color="auto" w:sz="0"/>
          <w:insideV w:val="none" w:color="auto" w:sz="0"/>
        </w:tblBorders>
      </w:tblPr>
      <w:tblGrid>
        <w:gridCol w:w="900"/>
        <w:gridCol w:w="9304"/>
      </w:tblGrid>
      <w:tr>
        <w:trPr>
          <w:cantSplit/>
        </w:trPr>
        <w:tc>
          <w:tcPr>
            <w:tcW w:type="dxa" w:w="900"/>
            <w:tcBorders>
              <w:top w:val="none" w:color="auto" w:sz="0"/>
              <w:left w:val="none" w:color="auto" w:sz="0"/>
              <w:bottom w:val="none" w:color="auto" w:sz="0"/>
              <w:right w:val="none" w:color="auto" w:sz="0"/>
            </w:tcBorders>
            <w:shd w:fill="0E5C5B" w:color="auto" w:val="clear"/>
            <w:tcMar>
              <w:top w:type="dxa" w:w="130"/>
              <w:left w:type="dxa" w:w="60"/>
              <w:bottom w:type="dxa" w:w="130"/>
              <w:right w:type="dxa" w:w="60"/>
            </w:tcMar>
            <w:vAlign w:val="center"/>
          </w:tcPr>
          <w:p>
            <w:pPr>
              <w:jc w:val="center"/>
            </w:pPr>
            <w:r>
              <w:rPr>
                <w:rFonts w:ascii="Arial" w:cs="Arial" w:eastAsia="Arial" w:hAnsi="Arial"/>
                <w:b/>
                <w:bCs/>
                <w:i w:val="false"/>
                <w:iCs w:val="false"/>
                <w:color w:val="FFFFFF"/>
                <w:sz w:val="28"/>
                <w:szCs w:val="28"/>
              </w:rPr>
              <w:t xml:space="preserve">Q1</w:t>
            </w:r>
          </w:p>
        </w:tc>
        <w:tc>
          <w:tcPr>
            <w:tcW w:type="dxa" w:w="9304"/>
            <w:tcBorders>
              <w:top w:val="none" w:color="auto" w:sz="0"/>
              <w:left w:val="none" w:color="auto" w:sz="0"/>
              <w:bottom w:val="single" w:color="B07410" w:sz="12"/>
              <w:right w:val="none" w:color="auto" w:sz="0"/>
            </w:tcBorders>
            <w:shd w:fill="E7F1F0" w:color="auto" w:val="clear"/>
            <w:tcMar>
              <w:top w:type="dxa" w:w="130"/>
              <w:left w:type="dxa" w:w="240"/>
              <w:bottom w:type="dxa" w:w="130"/>
              <w:right w:type="dxa" w:w="200"/>
            </w:tcMar>
            <w:vAlign w:val="center"/>
          </w:tcPr>
          <w:p>
            <w:r>
              <w:rPr>
                <w:rFonts w:ascii="Arial" w:cs="Arial" w:eastAsia="Arial" w:hAnsi="Arial"/>
                <w:b/>
                <w:bCs/>
                <w:i w:val="false"/>
                <w:iCs w:val="false"/>
                <w:color w:val="0E5C5B"/>
                <w:sz w:val="23"/>
                <w:szCs w:val="23"/>
              </w:rPr>
              <w:t xml:space="preserve">What are your thoughts before seeing the patient?</w:t>
            </w:r>
          </w:p>
        </w:tc>
      </w:tr>
    </w:tbl>
    <w:p>
      <w:pPr>
        <w:spacing w:after="140"/>
      </w:pPr>
    </w:p>
    <w:p>
      <w:pPr>
        <w:keepNext/>
        <w:spacing w:after="100" w:line="288"/>
      </w:pPr>
      <w:r>
        <w:rPr>
          <w:rFonts w:ascii="Arial" w:cs="Arial" w:eastAsia="Arial" w:hAnsi="Arial"/>
          <w:b w:val="false"/>
          <w:bCs w:val="false"/>
          <w:i w:val="false"/>
          <w:iCs w:val="false"/>
          <w:color w:val="1F2A2A"/>
          <w:sz w:val="21"/>
          <w:szCs w:val="21"/>
        </w:rPr>
        <w:t xml:space="preserve">Good preparation turns a daunting ten minutes into a manageable one. Before calling him in, a thoughtful GP would be thinking along these lines:</w:t>
      </w:r>
    </w:p>
    <w:p>
      <w:pPr>
        <w:pStyle w:val="ListParagraph"/>
        <w:keepLines/>
        <w:numPr>
          <w:ilvl w:val="0"/>
          <w:numId w:val="2"/>
        </w:numPr>
        <w:spacing w:after="90" w:before="0" w:line="288"/>
      </w:pPr>
      <w:r>
        <w:rPr>
          <w:rFonts w:ascii="Arial" w:cs="Arial" w:eastAsia="Arial" w:hAnsi="Arial"/>
          <w:b/>
          <w:bCs/>
          <w:i w:val="false"/>
          <w:iCs w:val="false"/>
          <w:color w:val="0E5C5B"/>
          <w:sz w:val="21"/>
          <w:szCs w:val="21"/>
        </w:rPr>
        <w:t xml:space="preserve">Think PTSD, not just depression. </w:t>
      </w:r>
      <w:r>
        <w:rPr>
          <w:rFonts w:ascii="Arial" w:cs="Arial" w:eastAsia="Arial" w:hAnsi="Arial"/>
          <w:b w:val="false"/>
          <w:bCs w:val="false"/>
          <w:i w:val="false"/>
          <w:iCs w:val="false"/>
          <w:color w:val="1F2A2A"/>
          <w:sz w:val="21"/>
          <w:szCs w:val="21"/>
        </w:rPr>
        <w:t xml:space="preserve">A young soldier, a blast injury, medical discharge, disturbed sleep, low mood, heavy drinking and relationship strain is a classic constellation. NICE lists re-experiencing, avoidance, hyperarousal (hypervigilance, anger, irritability), negative mood, emotional numbing and dissociation as presenting features of PTSD — none of which will be found unless specifically asked about.</w:t>
      </w:r>
    </w:p>
    <w:p>
      <w:pPr>
        <w:pStyle w:val="ListParagraph"/>
        <w:keepLines/>
        <w:numPr>
          <w:ilvl w:val="0"/>
          <w:numId w:val="2"/>
        </w:numPr>
        <w:spacing w:after="90" w:before="0" w:line="288"/>
      </w:pPr>
      <w:r>
        <w:rPr>
          <w:rFonts w:ascii="Arial" w:cs="Arial" w:eastAsia="Arial" w:hAnsi="Arial"/>
          <w:b/>
          <w:bCs/>
          <w:i w:val="false"/>
          <w:iCs w:val="false"/>
          <w:color w:val="0E5C5B"/>
          <w:sz w:val="21"/>
          <w:szCs w:val="21"/>
        </w:rPr>
        <w:t xml:space="preserve">Expect comorbidity. </w:t>
      </w:r>
      <w:r>
        <w:rPr>
          <w:rFonts w:ascii="Arial" w:cs="Arial" w:eastAsia="Arial" w:hAnsi="Arial"/>
          <w:b w:val="false"/>
          <w:bCs w:val="false"/>
          <w:i w:val="false"/>
          <w:iCs w:val="false"/>
          <w:color w:val="1F2A2A"/>
          <w:sz w:val="21"/>
          <w:szCs w:val="21"/>
        </w:rPr>
        <w:t xml:space="preserve">Possible PTSD, depression, harmful drinking (80 units/week is far above high-risk thresholds), nicotine dependence and now possible self-harm rarely travel alone. The consultation will need prioritisation, not completeness.</w:t>
      </w:r>
    </w:p>
    <w:p>
      <w:pPr>
        <w:pStyle w:val="ListParagraph"/>
        <w:keepLines/>
        <w:numPr>
          <w:ilvl w:val="0"/>
          <w:numId w:val="2"/>
        </w:numPr>
        <w:spacing w:after="90" w:before="0" w:line="288"/>
      </w:pPr>
      <w:r>
        <w:rPr>
          <w:rFonts w:ascii="Arial" w:cs="Arial" w:eastAsia="Arial" w:hAnsi="Arial"/>
          <w:b/>
          <w:bCs/>
          <w:i w:val="false"/>
          <w:iCs w:val="false"/>
          <w:color w:val="0E5C5B"/>
          <w:sz w:val="21"/>
          <w:szCs w:val="21"/>
        </w:rPr>
        <w:t xml:space="preserve">Recognise loss and transition. </w:t>
      </w:r>
      <w:r>
        <w:rPr>
          <w:rFonts w:ascii="Arial" w:cs="Arial" w:eastAsia="Arial" w:hAnsi="Arial"/>
          <w:b w:val="false"/>
          <w:bCs w:val="false"/>
          <w:i w:val="false"/>
          <w:iCs w:val="false"/>
          <w:color w:val="1F2A2A"/>
          <w:sz w:val="21"/>
          <w:szCs w:val="21"/>
        </w:rPr>
        <w:t xml:space="preserve">He has lost his career, identity, income, structure and comrades — and he did not choose to leave. Adjustment to civilian and family life is a major stressor in its own right.</w:t>
      </w:r>
    </w:p>
    <w:p>
      <w:pPr>
        <w:pStyle w:val="ListParagraph"/>
        <w:keepLines/>
        <w:numPr>
          <w:ilvl w:val="0"/>
          <w:numId w:val="2"/>
        </w:numPr>
        <w:spacing w:after="90" w:before="0" w:line="288"/>
      </w:pPr>
      <w:r>
        <w:rPr>
          <w:rFonts w:ascii="Arial" w:cs="Arial" w:eastAsia="Arial" w:hAnsi="Arial"/>
          <w:b/>
          <w:bCs/>
          <w:i w:val="false"/>
          <w:iCs w:val="false"/>
          <w:color w:val="0E5C5B"/>
          <w:sz w:val="21"/>
          <w:szCs w:val="21"/>
        </w:rPr>
        <w:t xml:space="preserve">Anticipate a hidden agenda. </w:t>
      </w:r>
      <w:r>
        <w:rPr>
          <w:rFonts w:ascii="Arial" w:cs="Arial" w:eastAsia="Arial" w:hAnsi="Arial"/>
          <w:b w:val="false"/>
          <w:bCs w:val="false"/>
          <w:i w:val="false"/>
          <w:iCs w:val="false"/>
          <w:color w:val="1F2A2A"/>
          <w:sz w:val="21"/>
          <w:szCs w:val="21"/>
        </w:rPr>
        <w:t xml:space="preserve">He has booked for “review and more tablets”. The stab wound — the most important item — may not be volunteered. Plan how to raise it.</w:t>
      </w:r>
    </w:p>
    <w:p>
      <w:pPr>
        <w:pStyle w:val="ListParagraph"/>
        <w:keepLines/>
        <w:numPr>
          <w:ilvl w:val="0"/>
          <w:numId w:val="2"/>
        </w:numPr>
        <w:spacing w:after="90" w:before="0" w:line="288"/>
      </w:pPr>
      <w:r>
        <w:rPr>
          <w:rFonts w:ascii="Arial" w:cs="Arial" w:eastAsia="Arial" w:hAnsi="Arial"/>
          <w:b/>
          <w:bCs/>
          <w:i w:val="false"/>
          <w:iCs w:val="false"/>
          <w:color w:val="0E5C5B"/>
          <w:sz w:val="21"/>
          <w:szCs w:val="21"/>
        </w:rPr>
        <w:t xml:space="preserve">Prepare practically. </w:t>
      </w:r>
      <w:r>
        <w:rPr>
          <w:rFonts w:ascii="Arial" w:cs="Arial" w:eastAsia="Arial" w:hAnsi="Arial"/>
          <w:b w:val="false"/>
          <w:bCs w:val="false"/>
          <w:i w:val="false"/>
          <w:iCs w:val="false"/>
          <w:color w:val="1F2A2A"/>
          <w:sz w:val="21"/>
          <w:szCs w:val="21"/>
        </w:rPr>
        <w:t xml:space="preserve">Read the discharge letter properly, consider a longer or double appointment (or plan an early second appointment), and know your local routes before you start: mental health services, community alcohol services, and Op COURAGE (the NHS veterans' mental health and wellbeing service).</w:t>
      </w:r>
    </w:p>
    <w:p>
      <w:pPr>
        <w:pStyle w:val="ListParagraph"/>
        <w:keepLines/>
        <w:numPr>
          <w:ilvl w:val="0"/>
          <w:numId w:val="2"/>
        </w:numPr>
        <w:spacing w:after="90" w:before="0" w:line="288"/>
      </w:pPr>
      <w:r>
        <w:rPr>
          <w:rFonts w:ascii="Arial" w:cs="Arial" w:eastAsia="Arial" w:hAnsi="Arial"/>
          <w:b/>
          <w:bCs/>
          <w:i w:val="false"/>
          <w:iCs w:val="false"/>
          <w:color w:val="0E5C5B"/>
          <w:sz w:val="21"/>
          <w:szCs w:val="21"/>
        </w:rPr>
        <w:t xml:space="preserve">Notice your own feelings. </w:t>
      </w:r>
      <w:r>
        <w:rPr>
          <w:rFonts w:ascii="Arial" w:cs="Arial" w:eastAsia="Arial" w:hAnsi="Arial"/>
          <w:b w:val="false"/>
          <w:bCs w:val="false"/>
          <w:i w:val="false"/>
          <w:iCs w:val="false"/>
          <w:color w:val="1F2A2A"/>
          <w:sz w:val="21"/>
          <w:szCs w:val="21"/>
        </w:rPr>
        <w:t xml:space="preserve">Complex, emotionally loaded consultations tempt us into avoidance and premature closure — issuing the script and moving on. Naming that risk to yourself beforehand is the best protection against it.</w:t>
      </w:r>
    </w:p>
    <w:p>
      <w:pPr>
        <w:spacing w:after="60"/>
      </w:pPr>
    </w:p>
    <w:p>
      <w:pPr>
        <w:keepNext/>
        <w:pBdr>
          <w:top w:val="single" w:color="FBEAE7" w:sz="2" w:space="6"/>
          <w:left w:val="single" w:color="B03A2E" w:sz="22" w:space="8"/>
        </w:pBdr>
        <w:shd w:fill="FBEAE7" w:color="auto" w:val="clear"/>
        <w:spacing w:after="60" w:before="0"/>
        <w:ind w:left="160" w:right="160"/>
      </w:pPr>
      <w:r>
        <w:rPr>
          <w:rFonts w:ascii="Arial" w:cs="Arial" w:eastAsia="Arial" w:hAnsi="Arial"/>
          <w:b/>
          <w:bCs/>
          <w:i w:val="false"/>
          <w:iCs w:val="false"/>
          <w:color w:val="B03A2E"/>
          <w:spacing w:val="30"/>
          <w:sz w:val="16"/>
          <w:szCs w:val="16"/>
        </w:rPr>
        <w:t xml:space="preserve">DON'T MISS</w:t>
      </w:r>
    </w:p>
    <w:p>
      <w:pPr>
        <w:keepLines/>
        <w:pBdr>
          <w:left w:val="single" w:color="B03A2E" w:sz="22" w:space="8"/>
        </w:pBdr>
        <w:shd w:fill="FBEAE7" w:color="auto" w:val="clear"/>
        <w:spacing w:after="0" w:before="0" w:line="288"/>
        <w:ind w:left="160" w:right="160"/>
      </w:pPr>
      <w:r>
        <w:rPr>
          <w:rFonts w:ascii="Arial" w:cs="Arial" w:eastAsia="Arial" w:hAnsi="Arial"/>
          <w:b w:val="false"/>
          <w:bCs w:val="false"/>
          <w:i w:val="false"/>
          <w:iCs w:val="false"/>
          <w:color w:val="1F2A2A"/>
          <w:sz w:val="21"/>
          <w:szCs w:val="21"/>
        </w:rPr>
        <w:t xml:space="preserve">The consultant has explicitly raised possible self-harm — </w:t>
      </w:r>
      <w:r>
        <w:rPr>
          <w:rFonts w:ascii="Arial" w:cs="Arial" w:eastAsia="Arial" w:hAnsi="Arial"/>
          <w:b/>
          <w:bCs/>
          <w:i w:val="false"/>
          <w:iCs w:val="false"/>
          <w:color w:val="1F2A2A"/>
          <w:sz w:val="21"/>
          <w:szCs w:val="21"/>
        </w:rPr>
        <w:t xml:space="preserve">risk assessment is not optional in this consultation</w:t>
      </w:r>
      <w:r>
        <w:rPr>
          <w:rFonts w:ascii="Arial" w:cs="Arial" w:eastAsia="Arial" w:hAnsi="Arial"/>
          <w:b w:val="false"/>
          <w:bCs w:val="false"/>
          <w:i w:val="false"/>
          <w:iCs w:val="false"/>
          <w:color w:val="1F2A2A"/>
          <w:sz w:val="21"/>
          <w:szCs w:val="21"/>
        </w:rPr>
        <w:t xml:space="preserve">. Note also a learning point: with this risk profile, NICE would expect a first review </w:t>
      </w:r>
      <w:r>
        <w:rPr>
          <w:rFonts w:ascii="Arial" w:cs="Arial" w:eastAsia="Arial" w:hAnsi="Arial"/>
          <w:b/>
          <w:bCs/>
          <w:i w:val="false"/>
          <w:iCs w:val="false"/>
          <w:color w:val="1F2A2A"/>
          <w:sz w:val="21"/>
          <w:szCs w:val="21"/>
        </w:rPr>
        <w:t xml:space="preserve">within 1–2 weeks</w:t>
      </w:r>
      <w:r>
        <w:rPr>
          <w:rFonts w:ascii="Arial" w:cs="Arial" w:eastAsia="Arial" w:hAnsi="Arial"/>
          <w:b w:val="false"/>
          <w:bCs w:val="false"/>
          <w:i w:val="false"/>
          <w:iCs w:val="false"/>
          <w:color w:val="1F2A2A"/>
          <w:sz w:val="21"/>
          <w:szCs w:val="21"/>
        </w:rPr>
        <w:t xml:space="preserve"> of starting an antidepressant (1 week where suicide risk is increased) — a month without contact was too long.</w:t>
      </w:r>
    </w:p>
    <w:p>
      <w:pPr>
        <w:pageBreakBefore/>
      </w:pPr>
    </w:p>
    <w:tbl>
      <w:tblPr>
        <w:tblW w:type="dxa" w:w="10204"/>
        <w:tblBorders>
          <w:top w:val="none" w:color="auto" w:sz="0"/>
          <w:left w:val="none" w:color="auto" w:sz="0"/>
          <w:bottom w:val="none" w:color="auto" w:sz="0"/>
          <w:right w:val="none" w:color="auto" w:sz="0"/>
          <w:insideH w:val="none" w:color="auto" w:sz="0"/>
          <w:insideV w:val="none" w:color="auto" w:sz="0"/>
        </w:tblBorders>
      </w:tblPr>
      <w:tblGrid>
        <w:gridCol w:w="900"/>
        <w:gridCol w:w="9304"/>
      </w:tblGrid>
      <w:tr>
        <w:trPr>
          <w:cantSplit/>
        </w:trPr>
        <w:tc>
          <w:tcPr>
            <w:tcW w:type="dxa" w:w="900"/>
            <w:tcBorders>
              <w:top w:val="none" w:color="auto" w:sz="0"/>
              <w:left w:val="none" w:color="auto" w:sz="0"/>
              <w:bottom w:val="none" w:color="auto" w:sz="0"/>
              <w:right w:val="none" w:color="auto" w:sz="0"/>
            </w:tcBorders>
            <w:shd w:fill="0E5C5B" w:color="auto" w:val="clear"/>
            <w:tcMar>
              <w:top w:type="dxa" w:w="130"/>
              <w:left w:type="dxa" w:w="60"/>
              <w:bottom w:type="dxa" w:w="130"/>
              <w:right w:type="dxa" w:w="60"/>
            </w:tcMar>
            <w:vAlign w:val="center"/>
          </w:tcPr>
          <w:p>
            <w:pPr>
              <w:jc w:val="center"/>
            </w:pPr>
            <w:r>
              <w:rPr>
                <w:rFonts w:ascii="Arial" w:cs="Arial" w:eastAsia="Arial" w:hAnsi="Arial"/>
                <w:b/>
                <w:bCs/>
                <w:i w:val="false"/>
                <w:iCs w:val="false"/>
                <w:color w:val="FFFFFF"/>
                <w:sz w:val="28"/>
                <w:szCs w:val="28"/>
              </w:rPr>
              <w:t xml:space="preserve">Q2</w:t>
            </w:r>
          </w:p>
        </w:tc>
        <w:tc>
          <w:tcPr>
            <w:tcW w:type="dxa" w:w="9304"/>
            <w:tcBorders>
              <w:top w:val="none" w:color="auto" w:sz="0"/>
              <w:left w:val="none" w:color="auto" w:sz="0"/>
              <w:bottom w:val="single" w:color="B07410" w:sz="12"/>
              <w:right w:val="none" w:color="auto" w:sz="0"/>
            </w:tcBorders>
            <w:shd w:fill="E7F1F0" w:color="auto" w:val="clear"/>
            <w:tcMar>
              <w:top w:type="dxa" w:w="130"/>
              <w:left w:type="dxa" w:w="240"/>
              <w:bottom w:type="dxa" w:w="130"/>
              <w:right w:type="dxa" w:w="200"/>
            </w:tcMar>
            <w:vAlign w:val="center"/>
          </w:tcPr>
          <w:p>
            <w:r>
              <w:rPr>
                <w:rFonts w:ascii="Arial" w:cs="Arial" w:eastAsia="Arial" w:hAnsi="Arial"/>
                <w:b/>
                <w:bCs/>
                <w:i w:val="false"/>
                <w:iCs w:val="false"/>
                <w:color w:val="0E5C5B"/>
                <w:sz w:val="23"/>
                <w:szCs w:val="23"/>
              </w:rPr>
              <w:t xml:space="preserve">How will you approach the consultation? What is your agenda?</w:t>
            </w:r>
          </w:p>
        </w:tc>
      </w:tr>
    </w:tbl>
    <w:p>
      <w:pPr>
        <w:spacing w:after="140"/>
      </w:pPr>
    </w:p>
    <w:p>
      <w:pPr>
        <w:keepNext/>
        <w:spacing w:after="100" w:line="288"/>
      </w:pPr>
      <w:r>
        <w:rPr>
          <w:rFonts w:ascii="Arial" w:cs="Arial" w:eastAsia="Arial" w:hAnsi="Arial"/>
          <w:b w:val="false"/>
          <w:bCs w:val="false"/>
          <w:i w:val="false"/>
          <w:iCs w:val="false"/>
          <w:color w:val="1F2A2A"/>
          <w:sz w:val="21"/>
          <w:szCs w:val="21"/>
        </w:rPr>
        <w:t xml:space="preserve">Rapport comes before agenda. NICE notes that people with PTSD are often apprehensive, anxious or ashamed, may believe the condition is untreatable, and may find trust difficult — a non-judgemental opening determines whether you learn anything at all.</w:t>
      </w:r>
    </w:p>
    <w:p>
      <w:pPr>
        <w:pStyle w:val="ListParagraph"/>
        <w:keepLines/>
        <w:numPr>
          <w:ilvl w:val="0"/>
          <w:numId w:val="2"/>
        </w:numPr>
        <w:spacing w:after="90" w:before="0" w:line="288"/>
      </w:pPr>
      <w:r>
        <w:rPr>
          <w:rFonts w:ascii="Arial" w:cs="Arial" w:eastAsia="Arial" w:hAnsi="Arial"/>
          <w:b/>
          <w:bCs/>
          <w:i w:val="false"/>
          <w:iCs w:val="false"/>
          <w:color w:val="0E5C5B"/>
          <w:sz w:val="21"/>
          <w:szCs w:val="21"/>
        </w:rPr>
        <w:t xml:space="preserve">Start with his agenda. </w:t>
      </w:r>
      <w:r>
        <w:rPr>
          <w:rFonts w:ascii="Arial" w:cs="Arial" w:eastAsia="Arial" w:hAnsi="Arial"/>
          <w:b w:val="false"/>
          <w:bCs w:val="false"/>
          <w:i w:val="false"/>
          <w:iCs w:val="false"/>
          <w:color w:val="1F2A2A"/>
          <w:sz w:val="21"/>
          <w:szCs w:val="21"/>
        </w:rPr>
        <w:t xml:space="preserve">Give him the golden minute; explore ideas, concerns and expectations. “How have things been since you started the tablets?” is a safe, open door.</w:t>
      </w:r>
    </w:p>
    <w:p>
      <w:pPr>
        <w:pStyle w:val="ListParagraph"/>
        <w:keepLines/>
        <w:numPr>
          <w:ilvl w:val="0"/>
          <w:numId w:val="2"/>
        </w:numPr>
        <w:spacing w:after="90" w:before="0" w:line="288"/>
      </w:pPr>
      <w:r>
        <w:rPr>
          <w:rFonts w:ascii="Arial" w:cs="Arial" w:eastAsia="Arial" w:hAnsi="Arial"/>
          <w:b/>
          <w:bCs/>
          <w:i w:val="false"/>
          <w:iCs w:val="false"/>
          <w:color w:val="0E5C5B"/>
          <w:sz w:val="21"/>
          <w:szCs w:val="21"/>
        </w:rPr>
        <w:t xml:space="preserve">Screen actively for PTSD. </w:t>
      </w:r>
      <w:r>
        <w:rPr>
          <w:rFonts w:ascii="Arial" w:cs="Arial" w:eastAsia="Arial" w:hAnsi="Arial"/>
          <w:b w:val="false"/>
          <w:bCs w:val="false"/>
          <w:i w:val="false"/>
          <w:iCs w:val="false"/>
          <w:color w:val="1F2A2A"/>
          <w:sz w:val="21"/>
          <w:szCs w:val="21"/>
        </w:rPr>
        <w:t xml:space="preserve">Ask specifically about nightmares and intrusive memories or flashbacks (re-experiencing), avoidance of reminders, hypervigilance and exaggerated startle, irritability and anger, emotional numbing, dissociation, and the impact on family and daily function.</w:t>
      </w:r>
    </w:p>
    <w:p>
      <w:pPr>
        <w:pStyle w:val="ListParagraph"/>
        <w:keepLines/>
        <w:numPr>
          <w:ilvl w:val="0"/>
          <w:numId w:val="2"/>
        </w:numPr>
        <w:spacing w:after="90" w:before="0" w:line="288"/>
      </w:pPr>
      <w:r>
        <w:rPr>
          <w:rFonts w:ascii="Arial" w:cs="Arial" w:eastAsia="Arial" w:hAnsi="Arial"/>
          <w:b/>
          <w:bCs/>
          <w:i w:val="false"/>
          <w:iCs w:val="false"/>
          <w:color w:val="0E5C5B"/>
          <w:sz w:val="21"/>
          <w:szCs w:val="21"/>
        </w:rPr>
        <w:t xml:space="preserve">Review the depression and the drug. </w:t>
      </w:r>
      <w:r>
        <w:rPr>
          <w:rFonts w:ascii="Arial" w:cs="Arial" w:eastAsia="Arial" w:hAnsi="Arial"/>
          <w:b w:val="false"/>
          <w:bCs w:val="false"/>
          <w:i w:val="false"/>
          <w:iCs w:val="false"/>
          <w:color w:val="1F2A2A"/>
          <w:sz w:val="21"/>
          <w:szCs w:val="21"/>
        </w:rPr>
        <w:t xml:space="preserve">Gauge severity (a tool such as the PHQ-9 helps), response after four weeks, adherence, side effects — and how the tablets mix with 80 units of alcohol a week.</w:t>
      </w:r>
    </w:p>
    <w:p>
      <w:pPr>
        <w:pStyle w:val="ListParagraph"/>
        <w:keepLines/>
        <w:numPr>
          <w:ilvl w:val="0"/>
          <w:numId w:val="2"/>
        </w:numPr>
        <w:spacing w:after="90" w:before="0" w:line="288"/>
      </w:pPr>
      <w:r>
        <w:rPr>
          <w:rFonts w:ascii="Arial" w:cs="Arial" w:eastAsia="Arial" w:hAnsi="Arial"/>
          <w:b/>
          <w:bCs/>
          <w:i w:val="false"/>
          <w:iCs w:val="false"/>
          <w:color w:val="0E5C5B"/>
          <w:sz w:val="21"/>
          <w:szCs w:val="21"/>
        </w:rPr>
        <w:t xml:space="preserve">Quantify the alcohol. </w:t>
      </w:r>
      <w:r>
        <w:rPr>
          <w:rFonts w:ascii="Arial" w:cs="Arial" w:eastAsia="Arial" w:hAnsi="Arial"/>
          <w:b w:val="false"/>
          <w:bCs w:val="false"/>
          <w:i w:val="false"/>
          <w:iCs w:val="false"/>
          <w:color w:val="1F2A2A"/>
          <w:sz w:val="21"/>
          <w:szCs w:val="21"/>
        </w:rPr>
        <w:t xml:space="preserve">Use AUDIT rather than impressions. Explore drinking as self-medication for sleep and symptoms. If dependence is likely, </w:t>
      </w:r>
      <w:r>
        <w:rPr>
          <w:rFonts w:ascii="Arial" w:cs="Arial" w:eastAsia="Arial" w:hAnsi="Arial"/>
          <w:b/>
          <w:bCs/>
          <w:i w:val="false"/>
          <w:iCs w:val="false"/>
          <w:color w:val="1F2A2A"/>
          <w:sz w:val="21"/>
          <w:szCs w:val="21"/>
        </w:rPr>
        <w:t xml:space="preserve">advise him not to stop drinking abruptly</w:t>
      </w:r>
      <w:r>
        <w:rPr>
          <w:rFonts w:ascii="Arial" w:cs="Arial" w:eastAsia="Arial" w:hAnsi="Arial"/>
          <w:b w:val="false"/>
          <w:bCs w:val="false"/>
          <w:i w:val="false"/>
          <w:iCs w:val="false"/>
          <w:color w:val="1F2A2A"/>
          <w:sz w:val="21"/>
          <w:szCs w:val="21"/>
        </w:rPr>
        <w:t xml:space="preserve"> — sudden cessation risks serious withdrawal — and plan specialist alcohol input instead.</w:t>
      </w:r>
    </w:p>
    <w:p>
      <w:pPr>
        <w:pStyle w:val="ListParagraph"/>
        <w:keepLines/>
        <w:numPr>
          <w:ilvl w:val="0"/>
          <w:numId w:val="2"/>
        </w:numPr>
        <w:spacing w:after="90" w:before="0" w:line="288"/>
      </w:pPr>
      <w:r>
        <w:rPr>
          <w:rFonts w:ascii="Arial" w:cs="Arial" w:eastAsia="Arial" w:hAnsi="Arial"/>
          <w:b/>
          <w:bCs/>
          <w:i w:val="false"/>
          <w:iCs w:val="false"/>
          <w:color w:val="0E5C5B"/>
          <w:sz w:val="21"/>
          <w:szCs w:val="21"/>
        </w:rPr>
        <w:t xml:space="preserve">Assess risk directly. </w:t>
      </w:r>
      <w:r>
        <w:rPr>
          <w:rFonts w:ascii="Arial" w:cs="Arial" w:eastAsia="Arial" w:hAnsi="Arial"/>
          <w:b w:val="false"/>
          <w:bCs w:val="false"/>
          <w:i w:val="false"/>
          <w:iCs w:val="false"/>
          <w:color w:val="1F2A2A"/>
          <w:sz w:val="21"/>
          <w:szCs w:val="21"/>
        </w:rPr>
        <w:t xml:space="preserve">Ask openly about thoughts of suicide and self-harm, plans, intent, previous episodes, access to means, and protective factors. Direct questions do not increase risk.</w:t>
      </w:r>
    </w:p>
    <w:p>
      <w:pPr>
        <w:pStyle w:val="ListParagraph"/>
        <w:keepLines/>
        <w:numPr>
          <w:ilvl w:val="0"/>
          <w:numId w:val="2"/>
        </w:numPr>
        <w:spacing w:after="90" w:before="0" w:line="288"/>
      </w:pPr>
      <w:r>
        <w:rPr>
          <w:rFonts w:ascii="Arial" w:cs="Arial" w:eastAsia="Arial" w:hAnsi="Arial"/>
          <w:b/>
          <w:bCs/>
          <w:i w:val="false"/>
          <w:iCs w:val="false"/>
          <w:color w:val="0E5C5B"/>
          <w:sz w:val="21"/>
          <w:szCs w:val="21"/>
        </w:rPr>
        <w:t xml:space="preserve">Ask about home. </w:t>
      </w:r>
      <w:r>
        <w:rPr>
          <w:rFonts w:ascii="Arial" w:cs="Arial" w:eastAsia="Arial" w:hAnsi="Arial"/>
          <w:b w:val="false"/>
          <w:bCs w:val="false"/>
          <w:i w:val="false"/>
          <w:iCs w:val="false"/>
          <w:color w:val="1F2A2A"/>
          <w:sz w:val="21"/>
          <w:szCs w:val="21"/>
        </w:rPr>
        <w:t xml:space="preserve">Frequent arguments plus irritability and alcohol should prompt gentle enquiry about anger and aggression at home, domestic abuse in either direction, and </w:t>
      </w:r>
      <w:r>
        <w:rPr>
          <w:rFonts w:ascii="Arial" w:cs="Arial" w:eastAsia="Arial" w:hAnsi="Arial"/>
          <w:b/>
          <w:bCs/>
          <w:i w:val="false"/>
          <w:iCs w:val="false"/>
          <w:color w:val="1F2A2A"/>
          <w:sz w:val="21"/>
          <w:szCs w:val="21"/>
        </w:rPr>
        <w:t xml:space="preserve">whether there are children in the household — a safeguarding question, not an optional extra</w:t>
      </w:r>
      <w:r>
        <w:rPr>
          <w:rFonts w:ascii="Arial" w:cs="Arial" w:eastAsia="Arial" w:hAnsi="Arial"/>
          <w:b w:val="false"/>
          <w:bCs w:val="false"/>
          <w:i w:val="false"/>
          <w:iCs w:val="false"/>
          <w:color w:val="1F2A2A"/>
          <w:sz w:val="21"/>
          <w:szCs w:val="21"/>
        </w:rPr>
        <w:t xml:space="preserve">.</w:t>
      </w:r>
    </w:p>
    <w:p>
      <w:pPr>
        <w:pStyle w:val="ListParagraph"/>
        <w:keepLines/>
        <w:numPr>
          <w:ilvl w:val="0"/>
          <w:numId w:val="2"/>
        </w:numPr>
        <w:spacing w:after="90" w:before="0" w:line="288"/>
      </w:pPr>
      <w:r>
        <w:rPr>
          <w:rFonts w:ascii="Arial" w:cs="Arial" w:eastAsia="Arial" w:hAnsi="Arial"/>
          <w:b/>
          <w:bCs/>
          <w:i w:val="false"/>
          <w:iCs w:val="false"/>
          <w:color w:val="0E5C5B"/>
          <w:sz w:val="21"/>
          <w:szCs w:val="21"/>
        </w:rPr>
        <w:t xml:space="preserve">Map the social context. </w:t>
      </w:r>
      <w:r>
        <w:rPr>
          <w:rFonts w:ascii="Arial" w:cs="Arial" w:eastAsia="Arial" w:hAnsi="Arial"/>
          <w:b w:val="false"/>
          <w:bCs w:val="false"/>
          <w:i w:val="false"/>
          <w:iCs w:val="false"/>
          <w:color w:val="1F2A2A"/>
          <w:sz w:val="21"/>
          <w:szCs w:val="21"/>
        </w:rPr>
        <w:t xml:space="preserve">Employment, finances, housing, and who he has around him — these will shape any realistic management plan.</w:t>
      </w:r>
    </w:p>
    <w:p>
      <w:pPr>
        <w:spacing w:after="60"/>
      </w:pPr>
    </w:p>
    <w:p>
      <w:pPr>
        <w:keepNext/>
        <w:pBdr>
          <w:top w:val="single" w:color="FBF3E3" w:sz="2" w:space="6"/>
          <w:left w:val="single" w:color="B07410" w:sz="22" w:space="8"/>
        </w:pBdr>
        <w:shd w:fill="FBF3E3" w:color="auto" w:val="clear"/>
        <w:spacing w:after="60" w:before="0"/>
        <w:ind w:left="160" w:right="160"/>
      </w:pPr>
      <w:r>
        <w:rPr>
          <w:rFonts w:ascii="Arial" w:cs="Arial" w:eastAsia="Arial" w:hAnsi="Arial"/>
          <w:b/>
          <w:bCs/>
          <w:i w:val="false"/>
          <w:iCs w:val="false"/>
          <w:color w:val="B07410"/>
          <w:spacing w:val="30"/>
          <w:sz w:val="16"/>
          <w:szCs w:val="16"/>
        </w:rPr>
        <w:t xml:space="preserve">PEARL</w:t>
      </w:r>
    </w:p>
    <w:p>
      <w:pPr>
        <w:keepLines/>
        <w:pBdr>
          <w:left w:val="single" w:color="B07410" w:sz="22" w:space="8"/>
        </w:pBdr>
        <w:shd w:fill="FBF3E3" w:color="auto" w:val="clear"/>
        <w:spacing w:after="0" w:before="0" w:line="288"/>
        <w:ind w:left="160" w:right="160"/>
      </w:pPr>
      <w:r>
        <w:rPr>
          <w:rFonts w:ascii="Arial" w:cs="Arial" w:eastAsia="Arial" w:hAnsi="Arial"/>
          <w:b w:val="false"/>
          <w:bCs w:val="false"/>
          <w:i w:val="false"/>
          <w:iCs w:val="false"/>
          <w:color w:val="1F2A2A"/>
          <w:sz w:val="21"/>
          <w:szCs w:val="21"/>
        </w:rPr>
        <w:t xml:space="preserve">You cannot cover all of this in one appointment — and you should not try. </w:t>
      </w:r>
      <w:r>
        <w:rPr>
          <w:rFonts w:ascii="Arial" w:cs="Arial" w:eastAsia="Arial" w:hAnsi="Arial"/>
          <w:b/>
          <w:bCs/>
          <w:i w:val="false"/>
          <w:iCs w:val="false"/>
          <w:color w:val="1F2A2A"/>
          <w:sz w:val="21"/>
          <w:szCs w:val="21"/>
        </w:rPr>
        <w:t xml:space="preserve">Prioritise rapport and risk today</w:t>
      </w:r>
      <w:r>
        <w:rPr>
          <w:rFonts w:ascii="Arial" w:cs="Arial" w:eastAsia="Arial" w:hAnsi="Arial"/>
          <w:b w:val="false"/>
          <w:bCs w:val="false"/>
          <w:i w:val="false"/>
          <w:iCs w:val="false"/>
          <w:color w:val="1F2A2A"/>
          <w:sz w:val="21"/>
          <w:szCs w:val="21"/>
        </w:rPr>
        <w:t xml:space="preserve">; negotiate the rest into an early planned review. A consultation that ends with him willing to come back has succeeded.</w:t>
      </w:r>
    </w:p>
    <w:p>
      <w:pPr>
        <w:pageBreakBefore/>
      </w:pPr>
    </w:p>
    <w:tbl>
      <w:tblPr>
        <w:tblW w:type="dxa" w:w="10204"/>
        <w:tblBorders>
          <w:top w:val="none" w:color="auto" w:sz="0"/>
          <w:left w:val="none" w:color="auto" w:sz="0"/>
          <w:bottom w:val="none" w:color="auto" w:sz="0"/>
          <w:right w:val="none" w:color="auto" w:sz="0"/>
          <w:insideH w:val="none" w:color="auto" w:sz="0"/>
          <w:insideV w:val="none" w:color="auto" w:sz="0"/>
        </w:tblBorders>
      </w:tblPr>
      <w:tblGrid>
        <w:gridCol w:w="900"/>
        <w:gridCol w:w="9304"/>
      </w:tblGrid>
      <w:tr>
        <w:trPr>
          <w:cantSplit/>
        </w:trPr>
        <w:tc>
          <w:tcPr>
            <w:tcW w:type="dxa" w:w="900"/>
            <w:tcBorders>
              <w:top w:val="none" w:color="auto" w:sz="0"/>
              <w:left w:val="none" w:color="auto" w:sz="0"/>
              <w:bottom w:val="none" w:color="auto" w:sz="0"/>
              <w:right w:val="none" w:color="auto" w:sz="0"/>
            </w:tcBorders>
            <w:shd w:fill="0E5C5B" w:color="auto" w:val="clear"/>
            <w:tcMar>
              <w:top w:type="dxa" w:w="130"/>
              <w:left w:type="dxa" w:w="60"/>
              <w:bottom w:type="dxa" w:w="130"/>
              <w:right w:type="dxa" w:w="60"/>
            </w:tcMar>
            <w:vAlign w:val="center"/>
          </w:tcPr>
          <w:p>
            <w:pPr>
              <w:jc w:val="center"/>
            </w:pPr>
            <w:r>
              <w:rPr>
                <w:rFonts w:ascii="Arial" w:cs="Arial" w:eastAsia="Arial" w:hAnsi="Arial"/>
                <w:b/>
                <w:bCs/>
                <w:i w:val="false"/>
                <w:iCs w:val="false"/>
                <w:color w:val="FFFFFF"/>
                <w:sz w:val="28"/>
                <w:szCs w:val="28"/>
              </w:rPr>
              <w:t xml:space="preserve">Q3</w:t>
            </w:r>
          </w:p>
        </w:tc>
        <w:tc>
          <w:tcPr>
            <w:tcW w:type="dxa" w:w="9304"/>
            <w:tcBorders>
              <w:top w:val="none" w:color="auto" w:sz="0"/>
              <w:left w:val="none" w:color="auto" w:sz="0"/>
              <w:bottom w:val="single" w:color="B07410" w:sz="12"/>
              <w:right w:val="none" w:color="auto" w:sz="0"/>
            </w:tcBorders>
            <w:shd w:fill="E7F1F0" w:color="auto" w:val="clear"/>
            <w:tcMar>
              <w:top w:type="dxa" w:w="130"/>
              <w:left w:type="dxa" w:w="240"/>
              <w:bottom w:type="dxa" w:w="130"/>
              <w:right w:type="dxa" w:w="200"/>
            </w:tcMar>
            <w:vAlign w:val="center"/>
          </w:tcPr>
          <w:p>
            <w:r>
              <w:rPr>
                <w:rFonts w:ascii="Arial" w:cs="Arial" w:eastAsia="Arial" w:hAnsi="Arial"/>
                <w:b/>
                <w:bCs/>
                <w:i w:val="false"/>
                <w:iCs w:val="false"/>
                <w:color w:val="0E5C5B"/>
                <w:sz w:val="23"/>
                <w:szCs w:val="23"/>
              </w:rPr>
              <w:t xml:space="preserve">How will you bring up his recent hospital admission?</w:t>
            </w:r>
          </w:p>
        </w:tc>
      </w:tr>
    </w:tbl>
    <w:p>
      <w:pPr>
        <w:spacing w:after="140"/>
      </w:pPr>
    </w:p>
    <w:p>
      <w:pPr>
        <w:keepNext/>
        <w:spacing w:after="100" w:line="288"/>
      </w:pPr>
      <w:r>
        <w:rPr>
          <w:rFonts w:ascii="Arial" w:cs="Arial" w:eastAsia="Arial" w:hAnsi="Arial"/>
          <w:b w:val="false"/>
          <w:bCs w:val="false"/>
          <w:i w:val="false"/>
          <w:iCs w:val="false"/>
          <w:color w:val="1F2A2A"/>
          <w:sz w:val="21"/>
          <w:szCs w:val="21"/>
        </w:rPr>
        <w:t xml:space="preserve">Honestly, early, and without ambush. Pretending you have not read the letter corrodes trust; so does leaving it to the final minute.</w:t>
      </w:r>
    </w:p>
    <w:p>
      <w:pPr>
        <w:pStyle w:val="ListParagraph"/>
        <w:keepLines/>
        <w:numPr>
          <w:ilvl w:val="0"/>
          <w:numId w:val="2"/>
        </w:numPr>
        <w:spacing w:after="90" w:before="0" w:line="288"/>
      </w:pPr>
      <w:r>
        <w:rPr>
          <w:rFonts w:ascii="Arial" w:cs="Arial" w:eastAsia="Arial" w:hAnsi="Arial"/>
          <w:b/>
          <w:bCs/>
          <w:i w:val="false"/>
          <w:iCs w:val="false"/>
          <w:color w:val="0E5C5B"/>
          <w:sz w:val="21"/>
          <w:szCs w:val="21"/>
        </w:rPr>
        <w:t xml:space="preserve">Be transparent. </w:t>
      </w:r>
      <w:r>
        <w:rPr>
          <w:rFonts w:ascii="Arial" w:cs="Arial" w:eastAsia="Arial" w:hAnsi="Arial"/>
          <w:b w:val="false"/>
          <w:bCs w:val="false"/>
          <w:i w:val="false"/>
          <w:iCs w:val="false"/>
          <w:color w:val="1F2A2A"/>
          <w:sz w:val="21"/>
          <w:szCs w:val="21"/>
        </w:rPr>
        <w:t xml:space="preserve">“The hospital wrote to me about your admission last week — I was sorry to hear about it. Can you tell me what happened?” Openness models the honesty you are asking of him.</w:t>
      </w:r>
    </w:p>
    <w:p>
      <w:pPr>
        <w:pStyle w:val="ListParagraph"/>
        <w:keepLines/>
        <w:numPr>
          <w:ilvl w:val="0"/>
          <w:numId w:val="2"/>
        </w:numPr>
        <w:spacing w:after="90" w:before="0" w:line="288"/>
      </w:pPr>
      <w:r>
        <w:rPr>
          <w:rFonts w:ascii="Arial" w:cs="Arial" w:eastAsia="Arial" w:hAnsi="Arial"/>
          <w:b/>
          <w:bCs/>
          <w:i w:val="false"/>
          <w:iCs w:val="false"/>
          <w:color w:val="0E5C5B"/>
          <w:sz w:val="21"/>
          <w:szCs w:val="21"/>
        </w:rPr>
        <w:t xml:space="preserve">Let him tell the story. </w:t>
      </w:r>
      <w:r>
        <w:rPr>
          <w:rFonts w:ascii="Arial" w:cs="Arial" w:eastAsia="Arial" w:hAnsi="Arial"/>
          <w:b w:val="false"/>
          <w:bCs w:val="false"/>
          <w:i w:val="false"/>
          <w:iCs w:val="false"/>
          <w:color w:val="1F2A2A"/>
          <w:sz w:val="21"/>
          <w:szCs w:val="21"/>
        </w:rPr>
        <w:t xml:space="preserve">Open questions, unhurried pace, tolerance of silence. Expect minimisation — a vague account is common and is not a dead end.</w:t>
      </w:r>
    </w:p>
    <w:p>
      <w:pPr>
        <w:pStyle w:val="ListParagraph"/>
        <w:keepLines/>
        <w:numPr>
          <w:ilvl w:val="0"/>
          <w:numId w:val="2"/>
        </w:numPr>
        <w:spacing w:after="90" w:before="0" w:line="288"/>
      </w:pPr>
      <w:r>
        <w:rPr>
          <w:rFonts w:ascii="Arial" w:cs="Arial" w:eastAsia="Arial" w:hAnsi="Arial"/>
          <w:b/>
          <w:bCs/>
          <w:i w:val="false"/>
          <w:iCs w:val="false"/>
          <w:color w:val="0E5C5B"/>
          <w:sz w:val="21"/>
          <w:szCs w:val="21"/>
        </w:rPr>
        <w:t xml:space="preserve">Explore the circumstances. </w:t>
      </w:r>
      <w:r>
        <w:rPr>
          <w:rFonts w:ascii="Arial" w:cs="Arial" w:eastAsia="Arial" w:hAnsi="Arial"/>
          <w:b w:val="false"/>
          <w:bCs w:val="false"/>
          <w:i w:val="false"/>
          <w:iCs w:val="false"/>
          <w:color w:val="1F2A2A"/>
          <w:sz w:val="21"/>
          <w:szCs w:val="21"/>
        </w:rPr>
        <w:t xml:space="preserve">Was alcohol involved? A fight? A flashback or dissociative episode? Or was the injury self-inflicted? Each possibility leads somewhere different, so keep genuinely curious rather than steering.</w:t>
      </w:r>
    </w:p>
    <w:p>
      <w:pPr>
        <w:pStyle w:val="ListParagraph"/>
        <w:keepLines/>
        <w:numPr>
          <w:ilvl w:val="0"/>
          <w:numId w:val="2"/>
        </w:numPr>
        <w:spacing w:after="90" w:before="0" w:line="288"/>
      </w:pPr>
      <w:r>
        <w:rPr>
          <w:rFonts w:ascii="Arial" w:cs="Arial" w:eastAsia="Arial" w:hAnsi="Arial"/>
          <w:b/>
          <w:bCs/>
          <w:i w:val="false"/>
          <w:iCs w:val="false"/>
          <w:color w:val="0E5C5B"/>
          <w:sz w:val="21"/>
          <w:szCs w:val="21"/>
        </w:rPr>
        <w:t xml:space="preserve">Ask the direct question compassionately. </w:t>
      </w:r>
      <w:r>
        <w:rPr>
          <w:rFonts w:ascii="Arial" w:cs="Arial" w:eastAsia="Arial" w:hAnsi="Arial"/>
          <w:b w:val="false"/>
          <w:bCs w:val="false"/>
          <w:i w:val="false"/>
          <w:iCs w:val="false"/>
          <w:color w:val="1F2A2A"/>
          <w:sz w:val="21"/>
          <w:szCs w:val="21"/>
        </w:rPr>
        <w:t xml:space="preserve">“Some people who've been through what you have hurt themselves on purpose, or have thoughts of ending their life. Has anything like that been part of this?” </w:t>
      </w:r>
      <w:r>
        <w:rPr>
          <w:rFonts w:ascii="Arial" w:cs="Arial" w:eastAsia="Arial" w:hAnsi="Arial"/>
          <w:b/>
          <w:bCs/>
          <w:i w:val="false"/>
          <w:iCs w:val="false"/>
          <w:color w:val="1F2A2A"/>
          <w:sz w:val="21"/>
          <w:szCs w:val="21"/>
        </w:rPr>
        <w:t xml:space="preserve">Asking about suicide does not plant the idea.</w:t>
      </w:r>
    </w:p>
    <w:p>
      <w:pPr>
        <w:pStyle w:val="ListParagraph"/>
        <w:keepLines/>
        <w:numPr>
          <w:ilvl w:val="0"/>
          <w:numId w:val="2"/>
        </w:numPr>
        <w:spacing w:after="90" w:before="0" w:line="288"/>
      </w:pPr>
      <w:r>
        <w:rPr>
          <w:rFonts w:ascii="Arial" w:cs="Arial" w:eastAsia="Arial" w:hAnsi="Arial"/>
          <w:b/>
          <w:bCs/>
          <w:i w:val="false"/>
          <w:iCs w:val="false"/>
          <w:color w:val="0E5C5B"/>
          <w:sz w:val="21"/>
          <w:szCs w:val="21"/>
        </w:rPr>
        <w:t xml:space="preserve">If self-harm is confirmed or likely, follow NG225. </w:t>
      </w:r>
      <w:r>
        <w:rPr>
          <w:rFonts w:ascii="Arial" w:cs="Arial" w:eastAsia="Arial" w:hAnsi="Arial"/>
          <w:b w:val="false"/>
          <w:bCs w:val="false"/>
          <w:i w:val="false"/>
          <w:iCs w:val="false"/>
          <w:color w:val="1F2A2A"/>
          <w:sz w:val="21"/>
          <w:szCs w:val="21"/>
        </w:rPr>
        <w:t xml:space="preserve">Consider referral to mental health services for a psychosocial assessment (or inform any existing team, with consent) — a priority where distress is rising, self-harm or suicidal intent is escalating, or you are concerned. Build a collaborative safety plan, involve his wife with consent, and practise safer prescribing: small quantities, and a review of anything in the house that is dangerous in overdose.</w:t>
      </w:r>
    </w:p>
    <w:p>
      <w:pPr>
        <w:pStyle w:val="ListParagraph"/>
        <w:keepLines/>
        <w:numPr>
          <w:ilvl w:val="0"/>
          <w:numId w:val="2"/>
        </w:numPr>
        <w:spacing w:after="90" w:before="0" w:line="288"/>
      </w:pPr>
      <w:r>
        <w:rPr>
          <w:rFonts w:ascii="Arial" w:cs="Arial" w:eastAsia="Arial" w:hAnsi="Arial"/>
          <w:b/>
          <w:bCs/>
          <w:i w:val="false"/>
          <w:iCs w:val="false"/>
          <w:color w:val="0E5C5B"/>
          <w:sz w:val="21"/>
          <w:szCs w:val="21"/>
        </w:rPr>
        <w:t xml:space="preserve">Be honest about confidentiality. </w:t>
      </w:r>
      <w:r>
        <w:rPr>
          <w:rFonts w:ascii="Arial" w:cs="Arial" w:eastAsia="Arial" w:hAnsi="Arial"/>
          <w:b w:val="false"/>
          <w:bCs w:val="false"/>
          <w:i w:val="false"/>
          <w:iCs w:val="false"/>
          <w:color w:val="1F2A2A"/>
          <w:sz w:val="21"/>
          <w:szCs w:val="21"/>
        </w:rPr>
        <w:t xml:space="preserve">Explain what stays in the room and the limits — particularly where others, including children, may be at risk.</w:t>
      </w:r>
    </w:p>
    <w:p>
      <w:pPr>
        <w:spacing w:after="60"/>
      </w:pPr>
    </w:p>
    <w:p>
      <w:pPr>
        <w:keepNext/>
        <w:pBdr>
          <w:top w:val="single" w:color="FBEAE7" w:sz="2" w:space="6"/>
          <w:left w:val="single" w:color="B03A2E" w:sz="22" w:space="8"/>
        </w:pBdr>
        <w:shd w:fill="FBEAE7" w:color="auto" w:val="clear"/>
        <w:spacing w:after="60" w:before="0"/>
        <w:ind w:left="160" w:right="160"/>
      </w:pPr>
      <w:r>
        <w:rPr>
          <w:rFonts w:ascii="Arial" w:cs="Arial" w:eastAsia="Arial" w:hAnsi="Arial"/>
          <w:b/>
          <w:bCs/>
          <w:i w:val="false"/>
          <w:iCs w:val="false"/>
          <w:color w:val="B03A2E"/>
          <w:spacing w:val="30"/>
          <w:sz w:val="16"/>
          <w:szCs w:val="16"/>
        </w:rPr>
        <w:t xml:space="preserve">DON'T MISS</w:t>
      </w:r>
    </w:p>
    <w:p>
      <w:pPr>
        <w:keepLines/>
        <w:pBdr>
          <w:left w:val="single" w:color="B03A2E" w:sz="22" w:space="8"/>
        </w:pBdr>
        <w:shd w:fill="FBEAE7" w:color="auto" w:val="clear"/>
        <w:spacing w:after="0" w:before="0" w:line="288"/>
        <w:ind w:left="160" w:right="160"/>
      </w:pPr>
      <w:r>
        <w:rPr>
          <w:rFonts w:ascii="Arial" w:cs="Arial" w:eastAsia="Arial" w:hAnsi="Arial"/>
          <w:b w:val="false"/>
          <w:bCs w:val="false"/>
          <w:i w:val="false"/>
          <w:iCs w:val="false"/>
          <w:color w:val="1F2A2A"/>
          <w:sz w:val="21"/>
          <w:szCs w:val="21"/>
        </w:rPr>
        <w:t xml:space="preserve">If he discloses ongoing suicidal intent with a plan, this stops being routine: </w:t>
      </w:r>
      <w:r>
        <w:rPr>
          <w:rFonts w:ascii="Arial" w:cs="Arial" w:eastAsia="Arial" w:hAnsi="Arial"/>
          <w:b/>
          <w:bCs/>
          <w:i w:val="false"/>
          <w:iCs w:val="false"/>
          <w:color w:val="1F2A2A"/>
          <w:sz w:val="21"/>
          <w:szCs w:val="21"/>
        </w:rPr>
        <w:t xml:space="preserve">same-day contact with the crisis team / urgent mental health services</w:t>
      </w:r>
      <w:r>
        <w:rPr>
          <w:rFonts w:ascii="Arial" w:cs="Arial" w:eastAsia="Arial" w:hAnsi="Arial"/>
          <w:b w:val="false"/>
          <w:bCs w:val="false"/>
          <w:i w:val="false"/>
          <w:iCs w:val="false"/>
          <w:color w:val="1F2A2A"/>
          <w:sz w:val="21"/>
          <w:szCs w:val="21"/>
        </w:rPr>
        <w:t xml:space="preserve">. And do not lean on risk-stratification scores to decide who gets care — NICE NG225 is explicit that these tools should not be used to predict future suicide or determine management; your assessment and formulation carry the decision.</w:t>
      </w:r>
    </w:p>
    <w:p>
      <w:pPr>
        <w:pageBreakBefore/>
      </w:pPr>
    </w:p>
    <w:tbl>
      <w:tblPr>
        <w:tblW w:type="dxa" w:w="10204"/>
        <w:tblBorders>
          <w:top w:val="none" w:color="auto" w:sz="0"/>
          <w:left w:val="none" w:color="auto" w:sz="0"/>
          <w:bottom w:val="none" w:color="auto" w:sz="0"/>
          <w:right w:val="none" w:color="auto" w:sz="0"/>
          <w:insideH w:val="none" w:color="auto" w:sz="0"/>
          <w:insideV w:val="none" w:color="auto" w:sz="0"/>
        </w:tblBorders>
      </w:tblPr>
      <w:tblGrid>
        <w:gridCol w:w="900"/>
        <w:gridCol w:w="9304"/>
      </w:tblGrid>
      <w:tr>
        <w:trPr>
          <w:cantSplit/>
        </w:trPr>
        <w:tc>
          <w:tcPr>
            <w:tcW w:type="dxa" w:w="900"/>
            <w:tcBorders>
              <w:top w:val="none" w:color="auto" w:sz="0"/>
              <w:left w:val="none" w:color="auto" w:sz="0"/>
              <w:bottom w:val="none" w:color="auto" w:sz="0"/>
              <w:right w:val="none" w:color="auto" w:sz="0"/>
            </w:tcBorders>
            <w:shd w:fill="0E5C5B" w:color="auto" w:val="clear"/>
            <w:tcMar>
              <w:top w:type="dxa" w:w="130"/>
              <w:left w:type="dxa" w:w="60"/>
              <w:bottom w:type="dxa" w:w="130"/>
              <w:right w:type="dxa" w:w="60"/>
            </w:tcMar>
            <w:vAlign w:val="center"/>
          </w:tcPr>
          <w:p>
            <w:pPr>
              <w:jc w:val="center"/>
            </w:pPr>
            <w:r>
              <w:rPr>
                <w:rFonts w:ascii="Arial" w:cs="Arial" w:eastAsia="Arial" w:hAnsi="Arial"/>
                <w:b/>
                <w:bCs/>
                <w:i w:val="false"/>
                <w:iCs w:val="false"/>
                <w:color w:val="FFFFFF"/>
                <w:sz w:val="28"/>
                <w:szCs w:val="28"/>
              </w:rPr>
              <w:t xml:space="preserve">Q4</w:t>
            </w:r>
          </w:p>
        </w:tc>
        <w:tc>
          <w:tcPr>
            <w:tcW w:type="dxa" w:w="9304"/>
            <w:tcBorders>
              <w:top w:val="none" w:color="auto" w:sz="0"/>
              <w:left w:val="none" w:color="auto" w:sz="0"/>
              <w:bottom w:val="single" w:color="B07410" w:sz="12"/>
              <w:right w:val="none" w:color="auto" w:sz="0"/>
            </w:tcBorders>
            <w:shd w:fill="E7F1F0" w:color="auto" w:val="clear"/>
            <w:tcMar>
              <w:top w:type="dxa" w:w="130"/>
              <w:left w:type="dxa" w:w="240"/>
              <w:bottom w:type="dxa" w:w="130"/>
              <w:right w:type="dxa" w:w="200"/>
            </w:tcMar>
            <w:vAlign w:val="center"/>
          </w:tcPr>
          <w:p>
            <w:r>
              <w:rPr>
                <w:rFonts w:ascii="Arial" w:cs="Arial" w:eastAsia="Arial" w:hAnsi="Arial"/>
                <w:b/>
                <w:bCs/>
                <w:i w:val="false"/>
                <w:iCs w:val="false"/>
                <w:color w:val="0E5C5B"/>
                <w:sz w:val="23"/>
                <w:szCs w:val="23"/>
              </w:rPr>
              <w:t xml:space="preserve">What sort of follow-up do you want to arrange?</w:t>
            </w:r>
          </w:p>
        </w:tc>
      </w:tr>
    </w:tbl>
    <w:p>
      <w:pPr>
        <w:spacing w:after="140"/>
      </w:pPr>
    </w:p>
    <w:p>
      <w:pPr>
        <w:keepNext/>
        <w:spacing w:after="100" w:line="288"/>
      </w:pPr>
      <w:r>
        <w:rPr>
          <w:rFonts w:ascii="Arial" w:cs="Arial" w:eastAsia="Arial" w:hAnsi="Arial"/>
          <w:b w:val="false"/>
          <w:bCs w:val="false"/>
          <w:i w:val="false"/>
          <w:iCs w:val="false"/>
          <w:color w:val="1F2A2A"/>
          <w:sz w:val="21"/>
          <w:szCs w:val="21"/>
        </w:rPr>
        <w:t xml:space="preserve">Early, named, and proactive — with the safety net written down, not implied.</w:t>
      </w:r>
    </w:p>
    <w:p>
      <w:pPr>
        <w:pStyle w:val="ListParagraph"/>
        <w:keepLines/>
        <w:numPr>
          <w:ilvl w:val="0"/>
          <w:numId w:val="2"/>
        </w:numPr>
        <w:spacing w:after="90" w:before="0" w:line="288"/>
      </w:pPr>
      <w:r>
        <w:rPr>
          <w:rFonts w:ascii="Arial" w:cs="Arial" w:eastAsia="Arial" w:hAnsi="Arial"/>
          <w:b/>
          <w:bCs/>
          <w:i w:val="false"/>
          <w:iCs w:val="false"/>
          <w:color w:val="0E5C5B"/>
          <w:sz w:val="21"/>
          <w:szCs w:val="21"/>
        </w:rPr>
        <w:t xml:space="preserve">Review early, with continuity. </w:t>
      </w:r>
      <w:r>
        <w:rPr>
          <w:rFonts w:ascii="Arial" w:cs="Arial" w:eastAsia="Arial" w:hAnsi="Arial"/>
          <w:b w:val="false"/>
          <w:bCs w:val="false"/>
          <w:i w:val="false"/>
          <w:iCs w:val="false"/>
          <w:color w:val="1F2A2A"/>
          <w:sz w:val="21"/>
          <w:szCs w:val="21"/>
        </w:rPr>
        <w:t xml:space="preserve">Given the risk profile, arrange review within days to two weeks — not another month — ideally with you as a named GP. Avoidance is a core PTSD symptom, so </w:t>
      </w:r>
      <w:r>
        <w:rPr>
          <w:rFonts w:ascii="Arial" w:cs="Arial" w:eastAsia="Arial" w:hAnsi="Arial"/>
          <w:b/>
          <w:bCs/>
          <w:i w:val="false"/>
          <w:iCs w:val="false"/>
          <w:color w:val="1F2A2A"/>
          <w:sz w:val="21"/>
          <w:szCs w:val="21"/>
        </w:rPr>
        <w:t xml:space="preserve">follow up missed appointments proactively</w:t>
      </w:r>
      <w:r>
        <w:rPr>
          <w:rFonts w:ascii="Arial" w:cs="Arial" w:eastAsia="Arial" w:hAnsi="Arial"/>
          <w:b w:val="false"/>
          <w:bCs w:val="false"/>
          <w:i w:val="false"/>
          <w:iCs w:val="false"/>
          <w:color w:val="1F2A2A"/>
          <w:sz w:val="21"/>
          <w:szCs w:val="21"/>
        </w:rPr>
        <w:t xml:space="preserve"> rather than assuming disengagement means recovery.</w:t>
      </w:r>
    </w:p>
    <w:p>
      <w:pPr>
        <w:pStyle w:val="ListParagraph"/>
        <w:keepLines/>
        <w:numPr>
          <w:ilvl w:val="0"/>
          <w:numId w:val="2"/>
        </w:numPr>
        <w:spacing w:after="90" w:before="0" w:line="288"/>
      </w:pPr>
      <w:r>
        <w:rPr>
          <w:rFonts w:ascii="Arial" w:cs="Arial" w:eastAsia="Arial" w:hAnsi="Arial"/>
          <w:b/>
          <w:bCs/>
          <w:i w:val="false"/>
          <w:iCs w:val="false"/>
          <w:color w:val="0E5C5B"/>
          <w:sz w:val="21"/>
          <w:szCs w:val="21"/>
        </w:rPr>
        <w:t xml:space="preserve">Safety-net explicitly. </w:t>
      </w:r>
      <w:r>
        <w:rPr>
          <w:rFonts w:ascii="Arial" w:cs="Arial" w:eastAsia="Arial" w:hAnsi="Arial"/>
          <w:b w:val="false"/>
          <w:bCs w:val="false"/>
          <w:i w:val="false"/>
          <w:iCs w:val="false"/>
          <w:color w:val="1F2A2A"/>
          <w:sz w:val="21"/>
          <w:szCs w:val="21"/>
        </w:rPr>
        <w:t xml:space="preserve">Written crisis contacts (NHS 111 selecting the mental health option, the local crisis team, Samaritans 116 123), a copy of the safety plan, and — with his consent — his wife informed and involved.</w:t>
      </w:r>
    </w:p>
    <w:p>
      <w:pPr>
        <w:pStyle w:val="ListParagraph"/>
        <w:keepLines/>
        <w:numPr>
          <w:ilvl w:val="0"/>
          <w:numId w:val="2"/>
        </w:numPr>
        <w:spacing w:after="90" w:before="0" w:line="288"/>
      </w:pPr>
      <w:r>
        <w:rPr>
          <w:rFonts w:ascii="Arial" w:cs="Arial" w:eastAsia="Arial" w:hAnsi="Arial"/>
          <w:b/>
          <w:bCs/>
          <w:i w:val="false"/>
          <w:iCs w:val="false"/>
          <w:color w:val="0E5C5B"/>
          <w:sz w:val="21"/>
          <w:szCs w:val="21"/>
        </w:rPr>
        <w:t xml:space="preserve">Refer to Op COURAGE. </w:t>
      </w:r>
      <w:r>
        <w:rPr>
          <w:rFonts w:ascii="Arial" w:cs="Arial" w:eastAsia="Arial" w:hAnsi="Arial"/>
          <w:b w:val="false"/>
          <w:bCs w:val="false"/>
          <w:i w:val="false"/>
          <w:iCs w:val="false"/>
          <w:color w:val="1F2A2A"/>
          <w:sz w:val="21"/>
          <w:szCs w:val="21"/>
        </w:rPr>
        <w:t xml:space="preserve">The NHS veterans' mental health and wellbeing service (England) accepts GP referral or self-referral, is staffed by people who understand military culture, and treats PTSD together with co-occurring alcohol and substance misuse — an excellent fit here. Armed-forces charities (Combat Stress, whose 24/7 helpline is 0800 138 1619; the Royal British Legion; SSAFA) add practical and peer support.</w:t>
      </w:r>
    </w:p>
    <w:p>
      <w:pPr>
        <w:pStyle w:val="ListParagraph"/>
        <w:keepLines/>
        <w:numPr>
          <w:ilvl w:val="0"/>
          <w:numId w:val="2"/>
        </w:numPr>
        <w:spacing w:after="90" w:before="0" w:line="288"/>
      </w:pPr>
      <w:r>
        <w:rPr>
          <w:rFonts w:ascii="Arial" w:cs="Arial" w:eastAsia="Arial" w:hAnsi="Arial"/>
          <w:b/>
          <w:bCs/>
          <w:i w:val="false"/>
          <w:iCs w:val="false"/>
          <w:color w:val="0E5C5B"/>
          <w:sz w:val="21"/>
          <w:szCs w:val="21"/>
        </w:rPr>
        <w:t xml:space="preserve">Arrange trauma-focused psychological therapy. </w:t>
      </w:r>
      <w:r>
        <w:rPr>
          <w:rFonts w:ascii="Arial" w:cs="Arial" w:eastAsia="Arial" w:hAnsi="Arial"/>
          <w:b w:val="false"/>
          <w:bCs w:val="false"/>
          <w:i w:val="false"/>
          <w:iCs w:val="false"/>
          <w:color w:val="1F2A2A"/>
          <w:sz w:val="21"/>
          <w:szCs w:val="21"/>
        </w:rPr>
        <w:t xml:space="preserve">Individual trauma-focused CBT is NICE's first-line treatment for adults with PTSD, via NHS Talking Therapies or secondary care. Crucially, </w:t>
      </w:r>
      <w:r>
        <w:rPr>
          <w:rFonts w:ascii="Arial" w:cs="Arial" w:eastAsia="Arial" w:hAnsi="Arial"/>
          <w:b/>
          <w:bCs/>
          <w:i w:val="false"/>
          <w:iCs w:val="false"/>
          <w:color w:val="1F2A2A"/>
          <w:sz w:val="21"/>
          <w:szCs w:val="21"/>
        </w:rPr>
        <w:t xml:space="preserve">do not delay or withhold referral because of his drinking</w:t>
      </w:r>
      <w:r>
        <w:rPr>
          <w:rFonts w:ascii="Arial" w:cs="Arial" w:eastAsia="Arial" w:hAnsi="Arial"/>
          <w:b w:val="false"/>
          <w:bCs w:val="false"/>
          <w:i w:val="false"/>
          <w:iCs w:val="false"/>
          <w:color w:val="1F2A2A"/>
          <w:sz w:val="21"/>
          <w:szCs w:val="21"/>
        </w:rPr>
        <w:t xml:space="preserve"> — NG116 states people must not be excluded from PTSD treatment solely because of comorbid alcohol misuse.</w:t>
      </w:r>
    </w:p>
    <w:p>
      <w:pPr>
        <w:pStyle w:val="ListParagraph"/>
        <w:keepLines/>
        <w:numPr>
          <w:ilvl w:val="0"/>
          <w:numId w:val="2"/>
        </w:numPr>
        <w:spacing w:after="90" w:before="0" w:line="288"/>
      </w:pPr>
      <w:r>
        <w:rPr>
          <w:rFonts w:ascii="Arial" w:cs="Arial" w:eastAsia="Arial" w:hAnsi="Arial"/>
          <w:b/>
          <w:bCs/>
          <w:i w:val="false"/>
          <w:iCs w:val="false"/>
          <w:color w:val="0E5C5B"/>
          <w:sz w:val="21"/>
          <w:szCs w:val="21"/>
        </w:rPr>
        <w:t xml:space="preserve">Refer for alcohol treatment in parallel. </w:t>
      </w:r>
      <w:r>
        <w:rPr>
          <w:rFonts w:ascii="Arial" w:cs="Arial" w:eastAsia="Arial" w:hAnsi="Arial"/>
          <w:b w:val="false"/>
          <w:bCs w:val="false"/>
          <w:i w:val="false"/>
          <w:iCs w:val="false"/>
          <w:color w:val="1F2A2A"/>
          <w:sz w:val="21"/>
          <w:szCs w:val="21"/>
        </w:rPr>
        <w:t xml:space="preserve">Complete an AUDIT and refer to the community alcohol service. NICE CG115 advises considering assessment for assisted (medically supported) withdrawal for people drinking over 15 units a day or scoring 20+ on AUDIT — thresholds this man may well meet.</w:t>
      </w:r>
    </w:p>
    <w:p>
      <w:pPr>
        <w:pStyle w:val="ListParagraph"/>
        <w:keepLines/>
        <w:numPr>
          <w:ilvl w:val="0"/>
          <w:numId w:val="2"/>
        </w:numPr>
        <w:spacing w:after="90" w:before="0" w:line="288"/>
      </w:pPr>
      <w:r>
        <w:rPr>
          <w:rFonts w:ascii="Arial" w:cs="Arial" w:eastAsia="Arial" w:hAnsi="Arial"/>
          <w:b/>
          <w:bCs/>
          <w:i w:val="false"/>
          <w:iCs w:val="false"/>
          <w:color w:val="0E5C5B"/>
          <w:sz w:val="21"/>
          <w:szCs w:val="21"/>
        </w:rPr>
        <w:t xml:space="preserve">Continue and review the medication. </w:t>
      </w:r>
      <w:r>
        <w:rPr>
          <w:rFonts w:ascii="Arial" w:cs="Arial" w:eastAsia="Arial" w:hAnsi="Arial"/>
          <w:b w:val="false"/>
          <w:bCs w:val="false"/>
          <w:i w:val="false"/>
          <w:iCs w:val="false"/>
          <w:color w:val="1F2A2A"/>
          <w:sz w:val="21"/>
          <w:szCs w:val="21"/>
        </w:rPr>
        <w:t xml:space="preserve">NG116 supports SSRIs (sertraline and paroxetine hold UK licences for PTSD) or venlafaxine where the patient prefers drug treatment, with regular review. Shorter prescription quantities are sensible safer prescribing after possible self-harm.</w:t>
      </w:r>
    </w:p>
    <w:p>
      <w:pPr>
        <w:pStyle w:val="ListParagraph"/>
        <w:keepLines/>
        <w:numPr>
          <w:ilvl w:val="0"/>
          <w:numId w:val="2"/>
        </w:numPr>
        <w:spacing w:after="90" w:before="0" w:line="288"/>
      </w:pPr>
      <w:r>
        <w:rPr>
          <w:rFonts w:ascii="Arial" w:cs="Arial" w:eastAsia="Arial" w:hAnsi="Arial"/>
          <w:b/>
          <w:bCs/>
          <w:i w:val="false"/>
          <w:iCs w:val="false"/>
          <w:color w:val="0E5C5B"/>
          <w:sz w:val="21"/>
          <w:szCs w:val="21"/>
        </w:rPr>
        <w:t xml:space="preserve">Consider psychiatric referral, as the consultant suggested. </w:t>
      </w:r>
      <w:r>
        <w:rPr>
          <w:rFonts w:ascii="Arial" w:cs="Arial" w:eastAsia="Arial" w:hAnsi="Arial"/>
          <w:b w:val="false"/>
          <w:bCs w:val="false"/>
          <w:i w:val="false"/>
          <w:iCs w:val="false"/>
          <w:color w:val="1F2A2A"/>
          <w:sz w:val="21"/>
          <w:szCs w:val="21"/>
        </w:rPr>
        <w:t xml:space="preserve">If risk is significant or the picture is complex, refer to the community mental health team — and if care becomes shared, agree in writing who is monitoring what.</w:t>
      </w:r>
    </w:p>
    <w:p>
      <w:pPr>
        <w:pStyle w:val="ListParagraph"/>
        <w:keepLines/>
        <w:numPr>
          <w:ilvl w:val="0"/>
          <w:numId w:val="2"/>
        </w:numPr>
        <w:spacing w:after="90" w:before="0" w:line="288"/>
      </w:pPr>
      <w:r>
        <w:rPr>
          <w:rFonts w:ascii="Arial" w:cs="Arial" w:eastAsia="Arial" w:hAnsi="Arial"/>
          <w:b/>
          <w:bCs/>
          <w:i w:val="false"/>
          <w:iCs w:val="false"/>
          <w:color w:val="0E5C5B"/>
          <w:sz w:val="21"/>
          <w:szCs w:val="21"/>
        </w:rPr>
        <w:t xml:space="preserve">Document and share the plan. </w:t>
      </w:r>
      <w:r>
        <w:rPr>
          <w:rFonts w:ascii="Arial" w:cs="Arial" w:eastAsia="Arial" w:hAnsi="Arial"/>
          <w:b w:val="false"/>
          <w:bCs w:val="false"/>
          <w:i w:val="false"/>
          <w:iCs w:val="false"/>
          <w:color w:val="1F2A2A"/>
          <w:sz w:val="21"/>
          <w:szCs w:val="21"/>
        </w:rPr>
        <w:t xml:space="preserve">A clear written plan — symptoms, risk, referrals, review date, safety net — protects him and everyone who sees him next.</w:t>
      </w:r>
    </w:p>
    <w:p>
      <w:pPr>
        <w:spacing w:after="60"/>
      </w:pPr>
    </w:p>
    <w:p>
      <w:pPr>
        <w:keepNext/>
        <w:pBdr>
          <w:top w:val="single" w:color="EAF5EE" w:sz="2" w:space="6"/>
          <w:left w:val="single" w:color="2E7D4F" w:sz="22" w:space="8"/>
        </w:pBdr>
        <w:shd w:fill="EAF5EE" w:color="auto" w:val="clear"/>
        <w:spacing w:after="60" w:before="0"/>
        <w:ind w:left="160" w:right="160"/>
      </w:pPr>
      <w:r>
        <w:rPr>
          <w:rFonts w:ascii="Arial" w:cs="Arial" w:eastAsia="Arial" w:hAnsi="Arial"/>
          <w:b/>
          <w:bCs/>
          <w:i w:val="false"/>
          <w:iCs w:val="false"/>
          <w:color w:val="2E7D4F"/>
          <w:spacing w:val="30"/>
          <w:sz w:val="16"/>
          <w:szCs w:val="16"/>
        </w:rPr>
        <w:t xml:space="preserve">KEY PRINCIPLE</w:t>
      </w:r>
    </w:p>
    <w:p>
      <w:pPr>
        <w:keepLines/>
        <w:pBdr>
          <w:left w:val="single" w:color="2E7D4F" w:sz="22" w:space="8"/>
        </w:pBdr>
        <w:shd w:fill="EAF5EE" w:color="auto" w:val="clear"/>
        <w:spacing w:after="0" w:before="0" w:line="288"/>
        <w:ind w:left="160" w:right="160"/>
      </w:pPr>
      <w:r>
        <w:rPr>
          <w:rFonts w:ascii="Arial" w:cs="Arial" w:eastAsia="Arial" w:hAnsi="Arial"/>
          <w:b w:val="false"/>
          <w:bCs w:val="false"/>
          <w:i w:val="false"/>
          <w:iCs w:val="false"/>
          <w:color w:val="1F2A2A"/>
          <w:sz w:val="21"/>
          <w:szCs w:val="21"/>
        </w:rPr>
        <w:t xml:space="preserve">Where PTSD and depression coexist, NICE advises </w:t>
      </w:r>
      <w:r>
        <w:rPr>
          <w:rFonts w:ascii="Arial" w:cs="Arial" w:eastAsia="Arial" w:hAnsi="Arial"/>
          <w:b/>
          <w:bCs/>
          <w:i w:val="false"/>
          <w:iCs w:val="false"/>
          <w:color w:val="1F2A2A"/>
          <w:sz w:val="21"/>
          <w:szCs w:val="21"/>
        </w:rPr>
        <w:t xml:space="preserve">usually treating the PTSD first</w:t>
      </w:r>
      <w:r>
        <w:rPr>
          <w:rFonts w:ascii="Arial" w:cs="Arial" w:eastAsia="Arial" w:hAnsi="Arial"/>
          <w:b w:val="false"/>
          <w:bCs w:val="false"/>
          <w:i w:val="false"/>
          <w:iCs w:val="false"/>
          <w:color w:val="1F2A2A"/>
          <w:sz w:val="21"/>
          <w:szCs w:val="21"/>
        </w:rPr>
        <w:t xml:space="preserve">, because the depression often improves with successful PTSD treatment — unless the depression is severe enough to prevent psychological therapy, or there is a risk of harm to self or others, in which case treat the depression first. And never offer single-session psychological debriefing: NICE recommends against it for the prevention or treatment of PTSD.</w:t>
      </w:r>
    </w:p>
    <w:p>
      <w:pPr>
        <w:spacing w:after="220"/>
      </w:pPr>
    </w:p>
    <w:tbl>
      <w:tblPr>
        <w:tblW w:type="dxa" w:w="10204"/>
        <w:tblBorders>
          <w:top w:val="none" w:color="auto" w:sz="0"/>
          <w:left w:val="none" w:color="auto" w:sz="0"/>
          <w:bottom w:val="none" w:color="auto" w:sz="0"/>
          <w:right w:val="none" w:color="auto" w:sz="0"/>
          <w:insideH w:val="none" w:color="auto" w:sz="0"/>
          <w:insideV w:val="none" w:color="auto" w:sz="0"/>
        </w:tblBorders>
      </w:tblPr>
      <w:tblGrid>
        <w:gridCol w:w="10204"/>
      </w:tblGrid>
      <w:tr>
        <w:trPr>
          <w:cantSplit/>
        </w:trPr>
        <w:tc>
          <w:tcPr>
            <w:tcW w:type="dxa" w:w="10204"/>
            <w:tcBorders>
              <w:top w:val="single" w:color="B07410" w:sz="12"/>
              <w:left w:val="none" w:color="auto" w:sz="0"/>
              <w:bottom w:val="none" w:color="auto" w:sz="0"/>
              <w:right w:val="none" w:color="auto" w:sz="0"/>
            </w:tcBorders>
            <w:shd w:fill="F3F8F8" w:color="auto" w:val="clear"/>
            <w:tcMar>
              <w:top w:type="dxa" w:w="200"/>
              <w:left w:type="dxa" w:w="260"/>
              <w:bottom w:type="dxa" w:w="200"/>
              <w:right w:type="dxa" w:w="260"/>
            </w:tcMar>
            <w:vAlign w:val="center"/>
          </w:tcPr>
          <w:p>
            <w:pPr>
              <w:spacing w:after="80"/>
            </w:pPr>
            <w:r>
              <w:rPr>
                <w:rFonts w:ascii="Arial" w:cs="Arial" w:eastAsia="Arial" w:hAnsi="Arial"/>
                <w:b/>
                <w:bCs/>
                <w:i w:val="false"/>
                <w:iCs w:val="false"/>
                <w:color w:val="0E5C5B"/>
                <w:spacing w:val="30"/>
                <w:sz w:val="16"/>
                <w:szCs w:val="16"/>
              </w:rPr>
              <w:t xml:space="preserve">SOURCES &amp; CLINICAL VERIFICATION</w:t>
            </w:r>
          </w:p>
          <w:p>
            <w:pPr>
              <w:spacing w:after="40" w:line="276"/>
            </w:pPr>
            <w:r>
              <w:rPr>
                <w:rFonts w:ascii="Arial" w:cs="Arial" w:eastAsia="Arial" w:hAnsi="Arial"/>
                <w:b/>
                <w:bCs/>
                <w:i w:val="false"/>
                <w:iCs w:val="false"/>
                <w:color w:val="1F2A2A"/>
                <w:sz w:val="18"/>
                <w:szCs w:val="18"/>
              </w:rPr>
              <w:t xml:space="preserve">NICE NG116</w:t>
            </w:r>
            <w:r>
              <w:rPr>
                <w:rFonts w:ascii="Arial" w:cs="Arial" w:eastAsia="Arial" w:hAnsi="Arial"/>
                <w:b w:val="false"/>
                <w:bCs w:val="false"/>
                <w:i w:val="false"/>
                <w:iCs w:val="false"/>
                <w:color w:val="5B6B6B"/>
                <w:sz w:val="18"/>
                <w:szCs w:val="18"/>
              </w:rPr>
              <w:t xml:space="preserve"> Post-traumatic stress disorder (2018)   ·   </w:t>
            </w:r>
            <w:r>
              <w:rPr>
                <w:rFonts w:ascii="Arial" w:cs="Arial" w:eastAsia="Arial" w:hAnsi="Arial"/>
                <w:b/>
                <w:bCs/>
                <w:i w:val="false"/>
                <w:iCs w:val="false"/>
                <w:color w:val="1F2A2A"/>
                <w:sz w:val="18"/>
                <w:szCs w:val="18"/>
              </w:rPr>
              <w:t xml:space="preserve">NICE NG225</w:t>
            </w:r>
            <w:r>
              <w:rPr>
                <w:rFonts w:ascii="Arial" w:cs="Arial" w:eastAsia="Arial" w:hAnsi="Arial"/>
                <w:b w:val="false"/>
                <w:bCs w:val="false"/>
                <w:i w:val="false"/>
                <w:iCs w:val="false"/>
                <w:color w:val="5B6B6B"/>
                <w:sz w:val="18"/>
                <w:szCs w:val="18"/>
              </w:rPr>
              <w:t xml:space="preserve"> Self-harm: assessment, management and preventing recurrence (2022)</w:t>
            </w:r>
          </w:p>
          <w:p>
            <w:pPr>
              <w:spacing w:after="40" w:line="276"/>
            </w:pPr>
            <w:r>
              <w:rPr>
                <w:rFonts w:ascii="Arial" w:cs="Arial" w:eastAsia="Arial" w:hAnsi="Arial"/>
                <w:b/>
                <w:bCs/>
                <w:i w:val="false"/>
                <w:iCs w:val="false"/>
                <w:color w:val="1F2A2A"/>
                <w:sz w:val="18"/>
                <w:szCs w:val="18"/>
              </w:rPr>
              <w:t xml:space="preserve">NICE CG115</w:t>
            </w:r>
            <w:r>
              <w:rPr>
                <w:rFonts w:ascii="Arial" w:cs="Arial" w:eastAsia="Arial" w:hAnsi="Arial"/>
                <w:b w:val="false"/>
                <w:bCs w:val="false"/>
                <w:i w:val="false"/>
                <w:iCs w:val="false"/>
                <w:color w:val="5B6B6B"/>
                <w:sz w:val="18"/>
                <w:szCs w:val="18"/>
              </w:rPr>
              <w:t xml:space="preserve"> Alcohol-use disorders: harmful drinking and alcohol dependence (2011)   ·   </w:t>
            </w:r>
            <w:r>
              <w:rPr>
                <w:rFonts w:ascii="Arial" w:cs="Arial" w:eastAsia="Arial" w:hAnsi="Arial"/>
                <w:b/>
                <w:bCs/>
                <w:i w:val="false"/>
                <w:iCs w:val="false"/>
                <w:color w:val="1F2A2A"/>
                <w:sz w:val="18"/>
                <w:szCs w:val="18"/>
              </w:rPr>
              <w:t xml:space="preserve">NICE NG222</w:t>
            </w:r>
            <w:r>
              <w:rPr>
                <w:rFonts w:ascii="Arial" w:cs="Arial" w:eastAsia="Arial" w:hAnsi="Arial"/>
                <w:b w:val="false"/>
                <w:bCs w:val="false"/>
                <w:i w:val="false"/>
                <w:iCs w:val="false"/>
                <w:color w:val="5B6B6B"/>
                <w:sz w:val="18"/>
                <w:szCs w:val="18"/>
              </w:rPr>
              <w:t xml:space="preserve"> Depression in adults (2022)</w:t>
            </w:r>
          </w:p>
          <w:p>
            <w:pPr>
              <w:spacing w:after="80" w:line="276"/>
            </w:pPr>
            <w:r>
              <w:rPr>
                <w:rFonts w:ascii="Arial" w:cs="Arial" w:eastAsia="Arial" w:hAnsi="Arial"/>
                <w:b/>
                <w:bCs/>
                <w:i w:val="false"/>
                <w:iCs w:val="false"/>
                <w:color w:val="1F2A2A"/>
                <w:sz w:val="18"/>
                <w:szCs w:val="18"/>
              </w:rPr>
              <w:t xml:space="preserve">NHS England</w:t>
            </w:r>
            <w:r>
              <w:rPr>
                <w:rFonts w:ascii="Arial" w:cs="Arial" w:eastAsia="Arial" w:hAnsi="Arial"/>
                <w:b w:val="false"/>
                <w:bCs w:val="false"/>
                <w:i w:val="false"/>
                <w:iCs w:val="false"/>
                <w:color w:val="5B6B6B"/>
                <w:sz w:val="18"/>
                <w:szCs w:val="18"/>
              </w:rPr>
              <w:t xml:space="preserve"> Op COURAGE: The Veterans Mental Health and Wellbeing Service</w:t>
            </w:r>
          </w:p>
          <w:p>
            <w:pPr>
              <w:spacing w:line="276"/>
            </w:pPr>
            <w:r>
              <w:rPr>
                <w:rFonts w:ascii="Arial" w:cs="Arial" w:eastAsia="Arial" w:hAnsi="Arial"/>
                <w:b w:val="false"/>
                <w:bCs w:val="false"/>
                <w:i/>
                <w:iCs/>
                <w:color w:val="5B6B6B"/>
                <w:sz w:val="17"/>
                <w:szCs w:val="17"/>
              </w:rPr>
              <w:t xml:space="preserve">The original case narrative and discussion questions are unchanged apart from minor corrections: typographical fixes, “Iraq” generalised to “an overseas deployment”, and “deliberate self harm” updated to “self-harm” in line with current NICE terminology. Section 3 (guidance notes) is new material verified against the sources above.</w:t>
            </w:r>
          </w:p>
        </w:tc>
      </w:tr>
    </w:tbl>
    <w:sectPr>
      <w:footerReference w:type="default" r:id="rId7"/>
      <w:pgSz w:w="11906" w:h="16838" w:orient="portrait"/>
      <w:pgMar w:top="851" w:right="851" w:bottom="900" w:left="85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0E5C5B" w:sz="8" w:space="4"/>
      </w:pBdr>
      <w:tabs>
        <w:tab w:val="right" w:pos="10204"/>
      </w:tabs>
      <w:spacing w:before="60"/>
    </w:pPr>
    <w:r>
      <w:rPr>
        <w:rFonts w:ascii="Arial" w:cs="Arial" w:eastAsia="Arial" w:hAnsi="Arial"/>
        <w:b w:val="false"/>
        <w:bCs w:val="false"/>
        <w:i w:val="false"/>
        <w:iCs w:val="false"/>
        <w:color w:val="5B6B6B"/>
        <w:sz w:val="15"/>
        <w:szCs w:val="15"/>
      </w:rPr>
      <w:t xml:space="preserve">Bradford VTS  ·  GP Specialty Training  ·  Teaching Case: PTSD</w:t>
    </w:r>
    <w:r>
      <w:rPr>
        <w:rFonts w:ascii="Arial" w:cs="Arial" w:eastAsia="Arial" w:hAnsi="Arial"/>
      </w:rPr>
      <w:t xml:space="preserve">	</w:t>
    </w:r>
    <w:r>
      <w:rPr>
        <w:rFonts w:ascii="Arial" w:cs="Arial" w:eastAsia="Arial" w:hAnsi="Arial"/>
        <w:color w:val="5B6B6B"/>
        <w:sz w:val="15"/>
        <w:szCs w:val="15"/>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360"/>
      </w:pPr>
      <w:rPr>
        <w:rFonts w:ascii="Arial" w:cs="Arial" w:eastAsia="Arial" w:hAnsi="Arial"/>
        <w:color w:val="B07410"/>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F2A2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2026-07-04T16:32:24.328Z</dcterms:created>
  <dcterms:modified xsi:type="dcterms:W3CDTF">2026-07-04T16:32:24.329Z</dcterms:modified>
</cp:coreProperties>
</file>

<file path=docProps/custom.xml><?xml version="1.0" encoding="utf-8"?>
<Properties xmlns="http://schemas.openxmlformats.org/officeDocument/2006/custom-properties" xmlns:vt="http://schemas.openxmlformats.org/officeDocument/2006/docPropsVTypes"/>
</file>