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1C21" w14:textId="558B48C1" w:rsidR="00924672" w:rsidRDefault="00E01E3B">
      <w:pPr>
        <w:pStyle w:val="Heading1"/>
        <w:pageBreakBefore/>
        <w:pBdr>
          <w:bottom w:val="single" w:sz="18" w:space="4" w:color="14B8A6"/>
        </w:pBdr>
        <w:spacing w:before="120" w:after="200"/>
      </w:pPr>
      <w:r>
        <w:t xml:space="preserve">The </w:t>
      </w:r>
      <w:r w:rsidR="00000000">
        <w:t>Pituitary &amp; Hypothalamus</w:t>
      </w:r>
    </w:p>
    <w:p w14:paraId="2427DB82" w14:textId="77777777" w:rsidR="00924672" w:rsidRDefault="00000000">
      <w:pPr>
        <w:spacing w:after="120" w:line="264" w:lineRule="auto"/>
      </w:pPr>
      <w:r>
        <w:t xml:space="preserve">The hypothalamus and pituitary sit at the base of the brain and act as the body's </w:t>
      </w:r>
      <w:r>
        <w:rPr>
          <w:b/>
          <w:bCs/>
        </w:rPr>
        <w:t>control centre</w:t>
      </w:r>
      <w:r>
        <w:t xml:space="preserve"> for most hormone glands. Think of a chain of command in an army.</w:t>
      </w:r>
    </w:p>
    <w:p w14:paraId="281CC294" w14:textId="77777777" w:rsidR="00924672" w:rsidRDefault="00000000">
      <w:pPr>
        <w:spacing w:before="80" w:after="120"/>
        <w:jc w:val="center"/>
      </w:pPr>
      <w:r>
        <w:rPr>
          <w:noProof/>
        </w:rPr>
        <w:drawing>
          <wp:inline distT="0" distB="0" distL="0" distR="0" wp14:anchorId="5D501047" wp14:editId="3E07C4A6">
            <wp:extent cx="6052812" cy="379095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95" cy="38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162A8" w14:textId="77777777" w:rsidR="00924672" w:rsidRDefault="00000000">
      <w:pPr>
        <w:spacing w:after="160"/>
        <w:jc w:val="center"/>
      </w:pPr>
      <w:r>
        <w:rPr>
          <w:i/>
          <w:iCs/>
          <w:color w:val="6B7280"/>
          <w:sz w:val="17"/>
          <w:szCs w:val="17"/>
        </w:rPr>
        <w:t>Figure 1. The endocrine chain of command and negative feedback.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24672" w14:paraId="02BF71BE" w14:textId="77777777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D12BE65" w14:textId="77777777" w:rsidR="00924672" w:rsidRDefault="00000000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731EE9CD" w14:textId="77777777" w:rsidR="00924672" w:rsidRDefault="00000000">
            <w:pPr>
              <w:spacing w:after="40" w:line="256" w:lineRule="auto"/>
            </w:pPr>
            <w:r>
              <w:rPr>
                <w:b/>
                <w:bCs/>
              </w:rPr>
              <w:t xml:space="preserve">The army analogy: </w:t>
            </w:r>
            <w:r>
              <w:t>the hypothalamus is the general (sends a small order = a releasing hormone). The pituitary is the officer (passes a louder order to the troops = a trophic hormone). The target gland is the troops (does the actual work = the final hormone). Each level shouts louder — a tiny signal at the top becomes a big hormone response at the bottom (the “cascade amplifier”).</w:t>
            </w:r>
          </w:p>
          <w:p w14:paraId="03FC57C2" w14:textId="77777777" w:rsidR="00924672" w:rsidRDefault="00000000">
            <w:pPr>
              <w:spacing w:after="40" w:line="256" w:lineRule="auto"/>
            </w:pPr>
            <w:r>
              <w:rPr>
                <w:b/>
                <w:bCs/>
              </w:rPr>
              <w:t xml:space="preserve">Negative feedback: </w:t>
            </w:r>
            <w:r>
              <w:t>when there is enough final hormone, it tells the general and officer to be quiet. Like a thermostat turning the heating off once the room is warm.</w:t>
            </w:r>
          </w:p>
        </w:tc>
      </w:tr>
    </w:tbl>
    <w:p w14:paraId="3B136B6D" w14:textId="77777777" w:rsidR="00E01E3B" w:rsidRDefault="00E01E3B">
      <w:pPr>
        <w:pStyle w:val="Heading2"/>
        <w:spacing w:before="220" w:after="120"/>
      </w:pPr>
    </w:p>
    <w:p w14:paraId="57FDE434" w14:textId="77777777" w:rsidR="00E01E3B" w:rsidRDefault="00E01E3B">
      <w:pPr>
        <w:rPr>
          <w:b/>
          <w:bCs/>
          <w:color w:val="0F766E"/>
          <w:sz w:val="27"/>
          <w:szCs w:val="27"/>
        </w:rPr>
      </w:pPr>
      <w:r>
        <w:br w:type="page"/>
      </w:r>
    </w:p>
    <w:p w14:paraId="057B2559" w14:textId="730D157A" w:rsidR="00924672" w:rsidRDefault="00000000">
      <w:pPr>
        <w:pStyle w:val="Heading2"/>
        <w:spacing w:before="220" w:after="120"/>
      </w:pPr>
      <w:r>
        <w:lastRenderedPageBreak/>
        <w:t>Anterior pituitary hormones</w:t>
      </w:r>
    </w:p>
    <w:p w14:paraId="605477F6" w14:textId="77777777" w:rsidR="00924672" w:rsidRDefault="00000000">
      <w:pPr>
        <w:spacing w:after="120" w:line="264" w:lineRule="auto"/>
      </w:pPr>
      <w:r>
        <w:t>The front (anterior) pituitary makes six main hormones. A classic way to remember them:</w:t>
      </w:r>
    </w:p>
    <w:tbl>
      <w:tblPr>
        <w:tblW w:w="9360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"/>
        <w:gridCol w:w="1666"/>
        <w:gridCol w:w="2848"/>
        <w:gridCol w:w="2394"/>
        <w:gridCol w:w="2394"/>
        <w:gridCol w:w="29"/>
      </w:tblGrid>
      <w:tr w:rsidR="00924672" w14:paraId="57B58D2F" w14:textId="77777777">
        <w:trPr>
          <w:gridBefore w:val="1"/>
          <w:wBefore w:w="29" w:type="dxa"/>
        </w:trPr>
        <w:tc>
          <w:tcPr>
            <w:tcW w:w="9360" w:type="dxa"/>
            <w:gridSpan w:val="5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38B04C8" w14:textId="77777777" w:rsidR="00924672" w:rsidRDefault="00000000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274330D8" w14:textId="77777777" w:rsidR="00924672" w:rsidRDefault="00000000">
            <w:pPr>
              <w:spacing w:after="40" w:line="256" w:lineRule="auto"/>
            </w:pPr>
            <w:r>
              <w:rPr>
                <w:b/>
                <w:bCs/>
              </w:rPr>
              <w:t xml:space="preserve">“FLAT </w:t>
            </w:r>
            <w:proofErr w:type="spellStart"/>
            <w:r>
              <w:rPr>
                <w:b/>
                <w:bCs/>
              </w:rPr>
              <w:t>PiG</w:t>
            </w:r>
            <w:proofErr w:type="spellEnd"/>
            <w:r>
              <w:rPr>
                <w:b/>
                <w:bCs/>
              </w:rPr>
              <w:t xml:space="preserve">” </w:t>
            </w:r>
            <w:r>
              <w:t>— FSH, LH, ACTH, TSH (the “tropic” ones that boss other glands), then Prolactin and GH (the “direct” ones that act on the body themselves).</w:t>
            </w:r>
          </w:p>
        </w:tc>
      </w:tr>
      <w:tr w:rsidR="00924672" w14:paraId="7A8377C5" w14:textId="77777777">
        <w:tblPrEx>
          <w:tblBorders>
            <w:top w:val="single" w:sz="1" w:space="0" w:color="CBD5E1"/>
            <w:left w:val="single" w:sz="1" w:space="0" w:color="CBD5E1"/>
            <w:bottom w:val="single" w:sz="1" w:space="0" w:color="CBD5E1"/>
            <w:right w:val="single" w:sz="1" w:space="0" w:color="CBD5E1"/>
            <w:insideH w:val="single" w:sz="1" w:space="0" w:color="CBD5E1"/>
            <w:insideV w:val="single" w:sz="1" w:space="0" w:color="CBD5E1"/>
          </w:tblBorders>
        </w:tblPrEx>
        <w:trPr>
          <w:gridAfter w:val="1"/>
          <w:wAfter w:w="29" w:type="dxa"/>
          <w:tblHeader/>
        </w:trPr>
        <w:tc>
          <w:tcPr>
            <w:tcW w:w="1700" w:type="dxa"/>
            <w:gridSpan w:val="2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F61F2F" w14:textId="77777777" w:rsidR="00924672" w:rsidRDefault="00000000">
            <w:r>
              <w:rPr>
                <w:b/>
                <w:bCs/>
                <w:color w:val="FFFFFF"/>
                <w:sz w:val="19"/>
                <w:szCs w:val="19"/>
              </w:rPr>
              <w:t>Hormone</w:t>
            </w:r>
          </w:p>
        </w:tc>
        <w:tc>
          <w:tcPr>
            <w:tcW w:w="286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17497A" w14:textId="77777777" w:rsidR="00924672" w:rsidRDefault="00000000">
            <w:r>
              <w:rPr>
                <w:b/>
                <w:bCs/>
                <w:color w:val="FFFFFF"/>
                <w:sz w:val="19"/>
                <w:szCs w:val="19"/>
              </w:rPr>
              <w:t>What it does</w:t>
            </w:r>
          </w:p>
        </w:tc>
        <w:tc>
          <w:tcPr>
            <w:tcW w:w="240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6AD3D1" w14:textId="77777777" w:rsidR="00924672" w:rsidRDefault="00000000">
            <w:r>
              <w:rPr>
                <w:b/>
                <w:bCs/>
                <w:color w:val="FFFFFF"/>
                <w:sz w:val="19"/>
                <w:szCs w:val="19"/>
              </w:rPr>
              <w:t xml:space="preserve">Too </w:t>
            </w:r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much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causes</w:t>
            </w:r>
          </w:p>
        </w:tc>
        <w:tc>
          <w:tcPr>
            <w:tcW w:w="240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4CD491" w14:textId="77777777" w:rsidR="00924672" w:rsidRDefault="00000000">
            <w:r>
              <w:rPr>
                <w:b/>
                <w:bCs/>
                <w:color w:val="FFFFFF"/>
                <w:sz w:val="19"/>
                <w:szCs w:val="19"/>
              </w:rPr>
              <w:t>Too little causes</w:t>
            </w:r>
          </w:p>
        </w:tc>
      </w:tr>
      <w:tr w:rsidR="00924672" w14:paraId="07A5314D" w14:textId="77777777">
        <w:tblPrEx>
          <w:tblBorders>
            <w:top w:val="single" w:sz="1" w:space="0" w:color="CBD5E1"/>
            <w:left w:val="single" w:sz="1" w:space="0" w:color="CBD5E1"/>
            <w:bottom w:val="single" w:sz="1" w:space="0" w:color="CBD5E1"/>
            <w:right w:val="single" w:sz="1" w:space="0" w:color="CBD5E1"/>
            <w:insideH w:val="single" w:sz="1" w:space="0" w:color="CBD5E1"/>
            <w:insideV w:val="single" w:sz="1" w:space="0" w:color="CBD5E1"/>
          </w:tblBorders>
        </w:tblPrEx>
        <w:trPr>
          <w:gridAfter w:val="1"/>
          <w:wAfter w:w="29" w:type="dxa"/>
        </w:trPr>
        <w:tc>
          <w:tcPr>
            <w:tcW w:w="17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096AA25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GH (growth hormone)</w:t>
            </w:r>
          </w:p>
        </w:tc>
        <w:tc>
          <w:tcPr>
            <w:tcW w:w="28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F09FE5E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Growth &amp; metabolism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D704D71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Acromegaly / gigantism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857B41A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Short stature (children)</w:t>
            </w:r>
          </w:p>
        </w:tc>
      </w:tr>
      <w:tr w:rsidR="00924672" w14:paraId="1E781B18" w14:textId="77777777">
        <w:tblPrEx>
          <w:tblBorders>
            <w:top w:val="single" w:sz="1" w:space="0" w:color="CBD5E1"/>
            <w:left w:val="single" w:sz="1" w:space="0" w:color="CBD5E1"/>
            <w:bottom w:val="single" w:sz="1" w:space="0" w:color="CBD5E1"/>
            <w:right w:val="single" w:sz="1" w:space="0" w:color="CBD5E1"/>
            <w:insideH w:val="single" w:sz="1" w:space="0" w:color="CBD5E1"/>
            <w:insideV w:val="single" w:sz="1" w:space="0" w:color="CBD5E1"/>
          </w:tblBorders>
        </w:tblPrEx>
        <w:trPr>
          <w:gridAfter w:val="1"/>
          <w:wAfter w:w="29" w:type="dxa"/>
        </w:trPr>
        <w:tc>
          <w:tcPr>
            <w:tcW w:w="17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7610101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Prolactin</w:t>
            </w:r>
          </w:p>
        </w:tc>
        <w:tc>
          <w:tcPr>
            <w:tcW w:w="28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F707FBF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Milk production</w:t>
            </w:r>
          </w:p>
        </w:tc>
        <w:tc>
          <w:tcPr>
            <w:tcW w:w="24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9E189F1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Galactorrhoea, low libido, infertility</w:t>
            </w:r>
          </w:p>
        </w:tc>
        <w:tc>
          <w:tcPr>
            <w:tcW w:w="24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C75CE4D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Failure of lactation</w:t>
            </w:r>
          </w:p>
        </w:tc>
      </w:tr>
      <w:tr w:rsidR="00924672" w14:paraId="06704F31" w14:textId="77777777">
        <w:tblPrEx>
          <w:tblBorders>
            <w:top w:val="single" w:sz="1" w:space="0" w:color="CBD5E1"/>
            <w:left w:val="single" w:sz="1" w:space="0" w:color="CBD5E1"/>
            <w:bottom w:val="single" w:sz="1" w:space="0" w:color="CBD5E1"/>
            <w:right w:val="single" w:sz="1" w:space="0" w:color="CBD5E1"/>
            <w:insideH w:val="single" w:sz="1" w:space="0" w:color="CBD5E1"/>
            <w:insideV w:val="single" w:sz="1" w:space="0" w:color="CBD5E1"/>
          </w:tblBorders>
        </w:tblPrEx>
        <w:trPr>
          <w:gridAfter w:val="1"/>
          <w:wAfter w:w="29" w:type="dxa"/>
        </w:trPr>
        <w:tc>
          <w:tcPr>
            <w:tcW w:w="17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0B42743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TSH</w:t>
            </w:r>
          </w:p>
        </w:tc>
        <w:tc>
          <w:tcPr>
            <w:tcW w:w="28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A52EA04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Drives the thyroid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9E86987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Rare pituitary hyperthyroidism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4254FB9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Secondary hypothyroidism</w:t>
            </w:r>
          </w:p>
        </w:tc>
      </w:tr>
      <w:tr w:rsidR="00924672" w14:paraId="6FA180B2" w14:textId="77777777">
        <w:tblPrEx>
          <w:tblBorders>
            <w:top w:val="single" w:sz="1" w:space="0" w:color="CBD5E1"/>
            <w:left w:val="single" w:sz="1" w:space="0" w:color="CBD5E1"/>
            <w:bottom w:val="single" w:sz="1" w:space="0" w:color="CBD5E1"/>
            <w:right w:val="single" w:sz="1" w:space="0" w:color="CBD5E1"/>
            <w:insideH w:val="single" w:sz="1" w:space="0" w:color="CBD5E1"/>
            <w:insideV w:val="single" w:sz="1" w:space="0" w:color="CBD5E1"/>
          </w:tblBorders>
        </w:tblPrEx>
        <w:trPr>
          <w:gridAfter w:val="1"/>
          <w:wAfter w:w="29" w:type="dxa"/>
        </w:trPr>
        <w:tc>
          <w:tcPr>
            <w:tcW w:w="17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D9ABC42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ACTH</w:t>
            </w:r>
          </w:p>
        </w:tc>
        <w:tc>
          <w:tcPr>
            <w:tcW w:w="28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434DEF5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Drives the adrenal cortex</w:t>
            </w:r>
          </w:p>
        </w:tc>
        <w:tc>
          <w:tcPr>
            <w:tcW w:w="24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B5A3293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Cushing’s disease</w:t>
            </w:r>
          </w:p>
        </w:tc>
        <w:tc>
          <w:tcPr>
            <w:tcW w:w="24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E52F584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Secondary adrenal failure</w:t>
            </w:r>
          </w:p>
        </w:tc>
      </w:tr>
      <w:tr w:rsidR="00924672" w14:paraId="701224B5" w14:textId="77777777">
        <w:tblPrEx>
          <w:tblBorders>
            <w:top w:val="single" w:sz="1" w:space="0" w:color="CBD5E1"/>
            <w:left w:val="single" w:sz="1" w:space="0" w:color="CBD5E1"/>
            <w:bottom w:val="single" w:sz="1" w:space="0" w:color="CBD5E1"/>
            <w:right w:val="single" w:sz="1" w:space="0" w:color="CBD5E1"/>
            <w:insideH w:val="single" w:sz="1" w:space="0" w:color="CBD5E1"/>
            <w:insideV w:val="single" w:sz="1" w:space="0" w:color="CBD5E1"/>
          </w:tblBorders>
        </w:tblPrEx>
        <w:trPr>
          <w:gridAfter w:val="1"/>
          <w:wAfter w:w="29" w:type="dxa"/>
        </w:trPr>
        <w:tc>
          <w:tcPr>
            <w:tcW w:w="17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1D33243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LH &amp; FSH</w:t>
            </w:r>
          </w:p>
        </w:tc>
        <w:tc>
          <w:tcPr>
            <w:tcW w:w="28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E3C0916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Drive ovaries / testes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035552E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(</w:t>
            </w:r>
            <w:proofErr w:type="gramStart"/>
            <w:r>
              <w:rPr>
                <w:sz w:val="19"/>
                <w:szCs w:val="19"/>
              </w:rPr>
              <w:t>context</w:t>
            </w:r>
            <w:proofErr w:type="gramEnd"/>
            <w:r>
              <w:rPr>
                <w:sz w:val="19"/>
                <w:szCs w:val="19"/>
              </w:rPr>
              <w:t>-dependent)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11846D" w14:textId="77777777" w:rsidR="00924672" w:rsidRDefault="00000000">
            <w:pPr>
              <w:spacing w:line="248" w:lineRule="auto"/>
            </w:pPr>
            <w:r>
              <w:rPr>
                <w:sz w:val="19"/>
                <w:szCs w:val="19"/>
              </w:rPr>
              <w:t>Low sex hormones, infertility</w:t>
            </w:r>
          </w:p>
        </w:tc>
      </w:tr>
    </w:tbl>
    <w:p w14:paraId="03172F2A" w14:textId="77777777" w:rsidR="00924672" w:rsidRDefault="00000000">
      <w:pPr>
        <w:spacing w:after="120" w:line="264" w:lineRule="auto"/>
      </w:pPr>
      <w:r>
        <w:t xml:space="preserve">The back (posterior) pituitary is different — it stores and releases </w:t>
      </w:r>
      <w:r>
        <w:rPr>
          <w:b/>
          <w:bCs/>
        </w:rPr>
        <w:t>ADH and oxytocin</w:t>
      </w:r>
      <w:r>
        <w:t xml:space="preserve"> made by the hypothalamus. These are covered in Part 8.</w:t>
      </w:r>
    </w:p>
    <w:p w14:paraId="2B791807" w14:textId="77777777" w:rsidR="00924672" w:rsidRDefault="00000000">
      <w:pPr>
        <w:pStyle w:val="Heading2"/>
        <w:spacing w:before="220" w:after="120"/>
      </w:pPr>
      <w:r>
        <w:t>Hypopituitarism (an underactive pituitary)</w:t>
      </w:r>
    </w:p>
    <w:p w14:paraId="5F9BA01B" w14:textId="77777777" w:rsidR="00924672" w:rsidRDefault="00000000">
      <w:pPr>
        <w:spacing w:after="120" w:line="264" w:lineRule="auto"/>
      </w:pPr>
      <w:r>
        <w:t>This means the pituitary fails to make enough of its hormones. It usually comes on slowly, so symptoms are vague and easily missed.</w:t>
      </w:r>
    </w:p>
    <w:p w14:paraId="705A1B4D" w14:textId="77777777" w:rsidR="00924672" w:rsidRDefault="00000000">
      <w:pPr>
        <w:spacing w:after="120" w:line="264" w:lineRule="auto"/>
      </w:pPr>
      <w:r>
        <w:rPr>
          <w:b/>
          <w:bCs/>
        </w:rPr>
        <w:t xml:space="preserve">Causes: </w:t>
      </w:r>
      <w:r>
        <w:t xml:space="preserve">pituitary tumour (commonest), surgery or radiotherapy, head injury, infarction (including </w:t>
      </w:r>
      <w:r>
        <w:rPr>
          <w:i/>
          <w:iCs/>
        </w:rPr>
        <w:t>Sheehan’s syndrome</w:t>
      </w:r>
      <w:r>
        <w:t xml:space="preserve"> — pituitary death after major blood loss in childbirth), infection, and infiltration (</w:t>
      </w:r>
      <w:proofErr w:type="gramStart"/>
      <w:r>
        <w:t>e.g.</w:t>
      </w:r>
      <w:proofErr w:type="gramEnd"/>
      <w:r>
        <w:t xml:space="preserve"> sarcoidosis).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24672" w14:paraId="05547251" w14:textId="77777777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BD63D9A" w14:textId="77777777" w:rsidR="00924672" w:rsidRDefault="00000000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750614AF" w14:textId="77777777" w:rsidR="00924672" w:rsidRDefault="00000000">
            <w:pPr>
              <w:spacing w:after="40" w:line="256" w:lineRule="auto"/>
            </w:pPr>
            <w:r>
              <w:rPr>
                <w:b/>
                <w:bCs/>
              </w:rPr>
              <w:t xml:space="preserve">Order the hormones tend to fail: “Go Look </w:t>
            </w:r>
            <w:proofErr w:type="gramStart"/>
            <w:r>
              <w:rPr>
                <w:b/>
                <w:bCs/>
              </w:rPr>
              <w:t>For</w:t>
            </w:r>
            <w:proofErr w:type="gramEnd"/>
            <w:r>
              <w:rPr>
                <w:b/>
                <w:bCs/>
              </w:rPr>
              <w:t xml:space="preserve"> The Adenoma” </w:t>
            </w:r>
            <w:r>
              <w:t xml:space="preserve">— GH first, then LH/FSH, then TSH, then ACTH last. </w:t>
            </w:r>
            <w:proofErr w:type="gramStart"/>
            <w:r>
              <w:t>So</w:t>
            </w:r>
            <w:proofErr w:type="gramEnd"/>
            <w:r>
              <w:t xml:space="preserve"> growth and sex hormones go before thyroid and steroid hormones.</w:t>
            </w:r>
          </w:p>
        </w:tc>
      </w:tr>
    </w:tbl>
    <w:p w14:paraId="13B240E8" w14:textId="77777777" w:rsidR="00924672" w:rsidRDefault="00000000">
      <w:pPr>
        <w:spacing w:after="120" w:line="264" w:lineRule="auto"/>
      </w:pPr>
      <w:r>
        <w:rPr>
          <w:b/>
          <w:bCs/>
        </w:rPr>
        <w:t xml:space="preserve">Features: </w:t>
      </w:r>
      <w:r>
        <w:t>tiredness, loss of libido, absent periods, infertility, pale skin, and (if severe) low cortisol — low blood pressure, low sodium and collapse.</w:t>
      </w:r>
    </w:p>
    <w:p w14:paraId="3870AF97" w14:textId="77777777" w:rsidR="00924672" w:rsidRDefault="00000000">
      <w:pPr>
        <w:spacing w:after="120" w:line="264" w:lineRule="auto"/>
      </w:pPr>
      <w:r>
        <w:rPr>
          <w:b/>
          <w:bCs/>
        </w:rPr>
        <w:t xml:space="preserve">Investigation: </w:t>
      </w:r>
      <w:r>
        <w:t>measure the pituitary hormones and the gland hormones together (</w:t>
      </w:r>
      <w:proofErr w:type="gramStart"/>
      <w:r>
        <w:t>e.g.</w:t>
      </w:r>
      <w:proofErr w:type="gramEnd"/>
      <w:r>
        <w:t xml:space="preserve"> low T4 with a low or normal TSH points to the pituitary, not the thyroid). Dynamic tests and an MRI of the pituitary may be needed.</w:t>
      </w:r>
      <w:r>
        <w:rPr>
          <w:b/>
          <w:bCs/>
          <w:color w:val="B7791F"/>
        </w:rPr>
        <w:t xml:space="preserve"> ⚠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24672" w14:paraId="25583C4A" w14:textId="77777777">
        <w:tc>
          <w:tcPr>
            <w:tcW w:w="9360" w:type="dxa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60D0D3E" w14:textId="77777777" w:rsidR="00924672" w:rsidRDefault="00000000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4DC1F81D" w14:textId="77777777" w:rsidR="00924672" w:rsidRDefault="00000000">
            <w:pPr>
              <w:spacing w:after="40" w:line="256" w:lineRule="auto"/>
            </w:pPr>
            <w:r>
              <w:t xml:space="preserve">When replacing hormones, give </w:t>
            </w:r>
            <w:r>
              <w:rPr>
                <w:b/>
                <w:bCs/>
                <w:color w:val="B03A2E"/>
              </w:rPr>
              <w:t>hydrocortisone (steroid) BEFORE levothyroxine</w:t>
            </w:r>
            <w:r>
              <w:t xml:space="preserve">. Starting thyroid hormone first in someone who also lacks cortisol can trigger an </w:t>
            </w:r>
            <w:r>
              <w:rPr>
                <w:i/>
                <w:iCs/>
              </w:rPr>
              <w:t>adrenal crisis</w:t>
            </w:r>
            <w:r>
              <w:t xml:space="preserve">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559A0922" w14:textId="77777777" w:rsidR="00E01E3B" w:rsidRDefault="00E01E3B">
      <w:pPr>
        <w:pStyle w:val="Heading2"/>
        <w:spacing w:before="220" w:after="120"/>
      </w:pPr>
    </w:p>
    <w:p w14:paraId="3FE486EE" w14:textId="77777777" w:rsidR="00E01E3B" w:rsidRDefault="00E01E3B">
      <w:pPr>
        <w:rPr>
          <w:b/>
          <w:bCs/>
          <w:color w:val="0F766E"/>
          <w:sz w:val="27"/>
          <w:szCs w:val="27"/>
        </w:rPr>
      </w:pPr>
      <w:r>
        <w:br w:type="page"/>
      </w:r>
    </w:p>
    <w:p w14:paraId="450DAEDC" w14:textId="115D35C5" w:rsidR="00924672" w:rsidRDefault="00000000">
      <w:pPr>
        <w:pStyle w:val="Heading2"/>
        <w:spacing w:before="220" w:after="120"/>
      </w:pPr>
      <w:r>
        <w:lastRenderedPageBreak/>
        <w:t>Pituitary tumours</w:t>
      </w:r>
    </w:p>
    <w:p w14:paraId="38FA0ECE" w14:textId="77777777" w:rsidR="00924672" w:rsidRDefault="00000000">
      <w:pPr>
        <w:spacing w:after="120" w:line="264" w:lineRule="auto"/>
      </w:pPr>
      <w:r>
        <w:t>Almost always benign adenomas. They cause problems in two ways:</w:t>
      </w:r>
    </w:p>
    <w:p w14:paraId="6C16C95A" w14:textId="77777777" w:rsidR="00924672" w:rsidRDefault="00000000">
      <w:pPr>
        <w:pStyle w:val="ListParagraph"/>
        <w:numPr>
          <w:ilvl w:val="0"/>
          <w:numId w:val="3"/>
        </w:numPr>
        <w:spacing w:after="60" w:line="260" w:lineRule="auto"/>
      </w:pPr>
      <w:r>
        <w:rPr>
          <w:b/>
          <w:bCs/>
        </w:rPr>
        <w:t xml:space="preserve">Pressure (mass effect): </w:t>
      </w:r>
      <w:r>
        <w:rPr>
          <w:i/>
          <w:iCs/>
        </w:rPr>
        <w:t>bitemporal hemianopia</w:t>
      </w:r>
      <w:r>
        <w:t xml:space="preserve"> (“tunnel-like” side-vision loss).</w:t>
      </w:r>
    </w:p>
    <w:p w14:paraId="41377DB4" w14:textId="77777777" w:rsidR="00924672" w:rsidRDefault="00000000">
      <w:pPr>
        <w:pStyle w:val="ListParagraph"/>
        <w:numPr>
          <w:ilvl w:val="0"/>
          <w:numId w:val="3"/>
        </w:numPr>
        <w:spacing w:after="60" w:line="260" w:lineRule="auto"/>
      </w:pPr>
      <w:r>
        <w:rPr>
          <w:b/>
          <w:bCs/>
        </w:rPr>
        <w:t xml:space="preserve">Hormones: </w:t>
      </w:r>
      <w:r>
        <w:t>either too much of one hormone, or hypopituitarism from squashing the rest of the gland.</w:t>
      </w:r>
    </w:p>
    <w:p w14:paraId="08DE2D8C" w14:textId="77777777" w:rsidR="00924672" w:rsidRDefault="00000000">
      <w:pPr>
        <w:pStyle w:val="Heading3"/>
        <w:spacing w:before="160" w:after="80"/>
      </w:pPr>
      <w:r>
        <w:t>Acromegaly (too much GH in adults)</w:t>
      </w:r>
    </w:p>
    <w:p w14:paraId="4E860E74" w14:textId="77777777" w:rsidR="00924672" w:rsidRDefault="00000000">
      <w:pPr>
        <w:spacing w:after="120" w:line="264" w:lineRule="auto"/>
      </w:pPr>
      <w:r>
        <w:rPr>
          <w:b/>
          <w:bCs/>
        </w:rPr>
        <w:t xml:space="preserve">Features: </w:t>
      </w:r>
      <w:r>
        <w:t xml:space="preserve">large hands and feet (rings/shoes stop fitting), coarse facial features, sweating, headaches; can cause diabetes and high blood pressure. In children, before the growth plates close, excess GH causes </w:t>
      </w:r>
      <w:r>
        <w:rPr>
          <w:i/>
          <w:iCs/>
        </w:rPr>
        <w:t>gigantism</w:t>
      </w:r>
      <w: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24672" w14:paraId="4423D1F7" w14:textId="77777777">
        <w:tc>
          <w:tcPr>
            <w:tcW w:w="9360" w:type="dxa"/>
            <w:tcBorders>
              <w:top w:val="single" w:sz="2" w:space="0" w:color="FCEFC7"/>
              <w:left w:val="single" w:sz="24" w:space="0" w:color="B7791F"/>
              <w:bottom w:val="single" w:sz="2" w:space="0" w:color="FCEFC7"/>
              <w:right w:val="single" w:sz="2" w:space="0" w:color="FCEFC7"/>
            </w:tcBorders>
            <w:shd w:val="clear" w:color="auto" w:fill="FCEFC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1BA538A" w14:textId="77777777" w:rsidR="00924672" w:rsidRDefault="00000000">
            <w:pPr>
              <w:spacing w:after="40" w:line="256" w:lineRule="auto"/>
            </w:pPr>
            <w:r>
              <w:rPr>
                <w:b/>
                <w:bCs/>
              </w:rPr>
              <w:t xml:space="preserve">Treatment today: </w:t>
            </w:r>
            <w:proofErr w:type="gramStart"/>
            <w:r>
              <w:t>first-line</w:t>
            </w:r>
            <w:proofErr w:type="gramEnd"/>
            <w:r>
              <w:t xml:space="preserve"> is </w:t>
            </w:r>
            <w:r>
              <w:rPr>
                <w:b/>
                <w:bCs/>
              </w:rPr>
              <w:t>trans-sphenoidal surgery</w:t>
            </w:r>
            <w:r>
              <w:t xml:space="preserve"> (through the nose). Medicines — somatostatin analogues (octreotide, </w:t>
            </w:r>
            <w:proofErr w:type="spellStart"/>
            <w:r>
              <w:t>lanreotide</w:t>
            </w:r>
            <w:proofErr w:type="spellEnd"/>
            <w:r>
              <w:t xml:space="preserve">), the GH-receptor blocker </w:t>
            </w:r>
            <w:proofErr w:type="spellStart"/>
            <w:r>
              <w:t>pegvisomant</w:t>
            </w:r>
            <w:proofErr w:type="spellEnd"/>
            <w:r>
              <w:t xml:space="preserve">, or cabergoline — and radiotherapy are used when surgery is not enough. The original handbook’s reliance on bromocriptine is outdated.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2D3ABBBC" w14:textId="77777777" w:rsidR="00924672" w:rsidRDefault="00000000">
      <w:pPr>
        <w:pStyle w:val="Heading3"/>
        <w:spacing w:before="160" w:after="80"/>
      </w:pPr>
      <w:r>
        <w:t>Prolactinoma (too much prolactin)</w:t>
      </w:r>
    </w:p>
    <w:p w14:paraId="4140EE51" w14:textId="77777777" w:rsidR="00924672" w:rsidRDefault="00000000">
      <w:pPr>
        <w:spacing w:after="120" w:line="264" w:lineRule="auto"/>
      </w:pPr>
      <w:r>
        <w:rPr>
          <w:b/>
          <w:bCs/>
        </w:rPr>
        <w:t xml:space="preserve">Features: </w:t>
      </w:r>
      <w:r>
        <w:t xml:space="preserve">women — absent periods, milk from the breasts (galactorrhoea), infertility; men — low libido, impotence; </w:t>
      </w:r>
      <w:proofErr w:type="gramStart"/>
      <w:r>
        <w:t>plus</w:t>
      </w:r>
      <w:proofErr w:type="gramEnd"/>
      <w:r>
        <w:t xml:space="preserve"> headaches/visual loss if large.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24672" w14:paraId="5FADDAFB" w14:textId="77777777">
        <w:tc>
          <w:tcPr>
            <w:tcW w:w="9360" w:type="dxa"/>
            <w:tcBorders>
              <w:top w:val="single" w:sz="2" w:space="0" w:color="FCEFC7"/>
              <w:left w:val="single" w:sz="24" w:space="0" w:color="B7791F"/>
              <w:bottom w:val="single" w:sz="2" w:space="0" w:color="FCEFC7"/>
              <w:right w:val="single" w:sz="2" w:space="0" w:color="FCEFC7"/>
            </w:tcBorders>
            <w:shd w:val="clear" w:color="auto" w:fill="FCEFC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7E5384D" w14:textId="4850C9D2" w:rsidR="00924672" w:rsidRDefault="00000000">
            <w:pPr>
              <w:spacing w:after="40" w:line="256" w:lineRule="auto"/>
            </w:pPr>
            <w:r>
              <w:rPr>
                <w:b/>
                <w:bCs/>
              </w:rPr>
              <w:t>First-line treatment is a dopamine agonist — now usually cabergoline</w:t>
            </w:r>
            <w:r>
              <w:t xml:space="preserve"> (better tolerated and more effective than the older bromocriptine). Tablets often shrink the tumour, so surgery is rarely needed first.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  <w:tr w:rsidR="00924672" w14:paraId="57BEBB03" w14:textId="77777777">
        <w:tc>
          <w:tcPr>
            <w:tcW w:w="9360" w:type="dxa"/>
            <w:tcBorders>
              <w:top w:val="single" w:sz="2" w:space="0" w:color="DBEAFE"/>
              <w:left w:val="single" w:sz="24" w:space="0" w:color="1D4ED8"/>
              <w:bottom w:val="single" w:sz="2" w:space="0" w:color="DBEAFE"/>
              <w:right w:val="single" w:sz="2" w:space="0" w:color="DBEAFE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BB6B670" w14:textId="77777777" w:rsidR="00924672" w:rsidRDefault="00000000">
            <w:pPr>
              <w:spacing w:after="40"/>
            </w:pPr>
            <w:r>
              <w:rPr>
                <w:b/>
                <w:bCs/>
                <w:color w:val="1D4ED8"/>
                <w:sz w:val="20"/>
                <w:szCs w:val="20"/>
              </w:rPr>
              <w:t>CLINICAL / EXAM PEARL</w:t>
            </w:r>
          </w:p>
          <w:p w14:paraId="1B81A5B4" w14:textId="77777777" w:rsidR="00924672" w:rsidRDefault="00000000">
            <w:pPr>
              <w:spacing w:after="40" w:line="256" w:lineRule="auto"/>
            </w:pPr>
            <w:r>
              <w:t xml:space="preserve">Always exclude simple causes of a raised prolactin first: </w:t>
            </w:r>
            <w:r>
              <w:rPr>
                <w:b/>
                <w:bCs/>
              </w:rPr>
              <w:t>pregnancy</w:t>
            </w:r>
            <w:r>
              <w:t xml:space="preserve">, and </w:t>
            </w:r>
            <w:r>
              <w:rPr>
                <w:b/>
                <w:bCs/>
              </w:rPr>
              <w:t>drugs</w:t>
            </w:r>
            <w:r>
              <w:t xml:space="preserve"> (antipsychotics, metoclopramide). A very high prolactin (</w:t>
            </w:r>
            <w:proofErr w:type="gramStart"/>
            <w:r>
              <w:t>e.g.</w:t>
            </w:r>
            <w:proofErr w:type="gramEnd"/>
            <w:r>
              <w:t xml:space="preserve"> &gt;5000) strongly suggests a true prolactinoma.</w:t>
            </w:r>
          </w:p>
        </w:tc>
      </w:tr>
    </w:tbl>
    <w:p w14:paraId="4B194D03" w14:textId="77777777" w:rsidR="00924672" w:rsidRDefault="00000000">
      <w:pPr>
        <w:spacing w:after="120" w:line="264" w:lineRule="auto"/>
      </w:pPr>
      <w:r>
        <w:t>(Cushing’s disease — an ACTH-secreting pituitary tumour — is covered with the adrenal gland in Part 3.)</w:t>
      </w:r>
    </w:p>
    <w:sectPr w:rsidR="00924672">
      <w:headerReference w:type="default" r:id="rId8"/>
      <w:footerReference w:type="default" r:id="rId9"/>
      <w:pgSz w:w="12240" w:h="15840"/>
      <w:pgMar w:top="1320" w:right="1320" w:bottom="1320" w:left="13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C45A9" w14:textId="77777777" w:rsidR="005850EC" w:rsidRDefault="005850EC">
      <w:r>
        <w:separator/>
      </w:r>
    </w:p>
  </w:endnote>
  <w:endnote w:type="continuationSeparator" w:id="0">
    <w:p w14:paraId="09A88C5D" w14:textId="77777777" w:rsidR="005850EC" w:rsidRDefault="0058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F20" w14:textId="77777777" w:rsidR="00924672" w:rsidRDefault="00000000">
    <w:pPr>
      <w:pBdr>
        <w:top w:val="single" w:sz="6" w:space="4" w:color="14B8A6"/>
      </w:pBdr>
      <w:jc w:val="center"/>
    </w:pPr>
    <w:r>
      <w:rPr>
        <w:color w:val="94A3B8"/>
        <w:sz w:val="16"/>
        <w:szCs w:val="16"/>
      </w:rPr>
      <w:t xml:space="preserve">Bradford </w:t>
    </w:r>
    <w:proofErr w:type="gramStart"/>
    <w:r>
      <w:rPr>
        <w:color w:val="94A3B8"/>
        <w:sz w:val="16"/>
        <w:szCs w:val="16"/>
      </w:rPr>
      <w:t>VTS  ·</w:t>
    </w:r>
    <w:proofErr w:type="gramEnd"/>
    <w:r>
      <w:rPr>
        <w:color w:val="94A3B8"/>
        <w:sz w:val="16"/>
        <w:szCs w:val="16"/>
      </w:rPr>
      <w:t xml:space="preserve">  bradfordvts.co.uk  ·  page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CB2AAA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0285B" w14:textId="77777777" w:rsidR="005850EC" w:rsidRDefault="005850EC">
      <w:r>
        <w:separator/>
      </w:r>
    </w:p>
  </w:footnote>
  <w:footnote w:type="continuationSeparator" w:id="0">
    <w:p w14:paraId="07FB7AD9" w14:textId="77777777" w:rsidR="005850EC" w:rsidRDefault="00585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89F3" w14:textId="0CB90097" w:rsidR="00924672" w:rsidRDefault="00E01E3B">
    <w:pPr>
      <w:pBdr>
        <w:bottom w:val="single" w:sz="6" w:space="4" w:color="14B8A6"/>
      </w:pBdr>
      <w:jc w:val="right"/>
    </w:pPr>
    <w:r>
      <w:rPr>
        <w:color w:val="94A3B8"/>
        <w:sz w:val="16"/>
        <w:szCs w:val="16"/>
      </w:rPr>
      <w:t>BRADFORD VTS TEACHING AIDS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2D0C"/>
    <w:multiLevelType w:val="hybridMultilevel"/>
    <w:tmpl w:val="A7EA4638"/>
    <w:lvl w:ilvl="0" w:tplc="2C227062">
      <w:start w:val="1"/>
      <w:numFmt w:val="bullet"/>
      <w:lvlText w:val="–"/>
      <w:lvlJc w:val="left"/>
      <w:pPr>
        <w:ind w:left="560" w:hanging="280"/>
      </w:pPr>
    </w:lvl>
    <w:lvl w:ilvl="1" w:tplc="D2268222">
      <w:numFmt w:val="decimal"/>
      <w:lvlText w:val=""/>
      <w:lvlJc w:val="left"/>
    </w:lvl>
    <w:lvl w:ilvl="2" w:tplc="CE0E75D4">
      <w:numFmt w:val="decimal"/>
      <w:lvlText w:val=""/>
      <w:lvlJc w:val="left"/>
    </w:lvl>
    <w:lvl w:ilvl="3" w:tplc="B810EA1A">
      <w:numFmt w:val="decimal"/>
      <w:lvlText w:val=""/>
      <w:lvlJc w:val="left"/>
    </w:lvl>
    <w:lvl w:ilvl="4" w:tplc="6B922FB6">
      <w:numFmt w:val="decimal"/>
      <w:lvlText w:val=""/>
      <w:lvlJc w:val="left"/>
    </w:lvl>
    <w:lvl w:ilvl="5" w:tplc="E98C33A8">
      <w:numFmt w:val="decimal"/>
      <w:lvlText w:val=""/>
      <w:lvlJc w:val="left"/>
    </w:lvl>
    <w:lvl w:ilvl="6" w:tplc="1DB4F904">
      <w:numFmt w:val="decimal"/>
      <w:lvlText w:val=""/>
      <w:lvlJc w:val="left"/>
    </w:lvl>
    <w:lvl w:ilvl="7" w:tplc="C08A008E">
      <w:numFmt w:val="decimal"/>
      <w:lvlText w:val=""/>
      <w:lvlJc w:val="left"/>
    </w:lvl>
    <w:lvl w:ilvl="8" w:tplc="A35437BE">
      <w:numFmt w:val="decimal"/>
      <w:lvlText w:val=""/>
      <w:lvlJc w:val="left"/>
    </w:lvl>
  </w:abstractNum>
  <w:abstractNum w:abstractNumId="1" w15:restartNumberingAfterBreak="0">
    <w:nsid w:val="3C717735"/>
    <w:multiLevelType w:val="hybridMultilevel"/>
    <w:tmpl w:val="DCA2B94C"/>
    <w:lvl w:ilvl="0" w:tplc="14F8C2A2">
      <w:start w:val="1"/>
      <w:numFmt w:val="decimal"/>
      <w:lvlText w:val="%1."/>
      <w:lvlJc w:val="left"/>
      <w:pPr>
        <w:ind w:left="560" w:hanging="280"/>
      </w:pPr>
    </w:lvl>
    <w:lvl w:ilvl="1" w:tplc="47AC1006">
      <w:numFmt w:val="decimal"/>
      <w:lvlText w:val=""/>
      <w:lvlJc w:val="left"/>
    </w:lvl>
    <w:lvl w:ilvl="2" w:tplc="25CC4D92">
      <w:numFmt w:val="decimal"/>
      <w:lvlText w:val=""/>
      <w:lvlJc w:val="left"/>
    </w:lvl>
    <w:lvl w:ilvl="3" w:tplc="537087FE">
      <w:numFmt w:val="decimal"/>
      <w:lvlText w:val=""/>
      <w:lvlJc w:val="left"/>
    </w:lvl>
    <w:lvl w:ilvl="4" w:tplc="98B85700">
      <w:numFmt w:val="decimal"/>
      <w:lvlText w:val=""/>
      <w:lvlJc w:val="left"/>
    </w:lvl>
    <w:lvl w:ilvl="5" w:tplc="1534E488">
      <w:numFmt w:val="decimal"/>
      <w:lvlText w:val=""/>
      <w:lvlJc w:val="left"/>
    </w:lvl>
    <w:lvl w:ilvl="6" w:tplc="D4346B10">
      <w:numFmt w:val="decimal"/>
      <w:lvlText w:val=""/>
      <w:lvlJc w:val="left"/>
    </w:lvl>
    <w:lvl w:ilvl="7" w:tplc="B4BC212C">
      <w:numFmt w:val="decimal"/>
      <w:lvlText w:val=""/>
      <w:lvlJc w:val="left"/>
    </w:lvl>
    <w:lvl w:ilvl="8" w:tplc="1FD0FA5E">
      <w:numFmt w:val="decimal"/>
      <w:lvlText w:val=""/>
      <w:lvlJc w:val="left"/>
    </w:lvl>
  </w:abstractNum>
  <w:abstractNum w:abstractNumId="2" w15:restartNumberingAfterBreak="0">
    <w:nsid w:val="4EE02354"/>
    <w:multiLevelType w:val="hybridMultilevel"/>
    <w:tmpl w:val="0AD84A36"/>
    <w:lvl w:ilvl="0" w:tplc="725A5364">
      <w:start w:val="1"/>
      <w:numFmt w:val="bullet"/>
      <w:lvlText w:val="●"/>
      <w:lvlJc w:val="left"/>
      <w:pPr>
        <w:ind w:left="720" w:hanging="360"/>
      </w:pPr>
    </w:lvl>
    <w:lvl w:ilvl="1" w:tplc="92A0B2BC">
      <w:start w:val="1"/>
      <w:numFmt w:val="bullet"/>
      <w:lvlText w:val="○"/>
      <w:lvlJc w:val="left"/>
      <w:pPr>
        <w:ind w:left="1440" w:hanging="360"/>
      </w:pPr>
    </w:lvl>
    <w:lvl w:ilvl="2" w:tplc="5A48E2D2">
      <w:start w:val="1"/>
      <w:numFmt w:val="bullet"/>
      <w:lvlText w:val="■"/>
      <w:lvlJc w:val="left"/>
      <w:pPr>
        <w:ind w:left="2160" w:hanging="360"/>
      </w:pPr>
    </w:lvl>
    <w:lvl w:ilvl="3" w:tplc="11203D48">
      <w:start w:val="1"/>
      <w:numFmt w:val="bullet"/>
      <w:lvlText w:val="●"/>
      <w:lvlJc w:val="left"/>
      <w:pPr>
        <w:ind w:left="2880" w:hanging="360"/>
      </w:pPr>
    </w:lvl>
    <w:lvl w:ilvl="4" w:tplc="6DE2FCF6">
      <w:start w:val="1"/>
      <w:numFmt w:val="bullet"/>
      <w:lvlText w:val="○"/>
      <w:lvlJc w:val="left"/>
      <w:pPr>
        <w:ind w:left="3600" w:hanging="360"/>
      </w:pPr>
    </w:lvl>
    <w:lvl w:ilvl="5" w:tplc="299CCDC8">
      <w:start w:val="1"/>
      <w:numFmt w:val="bullet"/>
      <w:lvlText w:val="■"/>
      <w:lvlJc w:val="left"/>
      <w:pPr>
        <w:ind w:left="4320" w:hanging="360"/>
      </w:pPr>
    </w:lvl>
    <w:lvl w:ilvl="6" w:tplc="2206C9DC">
      <w:start w:val="1"/>
      <w:numFmt w:val="bullet"/>
      <w:lvlText w:val="●"/>
      <w:lvlJc w:val="left"/>
      <w:pPr>
        <w:ind w:left="5040" w:hanging="360"/>
      </w:pPr>
    </w:lvl>
    <w:lvl w:ilvl="7" w:tplc="A878882A">
      <w:start w:val="1"/>
      <w:numFmt w:val="bullet"/>
      <w:lvlText w:val="●"/>
      <w:lvlJc w:val="left"/>
      <w:pPr>
        <w:ind w:left="5760" w:hanging="360"/>
      </w:pPr>
    </w:lvl>
    <w:lvl w:ilvl="8" w:tplc="4FC6DAF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EBC6A41"/>
    <w:multiLevelType w:val="hybridMultilevel"/>
    <w:tmpl w:val="3B266EBC"/>
    <w:lvl w:ilvl="0" w:tplc="922AD09A">
      <w:start w:val="1"/>
      <w:numFmt w:val="bullet"/>
      <w:lvlText w:val="•"/>
      <w:lvlJc w:val="left"/>
      <w:pPr>
        <w:ind w:left="560" w:hanging="280"/>
      </w:pPr>
    </w:lvl>
    <w:lvl w:ilvl="1" w:tplc="2A463D62">
      <w:numFmt w:val="decimal"/>
      <w:lvlText w:val=""/>
      <w:lvlJc w:val="left"/>
    </w:lvl>
    <w:lvl w:ilvl="2" w:tplc="351AB464">
      <w:numFmt w:val="decimal"/>
      <w:lvlText w:val=""/>
      <w:lvlJc w:val="left"/>
    </w:lvl>
    <w:lvl w:ilvl="3" w:tplc="D92614CA">
      <w:numFmt w:val="decimal"/>
      <w:lvlText w:val=""/>
      <w:lvlJc w:val="left"/>
    </w:lvl>
    <w:lvl w:ilvl="4" w:tplc="037274C0">
      <w:numFmt w:val="decimal"/>
      <w:lvlText w:val=""/>
      <w:lvlJc w:val="left"/>
    </w:lvl>
    <w:lvl w:ilvl="5" w:tplc="5AE09B00">
      <w:numFmt w:val="decimal"/>
      <w:lvlText w:val=""/>
      <w:lvlJc w:val="left"/>
    </w:lvl>
    <w:lvl w:ilvl="6" w:tplc="C2C6A72C">
      <w:numFmt w:val="decimal"/>
      <w:lvlText w:val=""/>
      <w:lvlJc w:val="left"/>
    </w:lvl>
    <w:lvl w:ilvl="7" w:tplc="EF42400C">
      <w:numFmt w:val="decimal"/>
      <w:lvlText w:val=""/>
      <w:lvlJc w:val="left"/>
    </w:lvl>
    <w:lvl w:ilvl="8" w:tplc="7968FEC6">
      <w:numFmt w:val="decimal"/>
      <w:lvlText w:val=""/>
      <w:lvlJc w:val="left"/>
    </w:lvl>
  </w:abstractNum>
  <w:num w:numId="1" w16cid:durableId="1163279235">
    <w:abstractNumId w:val="2"/>
    <w:lvlOverride w:ilvl="0">
      <w:startOverride w:val="1"/>
    </w:lvlOverride>
  </w:num>
  <w:num w:numId="2" w16cid:durableId="44569979">
    <w:abstractNumId w:val="3"/>
    <w:lvlOverride w:ilvl="0">
      <w:startOverride w:val="1"/>
    </w:lvlOverride>
  </w:num>
  <w:num w:numId="3" w16cid:durableId="276184915">
    <w:abstractNumId w:val="1"/>
    <w:lvlOverride w:ilvl="0">
      <w:startOverride w:val="1"/>
    </w:lvlOverride>
  </w:num>
  <w:num w:numId="4" w16cid:durableId="50239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2"/>
    <w:rsid w:val="005850EC"/>
    <w:rsid w:val="005B632C"/>
    <w:rsid w:val="00924672"/>
    <w:rsid w:val="00CB2AAA"/>
    <w:rsid w:val="00E0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C597"/>
  <w15:docId w15:val="{59184A74-1F4E-4469-AC9D-87DC5D4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22B33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spacing w:before="240" w:after="160"/>
      <w:outlineLvl w:val="0"/>
    </w:pPr>
    <w:rPr>
      <w:b/>
      <w:bCs/>
      <w:color w:val="1C2B35"/>
      <w:sz w:val="34"/>
      <w:szCs w:val="34"/>
    </w:rPr>
  </w:style>
  <w:style w:type="paragraph" w:styleId="Heading2">
    <w:name w:val="heading 2"/>
    <w:uiPriority w:val="9"/>
    <w:unhideWhenUsed/>
    <w:qFormat/>
    <w:pPr>
      <w:keepNext/>
      <w:spacing w:before="200" w:after="100"/>
      <w:outlineLvl w:val="1"/>
    </w:pPr>
    <w:rPr>
      <w:b/>
      <w:bCs/>
      <w:color w:val="0F766E"/>
      <w:sz w:val="27"/>
      <w:szCs w:val="27"/>
    </w:rPr>
  </w:style>
  <w:style w:type="paragraph" w:styleId="Heading3">
    <w:name w:val="heading 3"/>
    <w:uiPriority w:val="9"/>
    <w:unhideWhenUsed/>
    <w:qFormat/>
    <w:pPr>
      <w:keepNext/>
      <w:spacing w:before="140" w:after="60"/>
      <w:outlineLvl w:val="2"/>
    </w:pPr>
    <w:rPr>
      <w:b/>
      <w:bCs/>
      <w:color w:val="1C2B35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2A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E3B"/>
  </w:style>
  <w:style w:type="paragraph" w:styleId="Footer">
    <w:name w:val="footer"/>
    <w:basedOn w:val="Normal"/>
    <w:link w:val="Foot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Endocrinology - Lecture Notes</dc:title>
  <dc:creator>Bradford VTS</dc:creator>
  <cp:lastModifiedBy>Ramesh Mehay</cp:lastModifiedBy>
  <cp:revision>2</cp:revision>
  <dcterms:created xsi:type="dcterms:W3CDTF">2026-06-05T12:38:00Z</dcterms:created>
  <dcterms:modified xsi:type="dcterms:W3CDTF">2026-06-05T12:38:00Z</dcterms:modified>
</cp:coreProperties>
</file>