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39005" w14:textId="05B10E3A" w:rsidR="0080154C" w:rsidRDefault="0080154C" w:rsidP="0080154C">
      <w:pPr>
        <w:pStyle w:val="Heading1"/>
        <w:pageBreakBefore/>
        <w:pBdr>
          <w:bottom w:val="single" w:sz="18" w:space="4" w:color="14B8A6"/>
        </w:pBdr>
        <w:spacing w:before="120" w:after="200"/>
      </w:pPr>
      <w:r>
        <w:t>The Parathyroids,</w:t>
      </w:r>
      <w:r>
        <w:t xml:space="preserve"> Calcium</w:t>
      </w:r>
      <w:r>
        <w:t xml:space="preserve"> &amp; Bone</w:t>
      </w:r>
    </w:p>
    <w:p w14:paraId="75D8E0BC" w14:textId="77777777" w:rsidR="0080154C" w:rsidRDefault="0080154C" w:rsidP="0080154C">
      <w:pPr>
        <w:spacing w:after="120" w:line="264" w:lineRule="auto"/>
      </w:pPr>
      <w:r>
        <w:t xml:space="preserve">Blood calcium must stay in a tight range — too high or too low both cause trouble. Three players control it: </w:t>
      </w:r>
      <w:r>
        <w:rPr>
          <w:b/>
          <w:bCs/>
        </w:rPr>
        <w:t>PTH</w:t>
      </w:r>
      <w:r>
        <w:t xml:space="preserve"> (parathyroid hormone), </w:t>
      </w:r>
      <w:r>
        <w:rPr>
          <w:b/>
          <w:bCs/>
        </w:rPr>
        <w:t>vitamin D</w:t>
      </w:r>
      <w:r>
        <w:t>, and (minor) calcitonin.</w:t>
      </w:r>
    </w:p>
    <w:p w14:paraId="1C329318" w14:textId="77777777" w:rsidR="0080154C" w:rsidRDefault="0080154C" w:rsidP="0080154C">
      <w:pPr>
        <w:spacing w:before="80" w:after="120"/>
        <w:jc w:val="center"/>
      </w:pPr>
      <w:r>
        <w:rPr>
          <w:noProof/>
        </w:rPr>
        <w:drawing>
          <wp:inline distT="0" distB="0" distL="0" distR="0" wp14:anchorId="222169F2" wp14:editId="16A59982">
            <wp:extent cx="5893382" cy="3367088"/>
            <wp:effectExtent l="0" t="0" r="0" b="5080"/>
            <wp:docPr id="1755772107" name="Picture 1755772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683" cy="337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1D0DD" w14:textId="77777777" w:rsidR="0080154C" w:rsidRDefault="0080154C" w:rsidP="0080154C">
      <w:pPr>
        <w:spacing w:after="160"/>
        <w:jc w:val="center"/>
      </w:pPr>
      <w:r>
        <w:rPr>
          <w:i/>
          <w:iCs/>
          <w:color w:val="6B7280"/>
          <w:sz w:val="17"/>
          <w:szCs w:val="17"/>
        </w:rPr>
        <w:t>Figure 3. How the body keeps blood calcium steady.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0154C" w14:paraId="16B6DBE0" w14:textId="77777777" w:rsidTr="00F73599">
        <w:tc>
          <w:tcPr>
            <w:tcW w:w="9360" w:type="dxa"/>
            <w:tcBorders>
              <w:top w:val="single" w:sz="2" w:space="0" w:color="D7F0EC"/>
              <w:left w:val="single" w:sz="24" w:space="0" w:color="0F766E"/>
              <w:bottom w:val="single" w:sz="2" w:space="0" w:color="D7F0EC"/>
              <w:right w:val="single" w:sz="2" w:space="0" w:color="D7F0EC"/>
            </w:tcBorders>
            <w:shd w:val="clear" w:color="auto" w:fill="D7F0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06F6A3A0" w14:textId="77777777" w:rsidR="0080154C" w:rsidRDefault="0080154C" w:rsidP="00F73599">
            <w:pPr>
              <w:spacing w:after="40"/>
            </w:pPr>
            <w:r>
              <w:rPr>
                <w:b/>
                <w:bCs/>
                <w:color w:val="0F766E"/>
                <w:sz w:val="20"/>
                <w:szCs w:val="20"/>
              </w:rPr>
              <w:t>MEMORY HOOK</w:t>
            </w:r>
          </w:p>
          <w:p w14:paraId="3EEFF5D6" w14:textId="77777777" w:rsidR="0080154C" w:rsidRDefault="0080154C" w:rsidP="00F73599">
            <w:pPr>
              <w:spacing w:after="40" w:line="256" w:lineRule="auto"/>
            </w:pPr>
            <w:r>
              <w:rPr>
                <w:b/>
                <w:bCs/>
              </w:rPr>
              <w:t xml:space="preserve">PTH = “Phone-To-Help when calcium is low.” </w:t>
            </w:r>
            <w:r>
              <w:t xml:space="preserve">When calcium drops, the parathyroids release PTH, which RAISES calcium </w:t>
            </w:r>
            <w:proofErr w:type="gramStart"/>
            <w:r>
              <w:t>by:</w:t>
            </w:r>
            <w:proofErr w:type="gramEnd"/>
            <w:r>
              <w:t xml:space="preserve"> pulling it from </w:t>
            </w:r>
            <w:r>
              <w:rPr>
                <w:b/>
                <w:bCs/>
              </w:rPr>
              <w:t>Bone</w:t>
            </w:r>
            <w:r>
              <w:t xml:space="preserve">, keeping it in the </w:t>
            </w:r>
            <w:r>
              <w:rPr>
                <w:b/>
                <w:bCs/>
              </w:rPr>
              <w:t>Kidney</w:t>
            </w:r>
            <w:r>
              <w:t xml:space="preserve">, and activating </w:t>
            </w:r>
            <w:r>
              <w:rPr>
                <w:b/>
                <w:bCs/>
              </w:rPr>
              <w:t>vitamin D</w:t>
            </w:r>
            <w:r>
              <w:t xml:space="preserve"> so the </w:t>
            </w:r>
            <w:r>
              <w:rPr>
                <w:b/>
                <w:bCs/>
              </w:rPr>
              <w:t>Gut</w:t>
            </w:r>
            <w:r>
              <w:t xml:space="preserve"> absorbs more. PTH also dumps phosphate in the urine — so </w:t>
            </w:r>
            <w:r>
              <w:rPr>
                <w:b/>
                <w:bCs/>
              </w:rPr>
              <w:t>high PTH → high calcium, low phosphate</w:t>
            </w:r>
            <w:r>
              <w:t>.</w:t>
            </w:r>
          </w:p>
        </w:tc>
      </w:tr>
    </w:tbl>
    <w:p w14:paraId="001DDEA5" w14:textId="77777777" w:rsidR="0080154C" w:rsidRDefault="0080154C" w:rsidP="0080154C">
      <w:pPr>
        <w:pStyle w:val="Heading2"/>
        <w:spacing w:before="220" w:after="120"/>
      </w:pPr>
      <w:r>
        <w:t>Parathyroid disorders</w:t>
      </w:r>
    </w:p>
    <w:tbl>
      <w:tblPr>
        <w:tblW w:w="9360" w:type="dxa"/>
        <w:tblBorders>
          <w:top w:val="single" w:sz="1" w:space="0" w:color="CBD5E1"/>
          <w:left w:val="single" w:sz="1" w:space="0" w:color="CBD5E1"/>
          <w:bottom w:val="single" w:sz="1" w:space="0" w:color="CBD5E1"/>
          <w:right w:val="single" w:sz="1" w:space="0" w:color="CBD5E1"/>
          <w:insideH w:val="single" w:sz="1" w:space="0" w:color="CBD5E1"/>
          <w:insideV w:val="single" w:sz="1" w:space="0" w:color="CBD5E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4060"/>
        <w:gridCol w:w="2800"/>
      </w:tblGrid>
      <w:tr w:rsidR="0080154C" w14:paraId="4DCB4E08" w14:textId="77777777" w:rsidTr="00F73599">
        <w:trPr>
          <w:tblHeader/>
        </w:trPr>
        <w:tc>
          <w:tcPr>
            <w:tcW w:w="2500" w:type="dxa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F3113F" w14:textId="77777777" w:rsidR="0080154C" w:rsidRDefault="0080154C" w:rsidP="00F73599">
            <w:r>
              <w:rPr>
                <w:b/>
                <w:bCs/>
                <w:color w:val="FFFFFF"/>
                <w:sz w:val="19"/>
                <w:szCs w:val="19"/>
              </w:rPr>
              <w:t>Disorder</w:t>
            </w:r>
          </w:p>
        </w:tc>
        <w:tc>
          <w:tcPr>
            <w:tcW w:w="4060" w:type="dxa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E9654B" w14:textId="77777777" w:rsidR="0080154C" w:rsidRDefault="0080154C" w:rsidP="00F73599">
            <w:r>
              <w:rPr>
                <w:b/>
                <w:bCs/>
                <w:color w:val="FFFFFF"/>
                <w:sz w:val="19"/>
                <w:szCs w:val="19"/>
              </w:rPr>
              <w:t>What happens</w:t>
            </w:r>
          </w:p>
        </w:tc>
        <w:tc>
          <w:tcPr>
            <w:tcW w:w="2800" w:type="dxa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DFDA6C" w14:textId="77777777" w:rsidR="0080154C" w:rsidRDefault="0080154C" w:rsidP="00F73599">
            <w:r>
              <w:rPr>
                <w:b/>
                <w:bCs/>
                <w:color w:val="FFFFFF"/>
                <w:sz w:val="19"/>
                <w:szCs w:val="19"/>
              </w:rPr>
              <w:t>Calcium / PTH / phosphate</w:t>
            </w:r>
          </w:p>
        </w:tc>
      </w:tr>
      <w:tr w:rsidR="0080154C" w14:paraId="28D90691" w14:textId="77777777" w:rsidTr="00F73599">
        <w:tc>
          <w:tcPr>
            <w:tcW w:w="250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B7D58DC" w14:textId="77777777" w:rsidR="0080154C" w:rsidRDefault="0080154C" w:rsidP="00F73599">
            <w:pPr>
              <w:spacing w:line="248" w:lineRule="auto"/>
            </w:pPr>
            <w:r>
              <w:rPr>
                <w:sz w:val="19"/>
                <w:szCs w:val="19"/>
              </w:rPr>
              <w:t>Primary hyperparathyroidism</w:t>
            </w:r>
          </w:p>
        </w:tc>
        <w:tc>
          <w:tcPr>
            <w:tcW w:w="406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62C69C21" w14:textId="77777777" w:rsidR="0080154C" w:rsidRDefault="0080154C" w:rsidP="00F73599">
            <w:pPr>
              <w:spacing w:line="248" w:lineRule="auto"/>
            </w:pPr>
            <w:r>
              <w:rPr>
                <w:sz w:val="19"/>
                <w:szCs w:val="19"/>
              </w:rPr>
              <w:t>Overactive parathyroid (usually a small adenoma). Common in older women.</w:t>
            </w:r>
          </w:p>
        </w:tc>
        <w:tc>
          <w:tcPr>
            <w:tcW w:w="280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8607E45" w14:textId="77777777" w:rsidR="0080154C" w:rsidRDefault="0080154C" w:rsidP="00F73599">
            <w:pPr>
              <w:spacing w:line="248" w:lineRule="auto"/>
            </w:pPr>
            <w:r>
              <w:rPr>
                <w:sz w:val="19"/>
                <w:szCs w:val="19"/>
              </w:rPr>
              <w:t>Ca high, PTH high/inappropriate, phosphate low</w:t>
            </w:r>
          </w:p>
        </w:tc>
      </w:tr>
      <w:tr w:rsidR="0080154C" w14:paraId="3F1D0E39" w14:textId="77777777" w:rsidTr="00F73599">
        <w:tc>
          <w:tcPr>
            <w:tcW w:w="250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8DDB8ED" w14:textId="77777777" w:rsidR="0080154C" w:rsidRDefault="0080154C" w:rsidP="00F73599">
            <w:pPr>
              <w:spacing w:line="248" w:lineRule="auto"/>
            </w:pPr>
            <w:r>
              <w:rPr>
                <w:sz w:val="19"/>
                <w:szCs w:val="19"/>
              </w:rPr>
              <w:t>Secondary hyperparathyroidism</w:t>
            </w:r>
          </w:p>
        </w:tc>
        <w:tc>
          <w:tcPr>
            <w:tcW w:w="406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D0C242D" w14:textId="77777777" w:rsidR="0080154C" w:rsidRDefault="0080154C" w:rsidP="00F73599">
            <w:pPr>
              <w:spacing w:line="248" w:lineRule="auto"/>
            </w:pPr>
            <w:r>
              <w:rPr>
                <w:sz w:val="19"/>
                <w:szCs w:val="19"/>
              </w:rPr>
              <w:t>PTH rises to defend a low calcium (vitamin D deficiency or kidney failure).</w:t>
            </w:r>
          </w:p>
        </w:tc>
        <w:tc>
          <w:tcPr>
            <w:tcW w:w="280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35D4C883" w14:textId="77777777" w:rsidR="0080154C" w:rsidRDefault="0080154C" w:rsidP="00F73599">
            <w:pPr>
              <w:spacing w:line="248" w:lineRule="auto"/>
            </w:pPr>
            <w:r>
              <w:rPr>
                <w:sz w:val="19"/>
                <w:szCs w:val="19"/>
              </w:rPr>
              <w:t>Ca low/normal, PTH high</w:t>
            </w:r>
          </w:p>
        </w:tc>
      </w:tr>
      <w:tr w:rsidR="0080154C" w14:paraId="01516815" w14:textId="77777777" w:rsidTr="00F73599">
        <w:tc>
          <w:tcPr>
            <w:tcW w:w="250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8B7893B" w14:textId="77777777" w:rsidR="0080154C" w:rsidRDefault="0080154C" w:rsidP="00F73599">
            <w:pPr>
              <w:spacing w:line="248" w:lineRule="auto"/>
            </w:pPr>
            <w:r>
              <w:rPr>
                <w:sz w:val="19"/>
                <w:szCs w:val="19"/>
              </w:rPr>
              <w:t>Tertiary hyperparathyroidism</w:t>
            </w:r>
          </w:p>
        </w:tc>
        <w:tc>
          <w:tcPr>
            <w:tcW w:w="406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4188530" w14:textId="77777777" w:rsidR="0080154C" w:rsidRDefault="0080154C" w:rsidP="00F73599">
            <w:pPr>
              <w:spacing w:line="248" w:lineRule="auto"/>
            </w:pPr>
            <w:r>
              <w:rPr>
                <w:sz w:val="19"/>
                <w:szCs w:val="19"/>
              </w:rPr>
              <w:t xml:space="preserve">After long-standing secondary </w:t>
            </w:r>
            <w:proofErr w:type="gramStart"/>
            <w:r>
              <w:rPr>
                <w:sz w:val="19"/>
                <w:szCs w:val="19"/>
              </w:rPr>
              <w:t>disease</w:t>
            </w:r>
            <w:proofErr w:type="gramEnd"/>
            <w:r>
              <w:rPr>
                <w:sz w:val="19"/>
                <w:szCs w:val="19"/>
              </w:rPr>
              <w:t xml:space="preserve"> the glands become autonomous.</w:t>
            </w:r>
          </w:p>
        </w:tc>
        <w:tc>
          <w:tcPr>
            <w:tcW w:w="280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BBA335F" w14:textId="77777777" w:rsidR="0080154C" w:rsidRDefault="0080154C" w:rsidP="00F73599">
            <w:pPr>
              <w:spacing w:line="248" w:lineRule="auto"/>
            </w:pPr>
            <w:r>
              <w:rPr>
                <w:sz w:val="19"/>
                <w:szCs w:val="19"/>
              </w:rPr>
              <w:t>Ca high, PTH very high (</w:t>
            </w:r>
            <w:proofErr w:type="gramStart"/>
            <w:r>
              <w:rPr>
                <w:sz w:val="19"/>
                <w:szCs w:val="19"/>
              </w:rPr>
              <w:t>e.g.</w:t>
            </w:r>
            <w:proofErr w:type="gramEnd"/>
            <w:r>
              <w:rPr>
                <w:sz w:val="19"/>
                <w:szCs w:val="19"/>
              </w:rPr>
              <w:t xml:space="preserve"> in CKD)</w:t>
            </w:r>
          </w:p>
        </w:tc>
      </w:tr>
      <w:tr w:rsidR="0080154C" w14:paraId="6B880FF8" w14:textId="77777777" w:rsidTr="00F73599">
        <w:tc>
          <w:tcPr>
            <w:tcW w:w="250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B129352" w14:textId="77777777" w:rsidR="0080154C" w:rsidRDefault="0080154C" w:rsidP="00F73599">
            <w:pPr>
              <w:spacing w:line="248" w:lineRule="auto"/>
            </w:pPr>
            <w:r>
              <w:rPr>
                <w:sz w:val="19"/>
                <w:szCs w:val="19"/>
              </w:rPr>
              <w:t>Hypoparathyroidism</w:t>
            </w:r>
          </w:p>
        </w:tc>
        <w:tc>
          <w:tcPr>
            <w:tcW w:w="406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2AA7248" w14:textId="77777777" w:rsidR="0080154C" w:rsidRDefault="0080154C" w:rsidP="00F73599">
            <w:pPr>
              <w:spacing w:line="248" w:lineRule="auto"/>
            </w:pPr>
            <w:r>
              <w:rPr>
                <w:sz w:val="19"/>
                <w:szCs w:val="19"/>
              </w:rPr>
              <w:t>Too little PTH (often after neck surgery).</w:t>
            </w:r>
          </w:p>
        </w:tc>
        <w:tc>
          <w:tcPr>
            <w:tcW w:w="280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FEEE9B1" w14:textId="77777777" w:rsidR="0080154C" w:rsidRDefault="0080154C" w:rsidP="00F73599">
            <w:pPr>
              <w:spacing w:line="248" w:lineRule="auto"/>
            </w:pPr>
            <w:r>
              <w:rPr>
                <w:sz w:val="19"/>
                <w:szCs w:val="19"/>
              </w:rPr>
              <w:t>Ca low, phosphate high</w:t>
            </w:r>
          </w:p>
        </w:tc>
      </w:tr>
    </w:tbl>
    <w:p w14:paraId="5DD97C07" w14:textId="77777777" w:rsidR="0080154C" w:rsidRDefault="0080154C" w:rsidP="0080154C">
      <w:pPr>
        <w:pStyle w:val="Heading2"/>
        <w:spacing w:before="220" w:after="120"/>
      </w:pPr>
      <w:r>
        <w:lastRenderedPageBreak/>
        <w:t>Hypercalcaemia (high calcium) — high-yield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0154C" w14:paraId="4123D5DB" w14:textId="77777777" w:rsidTr="00F73599">
        <w:tc>
          <w:tcPr>
            <w:tcW w:w="9360" w:type="dxa"/>
            <w:tcBorders>
              <w:top w:val="single" w:sz="2" w:space="0" w:color="D7F0EC"/>
              <w:left w:val="single" w:sz="24" w:space="0" w:color="0F766E"/>
              <w:bottom w:val="single" w:sz="2" w:space="0" w:color="D7F0EC"/>
              <w:right w:val="single" w:sz="2" w:space="0" w:color="D7F0EC"/>
            </w:tcBorders>
            <w:shd w:val="clear" w:color="auto" w:fill="D7F0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7B77F7C6" w14:textId="77777777" w:rsidR="0080154C" w:rsidRDefault="0080154C" w:rsidP="00F73599">
            <w:pPr>
              <w:spacing w:after="40"/>
            </w:pPr>
            <w:r>
              <w:rPr>
                <w:b/>
                <w:bCs/>
                <w:color w:val="0F766E"/>
                <w:sz w:val="20"/>
                <w:szCs w:val="20"/>
              </w:rPr>
              <w:t>MEMORY HOOK</w:t>
            </w:r>
          </w:p>
          <w:p w14:paraId="446961F6" w14:textId="77777777" w:rsidR="0080154C" w:rsidRDefault="0080154C" w:rsidP="00F73599">
            <w:pPr>
              <w:spacing w:after="40" w:line="256" w:lineRule="auto"/>
            </w:pPr>
            <w:r>
              <w:rPr>
                <w:b/>
                <w:bCs/>
              </w:rPr>
              <w:t xml:space="preserve">Causes — “think 2 big ones first”: </w:t>
            </w:r>
            <w:r>
              <w:t xml:space="preserve">the two commonest by far are </w:t>
            </w:r>
            <w:r>
              <w:rPr>
                <w:b/>
                <w:bCs/>
              </w:rPr>
              <w:t>malignancy</w:t>
            </w:r>
            <w:r>
              <w:t xml:space="preserve"> (cancer) and </w:t>
            </w:r>
            <w:r>
              <w:rPr>
                <w:b/>
                <w:bCs/>
              </w:rPr>
              <w:t>primary hyperparathyroidism</w:t>
            </w:r>
            <w:r>
              <w:t>.</w:t>
            </w:r>
          </w:p>
          <w:p w14:paraId="19DFFE19" w14:textId="77777777" w:rsidR="0080154C" w:rsidRDefault="0080154C" w:rsidP="00F73599">
            <w:pPr>
              <w:spacing w:after="40" w:line="256" w:lineRule="auto"/>
            </w:pPr>
            <w:r>
              <w:rPr>
                <w:b/>
                <w:bCs/>
              </w:rPr>
              <w:t xml:space="preserve">Symptoms — “Stones, Bones, abdominal Groans, and psychic Moans”: </w:t>
            </w:r>
            <w:r>
              <w:t xml:space="preserve">kidney stones; bone pain; tummy pain, nausea, constipation; and tiredness, low mood or confusion. </w:t>
            </w:r>
            <w:proofErr w:type="gramStart"/>
            <w:r>
              <w:t>Plus</w:t>
            </w:r>
            <w:proofErr w:type="gramEnd"/>
            <w:r>
              <w:t xml:space="preserve"> thirst and lots of urine.</w:t>
            </w:r>
          </w:p>
        </w:tc>
      </w:tr>
      <w:tr w:rsidR="0080154C" w14:paraId="5F7B0DAC" w14:textId="77777777" w:rsidTr="00F73599">
        <w:tc>
          <w:tcPr>
            <w:tcW w:w="9360" w:type="dxa"/>
            <w:tcBorders>
              <w:top w:val="single" w:sz="2" w:space="0" w:color="DBEAFE"/>
              <w:left w:val="single" w:sz="24" w:space="0" w:color="1D4ED8"/>
              <w:bottom w:val="single" w:sz="2" w:space="0" w:color="DBEAFE"/>
              <w:right w:val="single" w:sz="2" w:space="0" w:color="DBEAFE"/>
            </w:tcBorders>
            <w:shd w:val="clear" w:color="auto" w:fill="DBEAFE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16D0050F" w14:textId="77777777" w:rsidR="0080154C" w:rsidRDefault="0080154C" w:rsidP="00F73599">
            <w:pPr>
              <w:spacing w:after="40"/>
            </w:pPr>
            <w:r>
              <w:rPr>
                <w:b/>
                <w:bCs/>
                <w:color w:val="1D4ED8"/>
                <w:sz w:val="20"/>
                <w:szCs w:val="20"/>
              </w:rPr>
              <w:t>CLINICAL / EXAM PEARL</w:t>
            </w:r>
          </w:p>
          <w:p w14:paraId="455EC367" w14:textId="77777777" w:rsidR="0080154C" w:rsidRDefault="0080154C" w:rsidP="00F73599">
            <w:pPr>
              <w:spacing w:after="40" w:line="256" w:lineRule="auto"/>
            </w:pPr>
            <w:r>
              <w:t xml:space="preserve">A quick rule for the cause: </w:t>
            </w:r>
            <w:r>
              <w:rPr>
                <w:b/>
                <w:bCs/>
              </w:rPr>
              <w:t>PTH high or normal → parathyroid problem</w:t>
            </w:r>
            <w:r>
              <w:t xml:space="preserve">; </w:t>
            </w:r>
            <w:r>
              <w:rPr>
                <w:b/>
                <w:bCs/>
              </w:rPr>
              <w:t>PTH low (suppressed) → think malignancy</w:t>
            </w:r>
            <w:r>
              <w:t xml:space="preserve"> or another non-parathyroid cause. </w:t>
            </w:r>
            <w:r>
              <w:rPr>
                <w:b/>
                <w:bCs/>
                <w:color w:val="B7791F"/>
              </w:rPr>
              <w:t xml:space="preserve"> ⚠</w:t>
            </w:r>
          </w:p>
        </w:tc>
      </w:tr>
    </w:tbl>
    <w:p w14:paraId="0EC875B9" w14:textId="77777777" w:rsidR="0080154C" w:rsidRDefault="0080154C" w:rsidP="0080154C">
      <w:pPr>
        <w:pStyle w:val="Heading2"/>
        <w:spacing w:before="220" w:after="120"/>
      </w:pPr>
      <w:r>
        <w:t xml:space="preserve">Vitamin D deficiency: </w:t>
      </w:r>
      <w:proofErr w:type="spellStart"/>
      <w:r>
        <w:t>osteomalacia</w:t>
      </w:r>
      <w:proofErr w:type="spellEnd"/>
      <w:r>
        <w:t xml:space="preserve"> &amp; rickets</w:t>
      </w:r>
    </w:p>
    <w:p w14:paraId="3B5905CF" w14:textId="77777777" w:rsidR="0080154C" w:rsidRDefault="0080154C" w:rsidP="0080154C">
      <w:pPr>
        <w:spacing w:after="120" w:line="264" w:lineRule="auto"/>
      </w:pPr>
      <w:r>
        <w:t xml:space="preserve">Too little vitamin D means calcium is poorly </w:t>
      </w:r>
      <w:proofErr w:type="gramStart"/>
      <w:r>
        <w:t>absorbed</w:t>
      </w:r>
      <w:proofErr w:type="gramEnd"/>
      <w:r>
        <w:t xml:space="preserve"> and bone does not harden properly — </w:t>
      </w:r>
      <w:r>
        <w:rPr>
          <w:b/>
          <w:bCs/>
        </w:rPr>
        <w:t>soft bones</w:t>
      </w:r>
      <w:r>
        <w:t>. In children this bends growing bones (</w:t>
      </w:r>
      <w:r>
        <w:rPr>
          <w:i/>
          <w:iCs/>
        </w:rPr>
        <w:t>rickets</w:t>
      </w:r>
      <w:r>
        <w:t>); in adults it causes bone pain and muscle weakness (</w:t>
      </w:r>
      <w:proofErr w:type="spellStart"/>
      <w:r>
        <w:rPr>
          <w:i/>
          <w:iCs/>
        </w:rPr>
        <w:t>osteomalacia</w:t>
      </w:r>
      <w:proofErr w:type="spellEnd"/>
      <w:r>
        <w:t xml:space="preserve">). Treat with vitamin D (± calcium). </w:t>
      </w:r>
      <w:r>
        <w:rPr>
          <w:b/>
          <w:bCs/>
          <w:color w:val="B7791F"/>
        </w:rPr>
        <w:t xml:space="preserve"> ⚠</w:t>
      </w:r>
    </w:p>
    <w:p w14:paraId="6140BA9A" w14:textId="77777777" w:rsidR="0080154C" w:rsidRDefault="0080154C" w:rsidP="0080154C">
      <w:pPr>
        <w:pStyle w:val="Heading2"/>
        <w:spacing w:before="220" w:after="120"/>
      </w:pPr>
      <w:r>
        <w:t>Osteoporosis (thin, fragile bone)</w:t>
      </w:r>
    </w:p>
    <w:p w14:paraId="0B438F13" w14:textId="77777777" w:rsidR="0080154C" w:rsidRDefault="0080154C" w:rsidP="0080154C">
      <w:pPr>
        <w:spacing w:after="120" w:line="264" w:lineRule="auto"/>
      </w:pPr>
      <w:r>
        <w:t xml:space="preserve">Different from </w:t>
      </w:r>
      <w:proofErr w:type="spellStart"/>
      <w:r>
        <w:t>osteomalacia</w:t>
      </w:r>
      <w:proofErr w:type="spellEnd"/>
      <w:r>
        <w:t xml:space="preserve">: here the bone is </w:t>
      </w:r>
      <w:r>
        <w:rPr>
          <w:b/>
          <w:bCs/>
        </w:rPr>
        <w:t>normal quality but reduced quantity</w:t>
      </w:r>
      <w:r>
        <w:t xml:space="preserve"> — it breaks easily (</w:t>
      </w:r>
      <w:r>
        <w:rPr>
          <w:i/>
          <w:iCs/>
        </w:rPr>
        <w:t>fragility fractures</w:t>
      </w:r>
      <w:r>
        <w:t xml:space="preserve"> of wrist, spine, hip). Common after the menopause and with steroid use.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0154C" w14:paraId="4133F289" w14:textId="77777777" w:rsidTr="00F73599">
        <w:tc>
          <w:tcPr>
            <w:tcW w:w="9360" w:type="dxa"/>
            <w:tcBorders>
              <w:top w:val="single" w:sz="2" w:space="0" w:color="FCEFC7"/>
              <w:left w:val="single" w:sz="24" w:space="0" w:color="B7791F"/>
              <w:bottom w:val="single" w:sz="2" w:space="0" w:color="FCEFC7"/>
              <w:right w:val="single" w:sz="2" w:space="0" w:color="FCEFC7"/>
            </w:tcBorders>
            <w:shd w:val="clear" w:color="auto" w:fill="FCEFC7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273EA863" w14:textId="77777777" w:rsidR="0080154C" w:rsidRDefault="0080154C" w:rsidP="00F73599">
            <w:pPr>
              <w:spacing w:after="40" w:line="256" w:lineRule="auto"/>
            </w:pPr>
            <w:r>
              <w:rPr>
                <w:b/>
                <w:bCs/>
              </w:rPr>
              <w:t>Modern assessment &amp; treatment (NOGG 2024 / NICE):</w:t>
            </w:r>
            <w:r>
              <w:rPr>
                <w:b/>
                <w:bCs/>
                <w:color w:val="0F766E"/>
              </w:rPr>
              <w:t xml:space="preserve"> ✓</w:t>
            </w:r>
          </w:p>
          <w:p w14:paraId="29CEABE4" w14:textId="77777777" w:rsidR="0080154C" w:rsidRDefault="0080154C" w:rsidP="00F73599">
            <w:pPr>
              <w:pStyle w:val="ListParagraph"/>
              <w:numPr>
                <w:ilvl w:val="0"/>
                <w:numId w:val="4"/>
              </w:numPr>
              <w:spacing w:after="30" w:line="252" w:lineRule="auto"/>
            </w:pPr>
            <w:r>
              <w:rPr>
                <w:b/>
                <w:bCs/>
              </w:rPr>
              <w:t>Estimate fracture risk</w:t>
            </w:r>
            <w:r>
              <w:t xml:space="preserve"> with a tool such as </w:t>
            </w:r>
            <w:r>
              <w:rPr>
                <w:b/>
                <w:bCs/>
              </w:rPr>
              <w:t>FRAX</w:t>
            </w:r>
            <w:r>
              <w:t xml:space="preserve"> or </w:t>
            </w:r>
            <w:proofErr w:type="spellStart"/>
            <w:r>
              <w:t>QFracture</w:t>
            </w:r>
            <w:proofErr w:type="spellEnd"/>
            <w:r>
              <w:t xml:space="preserve">; measure bone density with a </w:t>
            </w:r>
            <w:r>
              <w:rPr>
                <w:b/>
                <w:bCs/>
              </w:rPr>
              <w:t>DXA scan</w:t>
            </w:r>
            <w:r>
              <w:t xml:space="preserve"> (osteoporosis = T-score ≤ −2.5).</w:t>
            </w:r>
          </w:p>
          <w:p w14:paraId="78A52011" w14:textId="77777777" w:rsidR="0080154C" w:rsidRDefault="0080154C" w:rsidP="00F73599">
            <w:pPr>
              <w:pStyle w:val="ListParagraph"/>
              <w:numPr>
                <w:ilvl w:val="0"/>
                <w:numId w:val="4"/>
              </w:numPr>
              <w:spacing w:after="30" w:line="252" w:lineRule="auto"/>
            </w:pPr>
            <w:r>
              <w:rPr>
                <w:b/>
                <w:bCs/>
              </w:rPr>
              <w:t>First-line drug: an oral bisphosphonate</w:t>
            </w:r>
            <w:r>
              <w:t xml:space="preserve"> (alendronate or risedronate), or IV zoledronate. Denosumab is an alternative; HRT is an option in younger post-menopausal women.</w:t>
            </w:r>
          </w:p>
          <w:p w14:paraId="71CC2EFF" w14:textId="77777777" w:rsidR="0080154C" w:rsidRDefault="0080154C" w:rsidP="00F73599">
            <w:pPr>
              <w:pStyle w:val="ListParagraph"/>
              <w:numPr>
                <w:ilvl w:val="0"/>
                <w:numId w:val="4"/>
              </w:numPr>
              <w:spacing w:after="30" w:line="252" w:lineRule="auto"/>
            </w:pPr>
            <w:r>
              <w:t xml:space="preserve">Ensure enough </w:t>
            </w:r>
            <w:r>
              <w:rPr>
                <w:b/>
                <w:bCs/>
              </w:rPr>
              <w:t>calcium and vitamin D</w:t>
            </w:r>
            <w:r>
              <w:t>, plus weight-bearing exercise and falls prevention.</w:t>
            </w:r>
          </w:p>
        </w:tc>
      </w:tr>
      <w:tr w:rsidR="0080154C" w14:paraId="5F5C0D1A" w14:textId="77777777" w:rsidTr="00F73599">
        <w:tc>
          <w:tcPr>
            <w:tcW w:w="9360" w:type="dxa"/>
            <w:tcBorders>
              <w:top w:val="single" w:sz="2" w:space="0" w:color="FBE3E0"/>
              <w:left w:val="single" w:sz="24" w:space="0" w:color="B03A2E"/>
              <w:bottom w:val="single" w:sz="2" w:space="0" w:color="FBE3E0"/>
              <w:right w:val="single" w:sz="2" w:space="0" w:color="FBE3E0"/>
            </w:tcBorders>
            <w:shd w:val="clear" w:color="auto" w:fill="FBE3E0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00EC3C07" w14:textId="77777777" w:rsidR="0080154C" w:rsidRDefault="0080154C" w:rsidP="00F73599">
            <w:pPr>
              <w:spacing w:after="40"/>
            </w:pPr>
            <w:r>
              <w:rPr>
                <w:b/>
                <w:bCs/>
                <w:color w:val="B03A2E"/>
                <w:sz w:val="20"/>
                <w:szCs w:val="20"/>
              </w:rPr>
              <w:t>RED FLAG / SAFETY</w:t>
            </w:r>
          </w:p>
          <w:p w14:paraId="01C78C3F" w14:textId="77777777" w:rsidR="0080154C" w:rsidRDefault="0080154C" w:rsidP="00F73599">
            <w:pPr>
              <w:spacing w:after="40" w:line="256" w:lineRule="auto"/>
            </w:pPr>
            <w:r>
              <w:t xml:space="preserve">Counsel oral bisphosphonates carefully: take the tablet </w:t>
            </w:r>
            <w:r>
              <w:rPr>
                <w:b/>
                <w:bCs/>
                <w:color w:val="B03A2E"/>
              </w:rPr>
              <w:t>with a full glass of water, on an empty stomach, and stay upright for 30 minutes</w:t>
            </w:r>
            <w:r>
              <w:t xml:space="preserve"> (to avoid oesophagitis). </w:t>
            </w:r>
            <w:r>
              <w:rPr>
                <w:b/>
                <w:bCs/>
                <w:color w:val="B7791F"/>
              </w:rPr>
              <w:t xml:space="preserve"> ⚠</w:t>
            </w:r>
          </w:p>
        </w:tc>
      </w:tr>
      <w:tr w:rsidR="0080154C" w14:paraId="72C194C5" w14:textId="77777777" w:rsidTr="00F73599">
        <w:tc>
          <w:tcPr>
            <w:tcW w:w="9360" w:type="dxa"/>
            <w:tcBorders>
              <w:top w:val="single" w:sz="2" w:space="0" w:color="FBE3E0"/>
              <w:left w:val="single" w:sz="24" w:space="0" w:color="B03A2E"/>
              <w:bottom w:val="single" w:sz="2" w:space="0" w:color="FBE3E0"/>
              <w:right w:val="single" w:sz="2" w:space="0" w:color="FBE3E0"/>
            </w:tcBorders>
            <w:shd w:val="clear" w:color="auto" w:fill="FBE3E0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6FAA490E" w14:textId="77777777" w:rsidR="0080154C" w:rsidRDefault="0080154C" w:rsidP="00F73599">
            <w:pPr>
              <w:spacing w:after="40"/>
              <w:rPr>
                <w:b/>
                <w:bCs/>
                <w:color w:val="B03A2E"/>
                <w:sz w:val="20"/>
                <w:szCs w:val="20"/>
              </w:rPr>
            </w:pPr>
          </w:p>
        </w:tc>
      </w:tr>
    </w:tbl>
    <w:p w14:paraId="2044D668" w14:textId="184BEB6F" w:rsidR="001D60AA" w:rsidRPr="0080154C" w:rsidRDefault="001D60AA" w:rsidP="0080154C">
      <w:pPr>
        <w:pStyle w:val="Heading1"/>
        <w:pageBreakBefore/>
        <w:pBdr>
          <w:bottom w:val="single" w:sz="18" w:space="4" w:color="14B8A6"/>
        </w:pBdr>
        <w:spacing w:before="120" w:after="200"/>
      </w:pPr>
    </w:p>
    <w:sectPr w:rsidR="001D60AA" w:rsidRPr="0080154C">
      <w:headerReference w:type="default" r:id="rId8"/>
      <w:footerReference w:type="default" r:id="rId9"/>
      <w:pgSz w:w="12240" w:h="15840"/>
      <w:pgMar w:top="1320" w:right="1320" w:bottom="1320" w:left="13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A439" w14:textId="77777777" w:rsidR="00AC17C5" w:rsidRDefault="00AC17C5">
      <w:r>
        <w:separator/>
      </w:r>
    </w:p>
  </w:endnote>
  <w:endnote w:type="continuationSeparator" w:id="0">
    <w:p w14:paraId="46ABD6F8" w14:textId="77777777" w:rsidR="00AC17C5" w:rsidRDefault="00AC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BF20" w14:textId="77777777" w:rsidR="00924672" w:rsidRDefault="00000000">
    <w:pPr>
      <w:pBdr>
        <w:top w:val="single" w:sz="6" w:space="4" w:color="14B8A6"/>
      </w:pBdr>
      <w:jc w:val="center"/>
    </w:pPr>
    <w:r>
      <w:rPr>
        <w:color w:val="94A3B8"/>
        <w:sz w:val="16"/>
        <w:szCs w:val="16"/>
      </w:rPr>
      <w:t xml:space="preserve">Bradford </w:t>
    </w:r>
    <w:proofErr w:type="gramStart"/>
    <w:r>
      <w:rPr>
        <w:color w:val="94A3B8"/>
        <w:sz w:val="16"/>
        <w:szCs w:val="16"/>
      </w:rPr>
      <w:t>VTS  ·</w:t>
    </w:r>
    <w:proofErr w:type="gramEnd"/>
    <w:r>
      <w:rPr>
        <w:color w:val="94A3B8"/>
        <w:sz w:val="16"/>
        <w:szCs w:val="16"/>
      </w:rPr>
      <w:t xml:space="preserve">  bradfordvts.co.uk  ·  page </w:t>
    </w:r>
    <w:r>
      <w:rPr>
        <w:color w:val="94A3B8"/>
        <w:sz w:val="16"/>
        <w:szCs w:val="16"/>
      </w:rPr>
      <w:fldChar w:fldCharType="begin"/>
    </w:r>
    <w:r>
      <w:rPr>
        <w:color w:val="94A3B8"/>
        <w:sz w:val="16"/>
        <w:szCs w:val="16"/>
      </w:rPr>
      <w:instrText>PAGE</w:instrText>
    </w:r>
    <w:r>
      <w:rPr>
        <w:color w:val="94A3B8"/>
        <w:sz w:val="16"/>
        <w:szCs w:val="16"/>
      </w:rPr>
      <w:fldChar w:fldCharType="separate"/>
    </w:r>
    <w:r w:rsidR="00CB2AAA">
      <w:rPr>
        <w:noProof/>
        <w:color w:val="94A3B8"/>
        <w:sz w:val="16"/>
        <w:szCs w:val="16"/>
      </w:rPr>
      <w:t>1</w:t>
    </w:r>
    <w:r>
      <w:rPr>
        <w:color w:val="94A3B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6F0A5" w14:textId="77777777" w:rsidR="00AC17C5" w:rsidRDefault="00AC17C5">
      <w:r>
        <w:separator/>
      </w:r>
    </w:p>
  </w:footnote>
  <w:footnote w:type="continuationSeparator" w:id="0">
    <w:p w14:paraId="616D3987" w14:textId="77777777" w:rsidR="00AC17C5" w:rsidRDefault="00AC1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B89F3" w14:textId="0CB90097" w:rsidR="00924672" w:rsidRDefault="00E01E3B">
    <w:pPr>
      <w:pBdr>
        <w:bottom w:val="single" w:sz="6" w:space="4" w:color="14B8A6"/>
      </w:pBdr>
      <w:jc w:val="right"/>
    </w:pPr>
    <w:r>
      <w:rPr>
        <w:color w:val="94A3B8"/>
        <w:sz w:val="16"/>
        <w:szCs w:val="16"/>
      </w:rPr>
      <w:t>BRADFORD VTS TEACHING AIDS JUNE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2D0C"/>
    <w:multiLevelType w:val="hybridMultilevel"/>
    <w:tmpl w:val="A7EA4638"/>
    <w:lvl w:ilvl="0" w:tplc="2C227062">
      <w:start w:val="1"/>
      <w:numFmt w:val="bullet"/>
      <w:lvlText w:val="–"/>
      <w:lvlJc w:val="left"/>
      <w:pPr>
        <w:ind w:left="560" w:hanging="280"/>
      </w:pPr>
    </w:lvl>
    <w:lvl w:ilvl="1" w:tplc="D2268222">
      <w:numFmt w:val="decimal"/>
      <w:lvlText w:val=""/>
      <w:lvlJc w:val="left"/>
    </w:lvl>
    <w:lvl w:ilvl="2" w:tplc="CE0E75D4">
      <w:numFmt w:val="decimal"/>
      <w:lvlText w:val=""/>
      <w:lvlJc w:val="left"/>
    </w:lvl>
    <w:lvl w:ilvl="3" w:tplc="B810EA1A">
      <w:numFmt w:val="decimal"/>
      <w:lvlText w:val=""/>
      <w:lvlJc w:val="left"/>
    </w:lvl>
    <w:lvl w:ilvl="4" w:tplc="6B922FB6">
      <w:numFmt w:val="decimal"/>
      <w:lvlText w:val=""/>
      <w:lvlJc w:val="left"/>
    </w:lvl>
    <w:lvl w:ilvl="5" w:tplc="E98C33A8">
      <w:numFmt w:val="decimal"/>
      <w:lvlText w:val=""/>
      <w:lvlJc w:val="left"/>
    </w:lvl>
    <w:lvl w:ilvl="6" w:tplc="1DB4F904">
      <w:numFmt w:val="decimal"/>
      <w:lvlText w:val=""/>
      <w:lvlJc w:val="left"/>
    </w:lvl>
    <w:lvl w:ilvl="7" w:tplc="C08A008E">
      <w:numFmt w:val="decimal"/>
      <w:lvlText w:val=""/>
      <w:lvlJc w:val="left"/>
    </w:lvl>
    <w:lvl w:ilvl="8" w:tplc="A35437BE">
      <w:numFmt w:val="decimal"/>
      <w:lvlText w:val=""/>
      <w:lvlJc w:val="left"/>
    </w:lvl>
  </w:abstractNum>
  <w:abstractNum w:abstractNumId="1" w15:restartNumberingAfterBreak="0">
    <w:nsid w:val="3C717735"/>
    <w:multiLevelType w:val="hybridMultilevel"/>
    <w:tmpl w:val="DCA2B94C"/>
    <w:lvl w:ilvl="0" w:tplc="14F8C2A2">
      <w:start w:val="1"/>
      <w:numFmt w:val="decimal"/>
      <w:lvlText w:val="%1."/>
      <w:lvlJc w:val="left"/>
      <w:pPr>
        <w:ind w:left="560" w:hanging="280"/>
      </w:pPr>
    </w:lvl>
    <w:lvl w:ilvl="1" w:tplc="47AC1006">
      <w:numFmt w:val="decimal"/>
      <w:lvlText w:val=""/>
      <w:lvlJc w:val="left"/>
    </w:lvl>
    <w:lvl w:ilvl="2" w:tplc="25CC4D92">
      <w:numFmt w:val="decimal"/>
      <w:lvlText w:val=""/>
      <w:lvlJc w:val="left"/>
    </w:lvl>
    <w:lvl w:ilvl="3" w:tplc="537087FE">
      <w:numFmt w:val="decimal"/>
      <w:lvlText w:val=""/>
      <w:lvlJc w:val="left"/>
    </w:lvl>
    <w:lvl w:ilvl="4" w:tplc="98B85700">
      <w:numFmt w:val="decimal"/>
      <w:lvlText w:val=""/>
      <w:lvlJc w:val="left"/>
    </w:lvl>
    <w:lvl w:ilvl="5" w:tplc="1534E488">
      <w:numFmt w:val="decimal"/>
      <w:lvlText w:val=""/>
      <w:lvlJc w:val="left"/>
    </w:lvl>
    <w:lvl w:ilvl="6" w:tplc="D4346B10">
      <w:numFmt w:val="decimal"/>
      <w:lvlText w:val=""/>
      <w:lvlJc w:val="left"/>
    </w:lvl>
    <w:lvl w:ilvl="7" w:tplc="B4BC212C">
      <w:numFmt w:val="decimal"/>
      <w:lvlText w:val=""/>
      <w:lvlJc w:val="left"/>
    </w:lvl>
    <w:lvl w:ilvl="8" w:tplc="1FD0FA5E">
      <w:numFmt w:val="decimal"/>
      <w:lvlText w:val=""/>
      <w:lvlJc w:val="left"/>
    </w:lvl>
  </w:abstractNum>
  <w:abstractNum w:abstractNumId="2" w15:restartNumberingAfterBreak="0">
    <w:nsid w:val="4EE02354"/>
    <w:multiLevelType w:val="hybridMultilevel"/>
    <w:tmpl w:val="0AD84A36"/>
    <w:lvl w:ilvl="0" w:tplc="725A5364">
      <w:start w:val="1"/>
      <w:numFmt w:val="bullet"/>
      <w:lvlText w:val="●"/>
      <w:lvlJc w:val="left"/>
      <w:pPr>
        <w:ind w:left="720" w:hanging="360"/>
      </w:pPr>
    </w:lvl>
    <w:lvl w:ilvl="1" w:tplc="92A0B2BC">
      <w:start w:val="1"/>
      <w:numFmt w:val="bullet"/>
      <w:lvlText w:val="○"/>
      <w:lvlJc w:val="left"/>
      <w:pPr>
        <w:ind w:left="1440" w:hanging="360"/>
      </w:pPr>
    </w:lvl>
    <w:lvl w:ilvl="2" w:tplc="5A48E2D2">
      <w:start w:val="1"/>
      <w:numFmt w:val="bullet"/>
      <w:lvlText w:val="■"/>
      <w:lvlJc w:val="left"/>
      <w:pPr>
        <w:ind w:left="2160" w:hanging="360"/>
      </w:pPr>
    </w:lvl>
    <w:lvl w:ilvl="3" w:tplc="11203D48">
      <w:start w:val="1"/>
      <w:numFmt w:val="bullet"/>
      <w:lvlText w:val="●"/>
      <w:lvlJc w:val="left"/>
      <w:pPr>
        <w:ind w:left="2880" w:hanging="360"/>
      </w:pPr>
    </w:lvl>
    <w:lvl w:ilvl="4" w:tplc="6DE2FCF6">
      <w:start w:val="1"/>
      <w:numFmt w:val="bullet"/>
      <w:lvlText w:val="○"/>
      <w:lvlJc w:val="left"/>
      <w:pPr>
        <w:ind w:left="3600" w:hanging="360"/>
      </w:pPr>
    </w:lvl>
    <w:lvl w:ilvl="5" w:tplc="299CCDC8">
      <w:start w:val="1"/>
      <w:numFmt w:val="bullet"/>
      <w:lvlText w:val="■"/>
      <w:lvlJc w:val="left"/>
      <w:pPr>
        <w:ind w:left="4320" w:hanging="360"/>
      </w:pPr>
    </w:lvl>
    <w:lvl w:ilvl="6" w:tplc="2206C9DC">
      <w:start w:val="1"/>
      <w:numFmt w:val="bullet"/>
      <w:lvlText w:val="●"/>
      <w:lvlJc w:val="left"/>
      <w:pPr>
        <w:ind w:left="5040" w:hanging="360"/>
      </w:pPr>
    </w:lvl>
    <w:lvl w:ilvl="7" w:tplc="A878882A">
      <w:start w:val="1"/>
      <w:numFmt w:val="bullet"/>
      <w:lvlText w:val="●"/>
      <w:lvlJc w:val="left"/>
      <w:pPr>
        <w:ind w:left="5760" w:hanging="360"/>
      </w:pPr>
    </w:lvl>
    <w:lvl w:ilvl="8" w:tplc="4FC6DAF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EBC6A41"/>
    <w:multiLevelType w:val="hybridMultilevel"/>
    <w:tmpl w:val="3B266EBC"/>
    <w:lvl w:ilvl="0" w:tplc="922AD09A">
      <w:start w:val="1"/>
      <w:numFmt w:val="bullet"/>
      <w:lvlText w:val="•"/>
      <w:lvlJc w:val="left"/>
      <w:pPr>
        <w:ind w:left="560" w:hanging="280"/>
      </w:pPr>
    </w:lvl>
    <w:lvl w:ilvl="1" w:tplc="2A463D62">
      <w:numFmt w:val="decimal"/>
      <w:lvlText w:val=""/>
      <w:lvlJc w:val="left"/>
    </w:lvl>
    <w:lvl w:ilvl="2" w:tplc="351AB464">
      <w:numFmt w:val="decimal"/>
      <w:lvlText w:val=""/>
      <w:lvlJc w:val="left"/>
    </w:lvl>
    <w:lvl w:ilvl="3" w:tplc="D92614CA">
      <w:numFmt w:val="decimal"/>
      <w:lvlText w:val=""/>
      <w:lvlJc w:val="left"/>
    </w:lvl>
    <w:lvl w:ilvl="4" w:tplc="037274C0">
      <w:numFmt w:val="decimal"/>
      <w:lvlText w:val=""/>
      <w:lvlJc w:val="left"/>
    </w:lvl>
    <w:lvl w:ilvl="5" w:tplc="5AE09B00">
      <w:numFmt w:val="decimal"/>
      <w:lvlText w:val=""/>
      <w:lvlJc w:val="left"/>
    </w:lvl>
    <w:lvl w:ilvl="6" w:tplc="C2C6A72C">
      <w:numFmt w:val="decimal"/>
      <w:lvlText w:val=""/>
      <w:lvlJc w:val="left"/>
    </w:lvl>
    <w:lvl w:ilvl="7" w:tplc="EF42400C">
      <w:numFmt w:val="decimal"/>
      <w:lvlText w:val=""/>
      <w:lvlJc w:val="left"/>
    </w:lvl>
    <w:lvl w:ilvl="8" w:tplc="7968FEC6">
      <w:numFmt w:val="decimal"/>
      <w:lvlText w:val=""/>
      <w:lvlJc w:val="left"/>
    </w:lvl>
  </w:abstractNum>
  <w:num w:numId="1" w16cid:durableId="1163279235">
    <w:abstractNumId w:val="2"/>
    <w:lvlOverride w:ilvl="0">
      <w:startOverride w:val="1"/>
    </w:lvlOverride>
  </w:num>
  <w:num w:numId="2" w16cid:durableId="44569979">
    <w:abstractNumId w:val="3"/>
    <w:lvlOverride w:ilvl="0">
      <w:startOverride w:val="1"/>
    </w:lvlOverride>
  </w:num>
  <w:num w:numId="3" w16cid:durableId="276184915">
    <w:abstractNumId w:val="1"/>
    <w:lvlOverride w:ilvl="0">
      <w:startOverride w:val="1"/>
    </w:lvlOverride>
  </w:num>
  <w:num w:numId="4" w16cid:durableId="5023993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672"/>
    <w:rsid w:val="001D60AA"/>
    <w:rsid w:val="005B632C"/>
    <w:rsid w:val="0080154C"/>
    <w:rsid w:val="00804941"/>
    <w:rsid w:val="00924672"/>
    <w:rsid w:val="00AC17C5"/>
    <w:rsid w:val="00CB2AAA"/>
    <w:rsid w:val="00E0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AC597"/>
  <w15:docId w15:val="{59184A74-1F4E-4469-AC9D-87DC5D4C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222B33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keepNext/>
      <w:spacing w:before="240" w:after="160"/>
      <w:outlineLvl w:val="0"/>
    </w:pPr>
    <w:rPr>
      <w:b/>
      <w:bCs/>
      <w:color w:val="1C2B35"/>
      <w:sz w:val="34"/>
      <w:szCs w:val="34"/>
    </w:rPr>
  </w:style>
  <w:style w:type="paragraph" w:styleId="Heading2">
    <w:name w:val="heading 2"/>
    <w:uiPriority w:val="9"/>
    <w:unhideWhenUsed/>
    <w:qFormat/>
    <w:pPr>
      <w:keepNext/>
      <w:spacing w:before="200" w:after="100"/>
      <w:outlineLvl w:val="1"/>
    </w:pPr>
    <w:rPr>
      <w:b/>
      <w:bCs/>
      <w:color w:val="0F766E"/>
      <w:sz w:val="27"/>
      <w:szCs w:val="27"/>
    </w:rPr>
  </w:style>
  <w:style w:type="paragraph" w:styleId="Heading3">
    <w:name w:val="heading 3"/>
    <w:uiPriority w:val="9"/>
    <w:unhideWhenUsed/>
    <w:qFormat/>
    <w:pPr>
      <w:keepNext/>
      <w:spacing w:before="140" w:after="60"/>
      <w:outlineLvl w:val="2"/>
    </w:pPr>
    <w:rPr>
      <w:b/>
      <w:bCs/>
      <w:color w:val="1C2B35"/>
      <w:sz w:val="23"/>
      <w:szCs w:val="23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B2A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1E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E3B"/>
  </w:style>
  <w:style w:type="paragraph" w:styleId="Footer">
    <w:name w:val="footer"/>
    <w:basedOn w:val="Normal"/>
    <w:link w:val="FooterChar"/>
    <w:uiPriority w:val="99"/>
    <w:unhideWhenUsed/>
    <w:rsid w:val="00E01E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Endocrinology - Lecture Notes</dc:title>
  <dc:creator>Bradford VTS</dc:creator>
  <cp:lastModifiedBy>Ramesh Mehay</cp:lastModifiedBy>
  <cp:revision>2</cp:revision>
  <dcterms:created xsi:type="dcterms:W3CDTF">2026-06-05T12:43:00Z</dcterms:created>
  <dcterms:modified xsi:type="dcterms:W3CDTF">2026-06-05T12:43:00Z</dcterms:modified>
</cp:coreProperties>
</file>