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D03AB" w14:textId="4D8A0173" w:rsidR="00626C09" w:rsidRDefault="00626C09" w:rsidP="00626C09">
      <w:pPr>
        <w:pStyle w:val="Heading1"/>
        <w:pageBreakBefore/>
        <w:pBdr>
          <w:bottom w:val="single" w:sz="18" w:space="4" w:color="14B8A6"/>
        </w:pBdr>
        <w:spacing w:before="120" w:after="200"/>
      </w:pPr>
      <w:r>
        <w:t>Posterior Pituitary &amp; Water Balance</w:t>
      </w:r>
    </w:p>
    <w:p w14:paraId="3BF28B91" w14:textId="77777777" w:rsidR="00626C09" w:rsidRDefault="00626C09" w:rsidP="00626C09">
      <w:pPr>
        <w:spacing w:after="120" w:line="264" w:lineRule="auto"/>
      </w:pPr>
      <w:r>
        <w:t xml:space="preserve">The back of the pituitary releases two hormones made in the hypothalamus: </w:t>
      </w:r>
      <w:r>
        <w:rPr>
          <w:b/>
          <w:bCs/>
        </w:rPr>
        <w:t>ADH (vasopressin)</w:t>
      </w:r>
      <w:r>
        <w:t xml:space="preserve"> and </w:t>
      </w:r>
      <w:r>
        <w:rPr>
          <w:b/>
          <w:bCs/>
        </w:rPr>
        <w:t>oxytocin</w:t>
      </w:r>
      <w:r>
        <w:t>. For exams, ADH is the important one — it controls how much water the kidneys keep.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26C09" w14:paraId="1875B1CF" w14:textId="77777777" w:rsidTr="00F73599">
        <w:tc>
          <w:tcPr>
            <w:tcW w:w="9360" w:type="dxa"/>
            <w:tcBorders>
              <w:top w:val="single" w:sz="2" w:space="0" w:color="D7F0EC"/>
              <w:left w:val="single" w:sz="24" w:space="0" w:color="0F766E"/>
              <w:bottom w:val="single" w:sz="2" w:space="0" w:color="D7F0EC"/>
              <w:right w:val="single" w:sz="2" w:space="0" w:color="D7F0EC"/>
            </w:tcBorders>
            <w:shd w:val="clear" w:color="auto" w:fill="D7F0EC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62E10859" w14:textId="77777777" w:rsidR="00626C09" w:rsidRDefault="00626C09" w:rsidP="00F73599">
            <w:pPr>
              <w:spacing w:after="40"/>
            </w:pPr>
            <w:r>
              <w:rPr>
                <w:b/>
                <w:bCs/>
                <w:color w:val="0F766E"/>
                <w:sz w:val="20"/>
                <w:szCs w:val="20"/>
              </w:rPr>
              <w:t>MEMORY HOOK</w:t>
            </w:r>
          </w:p>
          <w:p w14:paraId="6E0A33E4" w14:textId="77777777" w:rsidR="00626C09" w:rsidRDefault="00626C09" w:rsidP="00F73599">
            <w:pPr>
              <w:spacing w:after="40" w:line="256" w:lineRule="auto"/>
            </w:pPr>
            <w:r>
              <w:rPr>
                <w:b/>
                <w:bCs/>
              </w:rPr>
              <w:t xml:space="preserve">ADH = “Add water to the </w:t>
            </w:r>
            <w:proofErr w:type="spellStart"/>
            <w:r>
              <w:rPr>
                <w:b/>
                <w:bCs/>
              </w:rPr>
              <w:t>blooD</w:t>
            </w:r>
            <w:proofErr w:type="spellEnd"/>
            <w:r>
              <w:rPr>
                <w:b/>
                <w:bCs/>
              </w:rPr>
              <w:t xml:space="preserve">, Hold onto it.” </w:t>
            </w:r>
            <w:r>
              <w:t>ADH makes the kidneys reabsorb water, concentrating the urine and diluting the blood. Too little ADH → you pee out water (DI). Too much ADH → you retain water (SIADH).</w:t>
            </w:r>
          </w:p>
        </w:tc>
      </w:tr>
    </w:tbl>
    <w:p w14:paraId="76330EF7" w14:textId="77777777" w:rsidR="00626C09" w:rsidRDefault="00626C09" w:rsidP="00626C09">
      <w:pPr>
        <w:pStyle w:val="Heading2"/>
        <w:spacing w:before="220" w:after="120"/>
      </w:pPr>
      <w:r>
        <w:t>Diabetes insipidus (DI) — too little ADH effect</w:t>
      </w:r>
    </w:p>
    <w:p w14:paraId="1FD1FF7C" w14:textId="77777777" w:rsidR="00626C09" w:rsidRDefault="00626C09" w:rsidP="00626C09">
      <w:pPr>
        <w:spacing w:after="120" w:line="264" w:lineRule="auto"/>
      </w:pPr>
      <w:r>
        <w:t xml:space="preserve">“Insipidus” means tasteless — huge volumes of </w:t>
      </w:r>
      <w:r>
        <w:rPr>
          <w:b/>
          <w:bCs/>
        </w:rPr>
        <w:t>dilute, sugar-free</w:t>
      </w:r>
      <w:r>
        <w:t xml:space="preserve"> urine (nothing to do with blood sugar). The patient is very thirsty and passes litres of pale urine.</w:t>
      </w:r>
    </w:p>
    <w:tbl>
      <w:tblPr>
        <w:tblW w:w="9360" w:type="dxa"/>
        <w:tblBorders>
          <w:top w:val="single" w:sz="1" w:space="0" w:color="CBD5E1"/>
          <w:left w:val="single" w:sz="1" w:space="0" w:color="CBD5E1"/>
          <w:bottom w:val="single" w:sz="1" w:space="0" w:color="CBD5E1"/>
          <w:right w:val="single" w:sz="1" w:space="0" w:color="CBD5E1"/>
          <w:insideH w:val="single" w:sz="1" w:space="0" w:color="CBD5E1"/>
          <w:insideV w:val="single" w:sz="1" w:space="0" w:color="CBD5E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"/>
        <w:gridCol w:w="2166"/>
        <w:gridCol w:w="4741"/>
        <w:gridCol w:w="2395"/>
        <w:gridCol w:w="29"/>
      </w:tblGrid>
      <w:tr w:rsidR="00626C09" w14:paraId="237A4AF9" w14:textId="77777777" w:rsidTr="00F73599">
        <w:trPr>
          <w:gridAfter w:val="1"/>
          <w:wAfter w:w="29" w:type="dxa"/>
          <w:tblHeader/>
        </w:trPr>
        <w:tc>
          <w:tcPr>
            <w:tcW w:w="2200" w:type="dxa"/>
            <w:gridSpan w:val="2"/>
            <w:shd w:val="clear" w:color="auto" w:fill="1C2B3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643054C" w14:textId="77777777" w:rsidR="00626C09" w:rsidRDefault="00626C09" w:rsidP="00F73599">
            <w:r>
              <w:rPr>
                <w:b/>
                <w:bCs/>
                <w:color w:val="FFFFFF"/>
                <w:sz w:val="19"/>
                <w:szCs w:val="19"/>
              </w:rPr>
              <w:t>Type</w:t>
            </w:r>
          </w:p>
        </w:tc>
        <w:tc>
          <w:tcPr>
            <w:tcW w:w="4760" w:type="dxa"/>
            <w:shd w:val="clear" w:color="auto" w:fill="1C2B3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42F18DD" w14:textId="77777777" w:rsidR="00626C09" w:rsidRDefault="00626C09" w:rsidP="00F73599">
            <w:r>
              <w:rPr>
                <w:b/>
                <w:bCs/>
                <w:color w:val="FFFFFF"/>
                <w:sz w:val="19"/>
                <w:szCs w:val="19"/>
              </w:rPr>
              <w:t>Problem</w:t>
            </w:r>
          </w:p>
        </w:tc>
        <w:tc>
          <w:tcPr>
            <w:tcW w:w="2400" w:type="dxa"/>
            <w:shd w:val="clear" w:color="auto" w:fill="1C2B35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DD9B178" w14:textId="77777777" w:rsidR="00626C09" w:rsidRDefault="00626C09" w:rsidP="00F73599">
            <w:r>
              <w:rPr>
                <w:b/>
                <w:bCs/>
                <w:color w:val="FFFFFF"/>
                <w:sz w:val="19"/>
                <w:szCs w:val="19"/>
              </w:rPr>
              <w:t>Treatment</w:t>
            </w:r>
          </w:p>
        </w:tc>
      </w:tr>
      <w:tr w:rsidR="00626C09" w14:paraId="2A2C36F2" w14:textId="77777777" w:rsidTr="00F73599">
        <w:trPr>
          <w:gridAfter w:val="1"/>
          <w:wAfter w:w="29" w:type="dxa"/>
        </w:trPr>
        <w:tc>
          <w:tcPr>
            <w:tcW w:w="2200" w:type="dxa"/>
            <w:gridSpan w:val="2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259AE808" w14:textId="77777777" w:rsidR="00626C09" w:rsidRDefault="00626C09" w:rsidP="00F73599">
            <w:pPr>
              <w:spacing w:line="248" w:lineRule="auto"/>
            </w:pPr>
            <w:r>
              <w:rPr>
                <w:sz w:val="19"/>
                <w:szCs w:val="19"/>
              </w:rPr>
              <w:t>Cranial DI</w:t>
            </w:r>
          </w:p>
        </w:tc>
        <w:tc>
          <w:tcPr>
            <w:tcW w:w="4760" w:type="dxa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42C44FE0" w14:textId="77777777" w:rsidR="00626C09" w:rsidRDefault="00626C09" w:rsidP="00F73599">
            <w:pPr>
              <w:spacing w:line="248" w:lineRule="auto"/>
            </w:pPr>
            <w:r>
              <w:rPr>
                <w:sz w:val="19"/>
                <w:szCs w:val="19"/>
              </w:rPr>
              <w:t>Pituitary makes too little ADH (tumour, surgery, trauma)</w:t>
            </w:r>
          </w:p>
        </w:tc>
        <w:tc>
          <w:tcPr>
            <w:tcW w:w="2400" w:type="dxa"/>
            <w:shd w:val="clear" w:color="auto" w:fill="FFFFFF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00391D78" w14:textId="77777777" w:rsidR="00626C09" w:rsidRDefault="00626C09" w:rsidP="00F73599">
            <w:pPr>
              <w:spacing w:line="248" w:lineRule="auto"/>
            </w:pPr>
            <w:r>
              <w:rPr>
                <w:sz w:val="19"/>
                <w:szCs w:val="19"/>
              </w:rPr>
              <w:t>Desmopressin (synthetic ADH)</w:t>
            </w:r>
          </w:p>
        </w:tc>
      </w:tr>
      <w:tr w:rsidR="00626C09" w14:paraId="65A5DF9B" w14:textId="77777777" w:rsidTr="00F73599">
        <w:trPr>
          <w:gridAfter w:val="1"/>
          <w:wAfter w:w="29" w:type="dxa"/>
        </w:trPr>
        <w:tc>
          <w:tcPr>
            <w:tcW w:w="2200" w:type="dxa"/>
            <w:gridSpan w:val="2"/>
            <w:shd w:val="clear" w:color="auto" w:fill="F4F8FA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7D44BE26" w14:textId="77777777" w:rsidR="00626C09" w:rsidRDefault="00626C09" w:rsidP="00F73599">
            <w:pPr>
              <w:spacing w:line="248" w:lineRule="auto"/>
            </w:pPr>
            <w:r>
              <w:rPr>
                <w:sz w:val="19"/>
                <w:szCs w:val="19"/>
              </w:rPr>
              <w:t>Nephrogenic DI</w:t>
            </w:r>
          </w:p>
        </w:tc>
        <w:tc>
          <w:tcPr>
            <w:tcW w:w="4760" w:type="dxa"/>
            <w:shd w:val="clear" w:color="auto" w:fill="F4F8FA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513FB708" w14:textId="77777777" w:rsidR="00626C09" w:rsidRDefault="00626C09" w:rsidP="00F73599">
            <w:pPr>
              <w:spacing w:line="248" w:lineRule="auto"/>
            </w:pPr>
            <w:r>
              <w:rPr>
                <w:sz w:val="19"/>
                <w:szCs w:val="19"/>
              </w:rPr>
              <w:t>Kidneys do not respond to ADH (lithium, high calcium, low potassium, genetic)</w:t>
            </w:r>
          </w:p>
        </w:tc>
        <w:tc>
          <w:tcPr>
            <w:tcW w:w="2400" w:type="dxa"/>
            <w:shd w:val="clear" w:color="auto" w:fill="F4F8FA"/>
            <w:tcMar>
              <w:top w:w="55" w:type="dxa"/>
              <w:left w:w="110" w:type="dxa"/>
              <w:bottom w:w="55" w:type="dxa"/>
              <w:right w:w="110" w:type="dxa"/>
            </w:tcMar>
            <w:vAlign w:val="center"/>
          </w:tcPr>
          <w:p w14:paraId="145D983C" w14:textId="77777777" w:rsidR="00626C09" w:rsidRDefault="00626C09" w:rsidP="00F73599">
            <w:pPr>
              <w:spacing w:line="248" w:lineRule="auto"/>
            </w:pPr>
            <w:r>
              <w:rPr>
                <w:sz w:val="19"/>
                <w:szCs w:val="19"/>
              </w:rPr>
              <w:t>Treat the cause; thiazide diuretic</w:t>
            </w:r>
          </w:p>
        </w:tc>
      </w:tr>
      <w:tr w:rsidR="00626C09" w14:paraId="53E70FCF" w14:textId="77777777" w:rsidTr="00F735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29" w:type="dxa"/>
        </w:trPr>
        <w:tc>
          <w:tcPr>
            <w:tcW w:w="9360" w:type="dxa"/>
            <w:gridSpan w:val="4"/>
            <w:tcBorders>
              <w:top w:val="single" w:sz="2" w:space="0" w:color="DBEAFE"/>
              <w:left w:val="single" w:sz="24" w:space="0" w:color="1D4ED8"/>
              <w:bottom w:val="single" w:sz="2" w:space="0" w:color="DBEAFE"/>
              <w:right w:val="single" w:sz="2" w:space="0" w:color="DBEAFE"/>
            </w:tcBorders>
            <w:shd w:val="clear" w:color="auto" w:fill="DBEAFE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278024C9" w14:textId="77777777" w:rsidR="00626C09" w:rsidRDefault="00626C09" w:rsidP="00F73599">
            <w:pPr>
              <w:spacing w:after="40"/>
            </w:pPr>
            <w:r>
              <w:rPr>
                <w:b/>
                <w:bCs/>
                <w:color w:val="1D4ED8"/>
                <w:sz w:val="20"/>
                <w:szCs w:val="20"/>
              </w:rPr>
              <w:t>CLINICAL / EXAM PEARL</w:t>
            </w:r>
          </w:p>
          <w:p w14:paraId="7A1006F0" w14:textId="77777777" w:rsidR="00626C09" w:rsidRDefault="00626C09" w:rsidP="00F73599">
            <w:pPr>
              <w:spacing w:after="40" w:line="256" w:lineRule="auto"/>
            </w:pPr>
            <w:r>
              <w:rPr>
                <w:b/>
                <w:bCs/>
              </w:rPr>
              <w:t>Water deprivation test</w:t>
            </w:r>
            <w:r>
              <w:t xml:space="preserve"> tells them apart: withhold fluids — the urine stays dilute in DI. Then give desmopressin: the </w:t>
            </w:r>
            <w:r>
              <w:rPr>
                <w:b/>
                <w:bCs/>
              </w:rPr>
              <w:t>cranial</w:t>
            </w:r>
            <w:r>
              <w:t xml:space="preserve"> type concentrates the urine (it was just missing ADH); the </w:t>
            </w:r>
            <w:r>
              <w:rPr>
                <w:b/>
                <w:bCs/>
              </w:rPr>
              <w:t>nephrogenic</w:t>
            </w:r>
            <w:r>
              <w:t xml:space="preserve"> type does not respond. </w:t>
            </w:r>
            <w:r>
              <w:rPr>
                <w:b/>
                <w:bCs/>
                <w:color w:val="B7791F"/>
              </w:rPr>
              <w:t xml:space="preserve"> ⚠</w:t>
            </w:r>
          </w:p>
        </w:tc>
      </w:tr>
    </w:tbl>
    <w:p w14:paraId="62566452" w14:textId="77777777" w:rsidR="00626C09" w:rsidRDefault="00626C09" w:rsidP="00626C09">
      <w:pPr>
        <w:pStyle w:val="Heading2"/>
        <w:spacing w:before="220" w:after="120"/>
      </w:pPr>
      <w:r>
        <w:t>SIADH — too much ADH effect</w:t>
      </w:r>
    </w:p>
    <w:p w14:paraId="27537BC0" w14:textId="77777777" w:rsidR="00626C09" w:rsidRDefault="00626C09" w:rsidP="00626C09">
      <w:pPr>
        <w:spacing w:after="120" w:line="264" w:lineRule="auto"/>
      </w:pPr>
      <w:r>
        <w:t xml:space="preserve">The opposite: too much ADH makes the body hold water, diluting the blood → </w:t>
      </w:r>
      <w:r>
        <w:rPr>
          <w:b/>
          <w:bCs/>
        </w:rPr>
        <w:t>low sodium (hyponatraemia)</w:t>
      </w:r>
      <w:r>
        <w:t xml:space="preserve">. The patient is </w:t>
      </w:r>
      <w:proofErr w:type="spellStart"/>
      <w:r>
        <w:rPr>
          <w:b/>
          <w:bCs/>
        </w:rPr>
        <w:t>euvolaemic</w:t>
      </w:r>
      <w:proofErr w:type="spellEnd"/>
      <w:r>
        <w:t xml:space="preserve"> (not obviously dry or overloaded), with </w:t>
      </w:r>
      <w:r>
        <w:rPr>
          <w:b/>
          <w:bCs/>
        </w:rPr>
        <w:t>concentrated urine and low blood osmolality</w:t>
      </w:r>
      <w:r>
        <w:t>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626C09" w14:paraId="2B5C94E6" w14:textId="77777777" w:rsidTr="00F73599">
        <w:tc>
          <w:tcPr>
            <w:tcW w:w="9360" w:type="dxa"/>
            <w:tcBorders>
              <w:top w:val="single" w:sz="2" w:space="0" w:color="D7F0EC"/>
              <w:left w:val="single" w:sz="24" w:space="0" w:color="0F766E"/>
              <w:bottom w:val="single" w:sz="2" w:space="0" w:color="D7F0EC"/>
              <w:right w:val="single" w:sz="2" w:space="0" w:color="D7F0EC"/>
            </w:tcBorders>
            <w:shd w:val="clear" w:color="auto" w:fill="D7F0EC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48BF460C" w14:textId="77777777" w:rsidR="00626C09" w:rsidRDefault="00626C09" w:rsidP="00F73599">
            <w:pPr>
              <w:spacing w:after="40"/>
            </w:pPr>
            <w:r>
              <w:rPr>
                <w:b/>
                <w:bCs/>
                <w:color w:val="0F766E"/>
                <w:sz w:val="20"/>
                <w:szCs w:val="20"/>
              </w:rPr>
              <w:t>MEMORY HOOK</w:t>
            </w:r>
          </w:p>
          <w:p w14:paraId="6CEF1745" w14:textId="77777777" w:rsidR="00626C09" w:rsidRDefault="00626C09" w:rsidP="00F73599">
            <w:pPr>
              <w:spacing w:after="40" w:line="256" w:lineRule="auto"/>
            </w:pPr>
            <w:r>
              <w:rPr>
                <w:b/>
                <w:bCs/>
              </w:rPr>
              <w:t>Causes — “SIADH”: S</w:t>
            </w:r>
            <w:r>
              <w:t xml:space="preserve">mall-cell lung cancer &amp; other tumours; </w:t>
            </w:r>
            <w:r>
              <w:rPr>
                <w:b/>
                <w:bCs/>
              </w:rPr>
              <w:t>I</w:t>
            </w:r>
            <w:r>
              <w:t xml:space="preserve">ntracranial (meningitis, head injury); </w:t>
            </w:r>
            <w:r>
              <w:rPr>
                <w:b/>
                <w:bCs/>
              </w:rPr>
              <w:t>A</w:t>
            </w:r>
            <w:r>
              <w:t xml:space="preserve">lveolar/lung (pneumonia); </w:t>
            </w:r>
            <w:r>
              <w:rPr>
                <w:b/>
                <w:bCs/>
              </w:rPr>
              <w:t>D</w:t>
            </w:r>
            <w:r>
              <w:t xml:space="preserve">rugs (carbamazepine, SSRIs, opioids); </w:t>
            </w:r>
            <w:r>
              <w:rPr>
                <w:b/>
                <w:bCs/>
              </w:rPr>
              <w:t>H</w:t>
            </w:r>
            <w:r>
              <w:t xml:space="preserve">ormone/other. </w:t>
            </w:r>
          </w:p>
        </w:tc>
      </w:tr>
      <w:tr w:rsidR="00626C09" w14:paraId="268D395B" w14:textId="77777777" w:rsidTr="00F73599">
        <w:tc>
          <w:tcPr>
            <w:tcW w:w="9360" w:type="dxa"/>
            <w:tcBorders>
              <w:top w:val="single" w:sz="2" w:space="0" w:color="FBE3E0"/>
              <w:left w:val="single" w:sz="24" w:space="0" w:color="B03A2E"/>
              <w:bottom w:val="single" w:sz="2" w:space="0" w:color="FBE3E0"/>
              <w:right w:val="single" w:sz="2" w:space="0" w:color="FBE3E0"/>
            </w:tcBorders>
            <w:shd w:val="clear" w:color="auto" w:fill="FBE3E0"/>
            <w:tcMar>
              <w:top w:w="120" w:type="dxa"/>
              <w:left w:w="200" w:type="dxa"/>
              <w:bottom w:w="120" w:type="dxa"/>
              <w:right w:w="160" w:type="dxa"/>
            </w:tcMar>
          </w:tcPr>
          <w:p w14:paraId="19C90583" w14:textId="77777777" w:rsidR="00626C09" w:rsidRDefault="00626C09" w:rsidP="00F73599">
            <w:pPr>
              <w:spacing w:after="40"/>
            </w:pPr>
            <w:r>
              <w:rPr>
                <w:b/>
                <w:bCs/>
                <w:color w:val="B03A2E"/>
                <w:sz w:val="20"/>
                <w:szCs w:val="20"/>
              </w:rPr>
              <w:t>RED FLAG / SAFETY</w:t>
            </w:r>
          </w:p>
          <w:p w14:paraId="4FE530C8" w14:textId="77777777" w:rsidR="00626C09" w:rsidRDefault="00626C09" w:rsidP="00F73599">
            <w:pPr>
              <w:spacing w:after="40" w:line="256" w:lineRule="auto"/>
            </w:pPr>
            <w:r>
              <w:t xml:space="preserve">Treat with </w:t>
            </w:r>
            <w:r>
              <w:rPr>
                <w:b/>
                <w:bCs/>
                <w:color w:val="B03A2E"/>
              </w:rPr>
              <w:t>fluid restriction</w:t>
            </w:r>
            <w:r>
              <w:t xml:space="preserve"> and the underlying cause. Correct sodium </w:t>
            </w:r>
            <w:r>
              <w:rPr>
                <w:b/>
                <w:bCs/>
                <w:color w:val="B03A2E"/>
              </w:rPr>
              <w:t>slowly</w:t>
            </w:r>
            <w:r>
              <w:t xml:space="preserve"> — raising it too fast can cause serious brain injury (osmotic demyelination). </w:t>
            </w:r>
            <w:r>
              <w:rPr>
                <w:b/>
                <w:bCs/>
                <w:color w:val="B7791F"/>
              </w:rPr>
              <w:t xml:space="preserve"> ⚠</w:t>
            </w:r>
          </w:p>
        </w:tc>
      </w:tr>
    </w:tbl>
    <w:p w14:paraId="3E220E84" w14:textId="77777777" w:rsidR="00626C09" w:rsidRPr="001D60AA" w:rsidRDefault="00626C09" w:rsidP="00626C09"/>
    <w:p w14:paraId="3B93A5BC" w14:textId="77777777" w:rsidR="00626C09" w:rsidRPr="00804941" w:rsidRDefault="00626C09" w:rsidP="00626C09"/>
    <w:p w14:paraId="2A49F796" w14:textId="77777777" w:rsidR="00626C09" w:rsidRPr="0080154C" w:rsidRDefault="00626C09" w:rsidP="00626C09"/>
    <w:p w14:paraId="2044D668" w14:textId="184BEB6F" w:rsidR="001D60AA" w:rsidRPr="00626C09" w:rsidRDefault="001D60AA" w:rsidP="00626C09"/>
    <w:sectPr w:rsidR="001D60AA" w:rsidRPr="00626C09">
      <w:headerReference w:type="default" r:id="rId7"/>
      <w:footerReference w:type="default" r:id="rId8"/>
      <w:pgSz w:w="12240" w:h="15840"/>
      <w:pgMar w:top="1320" w:right="1320" w:bottom="1320" w:left="13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7C06B" w14:textId="77777777" w:rsidR="00F02775" w:rsidRDefault="00F02775">
      <w:r>
        <w:separator/>
      </w:r>
    </w:p>
  </w:endnote>
  <w:endnote w:type="continuationSeparator" w:id="0">
    <w:p w14:paraId="17F299A0" w14:textId="77777777" w:rsidR="00F02775" w:rsidRDefault="00F02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CBF20" w14:textId="77777777" w:rsidR="00924672" w:rsidRDefault="00000000">
    <w:pPr>
      <w:pBdr>
        <w:top w:val="single" w:sz="6" w:space="4" w:color="14B8A6"/>
      </w:pBdr>
      <w:jc w:val="center"/>
    </w:pPr>
    <w:r>
      <w:rPr>
        <w:color w:val="94A3B8"/>
        <w:sz w:val="16"/>
        <w:szCs w:val="16"/>
      </w:rPr>
      <w:t xml:space="preserve">Bradford </w:t>
    </w:r>
    <w:proofErr w:type="gramStart"/>
    <w:r>
      <w:rPr>
        <w:color w:val="94A3B8"/>
        <w:sz w:val="16"/>
        <w:szCs w:val="16"/>
      </w:rPr>
      <w:t>VTS  ·</w:t>
    </w:r>
    <w:proofErr w:type="gramEnd"/>
    <w:r>
      <w:rPr>
        <w:color w:val="94A3B8"/>
        <w:sz w:val="16"/>
        <w:szCs w:val="16"/>
      </w:rPr>
      <w:t xml:space="preserve">  bradfordvts.co.uk  ·  page </w:t>
    </w:r>
    <w:r>
      <w:rPr>
        <w:color w:val="94A3B8"/>
        <w:sz w:val="16"/>
        <w:szCs w:val="16"/>
      </w:rPr>
      <w:fldChar w:fldCharType="begin"/>
    </w:r>
    <w:r>
      <w:rPr>
        <w:color w:val="94A3B8"/>
        <w:sz w:val="16"/>
        <w:szCs w:val="16"/>
      </w:rPr>
      <w:instrText>PAGE</w:instrText>
    </w:r>
    <w:r>
      <w:rPr>
        <w:color w:val="94A3B8"/>
        <w:sz w:val="16"/>
        <w:szCs w:val="16"/>
      </w:rPr>
      <w:fldChar w:fldCharType="separate"/>
    </w:r>
    <w:r w:rsidR="00CB2AAA">
      <w:rPr>
        <w:noProof/>
        <w:color w:val="94A3B8"/>
        <w:sz w:val="16"/>
        <w:szCs w:val="16"/>
      </w:rPr>
      <w:t>1</w:t>
    </w:r>
    <w:r>
      <w:rPr>
        <w:color w:val="94A3B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D0AEA" w14:textId="77777777" w:rsidR="00F02775" w:rsidRDefault="00F02775">
      <w:r>
        <w:separator/>
      </w:r>
    </w:p>
  </w:footnote>
  <w:footnote w:type="continuationSeparator" w:id="0">
    <w:p w14:paraId="6CFE85B4" w14:textId="77777777" w:rsidR="00F02775" w:rsidRDefault="00F02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B89F3" w14:textId="0CB90097" w:rsidR="00924672" w:rsidRDefault="00E01E3B">
    <w:pPr>
      <w:pBdr>
        <w:bottom w:val="single" w:sz="6" w:space="4" w:color="14B8A6"/>
      </w:pBdr>
      <w:jc w:val="right"/>
    </w:pPr>
    <w:r>
      <w:rPr>
        <w:color w:val="94A3B8"/>
        <w:sz w:val="16"/>
        <w:szCs w:val="16"/>
      </w:rPr>
      <w:t>BRADFORD VTS TEACHING AIDS JUNE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22D0C"/>
    <w:multiLevelType w:val="hybridMultilevel"/>
    <w:tmpl w:val="A7EA4638"/>
    <w:lvl w:ilvl="0" w:tplc="2C227062">
      <w:start w:val="1"/>
      <w:numFmt w:val="bullet"/>
      <w:lvlText w:val="–"/>
      <w:lvlJc w:val="left"/>
      <w:pPr>
        <w:ind w:left="560" w:hanging="280"/>
      </w:pPr>
    </w:lvl>
    <w:lvl w:ilvl="1" w:tplc="D2268222">
      <w:numFmt w:val="decimal"/>
      <w:lvlText w:val=""/>
      <w:lvlJc w:val="left"/>
    </w:lvl>
    <w:lvl w:ilvl="2" w:tplc="CE0E75D4">
      <w:numFmt w:val="decimal"/>
      <w:lvlText w:val=""/>
      <w:lvlJc w:val="left"/>
    </w:lvl>
    <w:lvl w:ilvl="3" w:tplc="B810EA1A">
      <w:numFmt w:val="decimal"/>
      <w:lvlText w:val=""/>
      <w:lvlJc w:val="left"/>
    </w:lvl>
    <w:lvl w:ilvl="4" w:tplc="6B922FB6">
      <w:numFmt w:val="decimal"/>
      <w:lvlText w:val=""/>
      <w:lvlJc w:val="left"/>
    </w:lvl>
    <w:lvl w:ilvl="5" w:tplc="E98C33A8">
      <w:numFmt w:val="decimal"/>
      <w:lvlText w:val=""/>
      <w:lvlJc w:val="left"/>
    </w:lvl>
    <w:lvl w:ilvl="6" w:tplc="1DB4F904">
      <w:numFmt w:val="decimal"/>
      <w:lvlText w:val=""/>
      <w:lvlJc w:val="left"/>
    </w:lvl>
    <w:lvl w:ilvl="7" w:tplc="C08A008E">
      <w:numFmt w:val="decimal"/>
      <w:lvlText w:val=""/>
      <w:lvlJc w:val="left"/>
    </w:lvl>
    <w:lvl w:ilvl="8" w:tplc="A35437BE">
      <w:numFmt w:val="decimal"/>
      <w:lvlText w:val=""/>
      <w:lvlJc w:val="left"/>
    </w:lvl>
  </w:abstractNum>
  <w:abstractNum w:abstractNumId="1" w15:restartNumberingAfterBreak="0">
    <w:nsid w:val="3C717735"/>
    <w:multiLevelType w:val="hybridMultilevel"/>
    <w:tmpl w:val="DCA2B94C"/>
    <w:lvl w:ilvl="0" w:tplc="14F8C2A2">
      <w:start w:val="1"/>
      <w:numFmt w:val="decimal"/>
      <w:lvlText w:val="%1."/>
      <w:lvlJc w:val="left"/>
      <w:pPr>
        <w:ind w:left="560" w:hanging="280"/>
      </w:pPr>
    </w:lvl>
    <w:lvl w:ilvl="1" w:tplc="47AC1006">
      <w:numFmt w:val="decimal"/>
      <w:lvlText w:val=""/>
      <w:lvlJc w:val="left"/>
    </w:lvl>
    <w:lvl w:ilvl="2" w:tplc="25CC4D92">
      <w:numFmt w:val="decimal"/>
      <w:lvlText w:val=""/>
      <w:lvlJc w:val="left"/>
    </w:lvl>
    <w:lvl w:ilvl="3" w:tplc="537087FE">
      <w:numFmt w:val="decimal"/>
      <w:lvlText w:val=""/>
      <w:lvlJc w:val="left"/>
    </w:lvl>
    <w:lvl w:ilvl="4" w:tplc="98B85700">
      <w:numFmt w:val="decimal"/>
      <w:lvlText w:val=""/>
      <w:lvlJc w:val="left"/>
    </w:lvl>
    <w:lvl w:ilvl="5" w:tplc="1534E488">
      <w:numFmt w:val="decimal"/>
      <w:lvlText w:val=""/>
      <w:lvlJc w:val="left"/>
    </w:lvl>
    <w:lvl w:ilvl="6" w:tplc="D4346B10">
      <w:numFmt w:val="decimal"/>
      <w:lvlText w:val=""/>
      <w:lvlJc w:val="left"/>
    </w:lvl>
    <w:lvl w:ilvl="7" w:tplc="B4BC212C">
      <w:numFmt w:val="decimal"/>
      <w:lvlText w:val=""/>
      <w:lvlJc w:val="left"/>
    </w:lvl>
    <w:lvl w:ilvl="8" w:tplc="1FD0FA5E">
      <w:numFmt w:val="decimal"/>
      <w:lvlText w:val=""/>
      <w:lvlJc w:val="left"/>
    </w:lvl>
  </w:abstractNum>
  <w:abstractNum w:abstractNumId="2" w15:restartNumberingAfterBreak="0">
    <w:nsid w:val="4EE02354"/>
    <w:multiLevelType w:val="hybridMultilevel"/>
    <w:tmpl w:val="0AD84A36"/>
    <w:lvl w:ilvl="0" w:tplc="725A5364">
      <w:start w:val="1"/>
      <w:numFmt w:val="bullet"/>
      <w:lvlText w:val="●"/>
      <w:lvlJc w:val="left"/>
      <w:pPr>
        <w:ind w:left="720" w:hanging="360"/>
      </w:pPr>
    </w:lvl>
    <w:lvl w:ilvl="1" w:tplc="92A0B2BC">
      <w:start w:val="1"/>
      <w:numFmt w:val="bullet"/>
      <w:lvlText w:val="○"/>
      <w:lvlJc w:val="left"/>
      <w:pPr>
        <w:ind w:left="1440" w:hanging="360"/>
      </w:pPr>
    </w:lvl>
    <w:lvl w:ilvl="2" w:tplc="5A48E2D2">
      <w:start w:val="1"/>
      <w:numFmt w:val="bullet"/>
      <w:lvlText w:val="■"/>
      <w:lvlJc w:val="left"/>
      <w:pPr>
        <w:ind w:left="2160" w:hanging="360"/>
      </w:pPr>
    </w:lvl>
    <w:lvl w:ilvl="3" w:tplc="11203D48">
      <w:start w:val="1"/>
      <w:numFmt w:val="bullet"/>
      <w:lvlText w:val="●"/>
      <w:lvlJc w:val="left"/>
      <w:pPr>
        <w:ind w:left="2880" w:hanging="360"/>
      </w:pPr>
    </w:lvl>
    <w:lvl w:ilvl="4" w:tplc="6DE2FCF6">
      <w:start w:val="1"/>
      <w:numFmt w:val="bullet"/>
      <w:lvlText w:val="○"/>
      <w:lvlJc w:val="left"/>
      <w:pPr>
        <w:ind w:left="3600" w:hanging="360"/>
      </w:pPr>
    </w:lvl>
    <w:lvl w:ilvl="5" w:tplc="299CCDC8">
      <w:start w:val="1"/>
      <w:numFmt w:val="bullet"/>
      <w:lvlText w:val="■"/>
      <w:lvlJc w:val="left"/>
      <w:pPr>
        <w:ind w:left="4320" w:hanging="360"/>
      </w:pPr>
    </w:lvl>
    <w:lvl w:ilvl="6" w:tplc="2206C9DC">
      <w:start w:val="1"/>
      <w:numFmt w:val="bullet"/>
      <w:lvlText w:val="●"/>
      <w:lvlJc w:val="left"/>
      <w:pPr>
        <w:ind w:left="5040" w:hanging="360"/>
      </w:pPr>
    </w:lvl>
    <w:lvl w:ilvl="7" w:tplc="A878882A">
      <w:start w:val="1"/>
      <w:numFmt w:val="bullet"/>
      <w:lvlText w:val="●"/>
      <w:lvlJc w:val="left"/>
      <w:pPr>
        <w:ind w:left="5760" w:hanging="360"/>
      </w:pPr>
    </w:lvl>
    <w:lvl w:ilvl="8" w:tplc="4FC6DAFE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6EBC6A41"/>
    <w:multiLevelType w:val="hybridMultilevel"/>
    <w:tmpl w:val="3B266EBC"/>
    <w:lvl w:ilvl="0" w:tplc="922AD09A">
      <w:start w:val="1"/>
      <w:numFmt w:val="bullet"/>
      <w:lvlText w:val="•"/>
      <w:lvlJc w:val="left"/>
      <w:pPr>
        <w:ind w:left="560" w:hanging="280"/>
      </w:pPr>
    </w:lvl>
    <w:lvl w:ilvl="1" w:tplc="2A463D62">
      <w:numFmt w:val="decimal"/>
      <w:lvlText w:val=""/>
      <w:lvlJc w:val="left"/>
    </w:lvl>
    <w:lvl w:ilvl="2" w:tplc="351AB464">
      <w:numFmt w:val="decimal"/>
      <w:lvlText w:val=""/>
      <w:lvlJc w:val="left"/>
    </w:lvl>
    <w:lvl w:ilvl="3" w:tplc="D92614CA">
      <w:numFmt w:val="decimal"/>
      <w:lvlText w:val=""/>
      <w:lvlJc w:val="left"/>
    </w:lvl>
    <w:lvl w:ilvl="4" w:tplc="037274C0">
      <w:numFmt w:val="decimal"/>
      <w:lvlText w:val=""/>
      <w:lvlJc w:val="left"/>
    </w:lvl>
    <w:lvl w:ilvl="5" w:tplc="5AE09B00">
      <w:numFmt w:val="decimal"/>
      <w:lvlText w:val=""/>
      <w:lvlJc w:val="left"/>
    </w:lvl>
    <w:lvl w:ilvl="6" w:tplc="C2C6A72C">
      <w:numFmt w:val="decimal"/>
      <w:lvlText w:val=""/>
      <w:lvlJc w:val="left"/>
    </w:lvl>
    <w:lvl w:ilvl="7" w:tplc="EF42400C">
      <w:numFmt w:val="decimal"/>
      <w:lvlText w:val=""/>
      <w:lvlJc w:val="left"/>
    </w:lvl>
    <w:lvl w:ilvl="8" w:tplc="7968FEC6">
      <w:numFmt w:val="decimal"/>
      <w:lvlText w:val=""/>
      <w:lvlJc w:val="left"/>
    </w:lvl>
  </w:abstractNum>
  <w:num w:numId="1" w16cid:durableId="1163279235">
    <w:abstractNumId w:val="2"/>
    <w:lvlOverride w:ilvl="0">
      <w:startOverride w:val="1"/>
    </w:lvlOverride>
  </w:num>
  <w:num w:numId="2" w16cid:durableId="44569979">
    <w:abstractNumId w:val="3"/>
    <w:lvlOverride w:ilvl="0">
      <w:startOverride w:val="1"/>
    </w:lvlOverride>
  </w:num>
  <w:num w:numId="3" w16cid:durableId="276184915">
    <w:abstractNumId w:val="1"/>
    <w:lvlOverride w:ilvl="0">
      <w:startOverride w:val="1"/>
    </w:lvlOverride>
  </w:num>
  <w:num w:numId="4" w16cid:durableId="5023993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672"/>
    <w:rsid w:val="001D60AA"/>
    <w:rsid w:val="003C11AF"/>
    <w:rsid w:val="005B632C"/>
    <w:rsid w:val="00626C09"/>
    <w:rsid w:val="0080154C"/>
    <w:rsid w:val="00804941"/>
    <w:rsid w:val="00924672"/>
    <w:rsid w:val="00CB2AAA"/>
    <w:rsid w:val="00E01E3B"/>
    <w:rsid w:val="00F0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AC597"/>
  <w15:docId w15:val="{59184A74-1F4E-4469-AC9D-87DC5D4C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222B33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keepNext/>
      <w:spacing w:before="240" w:after="160"/>
      <w:outlineLvl w:val="0"/>
    </w:pPr>
    <w:rPr>
      <w:b/>
      <w:bCs/>
      <w:color w:val="1C2B35"/>
      <w:sz w:val="34"/>
      <w:szCs w:val="34"/>
    </w:rPr>
  </w:style>
  <w:style w:type="paragraph" w:styleId="Heading2">
    <w:name w:val="heading 2"/>
    <w:uiPriority w:val="9"/>
    <w:unhideWhenUsed/>
    <w:qFormat/>
    <w:pPr>
      <w:keepNext/>
      <w:spacing w:before="200" w:after="100"/>
      <w:outlineLvl w:val="1"/>
    </w:pPr>
    <w:rPr>
      <w:b/>
      <w:bCs/>
      <w:color w:val="0F766E"/>
      <w:sz w:val="27"/>
      <w:szCs w:val="27"/>
    </w:rPr>
  </w:style>
  <w:style w:type="paragraph" w:styleId="Heading3">
    <w:name w:val="heading 3"/>
    <w:uiPriority w:val="9"/>
    <w:unhideWhenUsed/>
    <w:qFormat/>
    <w:pPr>
      <w:keepNext/>
      <w:spacing w:before="140" w:after="60"/>
      <w:outlineLvl w:val="2"/>
    </w:pPr>
    <w:rPr>
      <w:b/>
      <w:bCs/>
      <w:color w:val="1C2B35"/>
      <w:sz w:val="23"/>
      <w:szCs w:val="23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B2AA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01E3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1E3B"/>
  </w:style>
  <w:style w:type="paragraph" w:styleId="Footer">
    <w:name w:val="footer"/>
    <w:basedOn w:val="Normal"/>
    <w:link w:val="FooterChar"/>
    <w:uiPriority w:val="99"/>
    <w:unhideWhenUsed/>
    <w:rsid w:val="00E01E3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1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Endocrinology - Lecture Notes</vt:lpstr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Endocrinology - Lecture Notes</dc:title>
  <dc:creator>Bradford VTS</dc:creator>
  <cp:lastModifiedBy>Ramesh Mehay</cp:lastModifiedBy>
  <cp:revision>2</cp:revision>
  <dcterms:created xsi:type="dcterms:W3CDTF">2026-06-05T12:45:00Z</dcterms:created>
  <dcterms:modified xsi:type="dcterms:W3CDTF">2026-06-05T12:45:00Z</dcterms:modified>
</cp:coreProperties>
</file>