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2601D" w14:textId="22BF2271" w:rsidR="001D60AA" w:rsidRDefault="001D60AA" w:rsidP="001D60AA">
      <w:pPr>
        <w:pStyle w:val="Heading1"/>
        <w:pageBreakBefore/>
        <w:pBdr>
          <w:bottom w:val="single" w:sz="18" w:space="4" w:color="14B8A6"/>
        </w:pBdr>
        <w:spacing w:before="120" w:after="200"/>
      </w:pPr>
      <w:r>
        <w:t>The Thyroid Gland</w:t>
      </w:r>
    </w:p>
    <w:p w14:paraId="311E00C4" w14:textId="77777777" w:rsidR="001D60AA" w:rsidRDefault="001D60AA" w:rsidP="001D60AA">
      <w:pPr>
        <w:spacing w:after="120" w:line="264" w:lineRule="auto"/>
      </w:pPr>
      <w:r>
        <w:t xml:space="preserve">The thyroid is a butterfly-shaped gland in the neck. It makes </w:t>
      </w:r>
      <w:r>
        <w:rPr>
          <w:b/>
          <w:bCs/>
        </w:rPr>
        <w:t>thyroid hormone</w:t>
      </w:r>
      <w:r>
        <w:t>, which sets the speed of the body’s metabolism — like the accelerator pedal of a car.</w:t>
      </w:r>
    </w:p>
    <w:p w14:paraId="67103CF0" w14:textId="77777777" w:rsidR="001D60AA" w:rsidRDefault="001D60AA" w:rsidP="001D60AA">
      <w:pPr>
        <w:pStyle w:val="Heading2"/>
        <w:spacing w:before="220" w:after="120"/>
      </w:pPr>
      <w:r>
        <w:t>Quick physiology (the bits worth keeping)</w:t>
      </w:r>
    </w:p>
    <w:p w14:paraId="74FEA5F1" w14:textId="77777777" w:rsidR="001D60AA" w:rsidRDefault="001D60AA" w:rsidP="001D60AA">
      <w:pPr>
        <w:pStyle w:val="ListParagraph"/>
        <w:numPr>
          <w:ilvl w:val="0"/>
          <w:numId w:val="2"/>
        </w:numPr>
        <w:spacing w:after="60" w:line="260" w:lineRule="auto"/>
      </w:pPr>
      <w:r>
        <w:t xml:space="preserve">The thyroid needs </w:t>
      </w:r>
      <w:r>
        <w:rPr>
          <w:b/>
          <w:bCs/>
        </w:rPr>
        <w:t>iodine</w:t>
      </w:r>
      <w:r>
        <w:t xml:space="preserve"> to make its hormones. It makes mostly </w:t>
      </w:r>
      <w:r>
        <w:rPr>
          <w:b/>
          <w:bCs/>
        </w:rPr>
        <w:t>T4 (thyroxine)</w:t>
      </w:r>
      <w:r>
        <w:t xml:space="preserve"> and a little </w:t>
      </w:r>
      <w:r>
        <w:rPr>
          <w:b/>
          <w:bCs/>
        </w:rPr>
        <w:t>T3</w:t>
      </w:r>
      <w:r>
        <w:t>.</w:t>
      </w:r>
    </w:p>
    <w:p w14:paraId="6830F7D3" w14:textId="77777777" w:rsidR="001D60AA" w:rsidRDefault="001D60AA" w:rsidP="001D60AA">
      <w:pPr>
        <w:pStyle w:val="ListParagraph"/>
        <w:numPr>
          <w:ilvl w:val="0"/>
          <w:numId w:val="2"/>
        </w:numPr>
        <w:spacing w:after="60" w:line="260" w:lineRule="auto"/>
      </w:pPr>
      <w:r>
        <w:t xml:space="preserve">T4 is really a </w:t>
      </w:r>
      <w:r>
        <w:rPr>
          <w:i/>
          <w:iCs/>
        </w:rPr>
        <w:t>pro-hormone</w:t>
      </w:r>
      <w:r>
        <w:t xml:space="preserve">: tissues convert it into </w:t>
      </w:r>
      <w:r>
        <w:rPr>
          <w:b/>
          <w:bCs/>
        </w:rPr>
        <w:t>T3</w:t>
      </w:r>
      <w:r>
        <w:t xml:space="preserve">, the active form. Most hormone in blood is carried by proteins (mainly TBG); only the tiny </w:t>
      </w:r>
      <w:r>
        <w:rPr>
          <w:i/>
          <w:iCs/>
        </w:rPr>
        <w:t>free</w:t>
      </w:r>
      <w:r>
        <w:t xml:space="preserve"> fraction is active.</w:t>
      </w:r>
    </w:p>
    <w:p w14:paraId="39A03B6F" w14:textId="77777777" w:rsidR="001D60AA" w:rsidRDefault="001D60AA" w:rsidP="001D60AA">
      <w:pPr>
        <w:pStyle w:val="ListParagraph"/>
        <w:numPr>
          <w:ilvl w:val="0"/>
          <w:numId w:val="2"/>
        </w:numPr>
        <w:spacing w:after="60" w:line="260" w:lineRule="auto"/>
      </w:pPr>
      <w:r>
        <w:t xml:space="preserve">Control: the pituitary releases </w:t>
      </w:r>
      <w:r>
        <w:rPr>
          <w:b/>
          <w:bCs/>
        </w:rPr>
        <w:t>TSH</w:t>
      </w:r>
      <w:r>
        <w:t xml:space="preserve"> to drive the thyroid; thyroid hormone then feeds back to switch TSH off (the thermostat again).</w:t>
      </w:r>
    </w:p>
    <w:p w14:paraId="5314ECBC" w14:textId="77777777" w:rsidR="001D60AA" w:rsidRDefault="001D60AA" w:rsidP="001D60AA">
      <w:pPr>
        <w:pStyle w:val="Heading2"/>
        <w:spacing w:before="220" w:after="120"/>
      </w:pPr>
      <w:r>
        <w:t>Reading thyroid function tests (TFTs)</w:t>
      </w:r>
    </w:p>
    <w:p w14:paraId="64CAD936" w14:textId="77777777" w:rsidR="001D60AA" w:rsidRDefault="001D60AA" w:rsidP="001D60AA">
      <w:pPr>
        <w:spacing w:after="120" w:line="264" w:lineRule="auto"/>
      </w:pPr>
      <w:r>
        <w:rPr>
          <w:b/>
          <w:bCs/>
        </w:rPr>
        <w:t xml:space="preserve">TSH is the single most useful test. </w:t>
      </w:r>
      <w:r>
        <w:t>Picture TSH as the boss’s order and T4 as the worker’s output:</w:t>
      </w:r>
    </w:p>
    <w:p w14:paraId="54FBE28E" w14:textId="77777777" w:rsidR="001D60AA" w:rsidRDefault="001D60AA" w:rsidP="001D60AA">
      <w:pPr>
        <w:spacing w:before="80" w:after="120"/>
        <w:jc w:val="center"/>
      </w:pPr>
      <w:r>
        <w:rPr>
          <w:noProof/>
        </w:rPr>
        <w:drawing>
          <wp:inline distT="0" distB="0" distL="0" distR="0" wp14:anchorId="5D901ADC" wp14:editId="6912F1BC">
            <wp:extent cx="6157445" cy="2962275"/>
            <wp:effectExtent l="0" t="0" r="0" b="0"/>
            <wp:docPr id="173470317" name="Picture 173470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3833" cy="2970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F37AD" w14:textId="77777777" w:rsidR="001D60AA" w:rsidRDefault="001D60AA" w:rsidP="001D60AA">
      <w:pPr>
        <w:spacing w:after="160"/>
        <w:jc w:val="center"/>
      </w:pPr>
      <w:r>
        <w:rPr>
          <w:i/>
          <w:iCs/>
          <w:color w:val="6B7280"/>
          <w:sz w:val="17"/>
          <w:szCs w:val="17"/>
        </w:rPr>
        <w:t>Figure 2. The four common TFT patterns.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1D60AA" w14:paraId="0575E298" w14:textId="77777777" w:rsidTr="00F73599">
        <w:tc>
          <w:tcPr>
            <w:tcW w:w="9360" w:type="dxa"/>
            <w:tcBorders>
              <w:top w:val="single" w:sz="2" w:space="0" w:color="D7F0EC"/>
              <w:left w:val="single" w:sz="24" w:space="0" w:color="0F766E"/>
              <w:bottom w:val="single" w:sz="2" w:space="0" w:color="D7F0EC"/>
              <w:right w:val="single" w:sz="2" w:space="0" w:color="D7F0EC"/>
            </w:tcBorders>
            <w:shd w:val="clear" w:color="auto" w:fill="D7F0EC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5477DCBC" w14:textId="77777777" w:rsidR="001D60AA" w:rsidRDefault="001D60AA" w:rsidP="00F73599">
            <w:pPr>
              <w:spacing w:after="40"/>
            </w:pPr>
            <w:r>
              <w:rPr>
                <w:b/>
                <w:bCs/>
                <w:color w:val="0F766E"/>
                <w:sz w:val="20"/>
                <w:szCs w:val="20"/>
              </w:rPr>
              <w:t>MEMORY HOOK</w:t>
            </w:r>
          </w:p>
          <w:p w14:paraId="155BFFED" w14:textId="77777777" w:rsidR="001D60AA" w:rsidRDefault="001D60AA" w:rsidP="00F73599">
            <w:pPr>
              <w:spacing w:after="40" w:line="256" w:lineRule="auto"/>
            </w:pPr>
            <w:r>
              <w:rPr>
                <w:b/>
                <w:bCs/>
              </w:rPr>
              <w:t xml:space="preserve">“TSH and T4 move in OPPOSITE directions in primary thyroid disease.” </w:t>
            </w:r>
            <w:r>
              <w:t>Failing gland → boss shouts louder → TSH high, T4 low. Overactive gland → boss goes quiet → TSH low, T4 high. If BOTH are low, the problem is higher up (pituitary).</w:t>
            </w:r>
          </w:p>
        </w:tc>
      </w:tr>
      <w:tr w:rsidR="001D60AA" w14:paraId="704BDE2A" w14:textId="77777777" w:rsidTr="00F73599">
        <w:tc>
          <w:tcPr>
            <w:tcW w:w="9360" w:type="dxa"/>
            <w:tcBorders>
              <w:top w:val="single" w:sz="2" w:space="0" w:color="FBE3E0"/>
              <w:left w:val="single" w:sz="24" w:space="0" w:color="B03A2E"/>
              <w:bottom w:val="single" w:sz="2" w:space="0" w:color="FBE3E0"/>
              <w:right w:val="single" w:sz="2" w:space="0" w:color="FBE3E0"/>
            </w:tcBorders>
            <w:shd w:val="clear" w:color="auto" w:fill="FBE3E0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16829D3D" w14:textId="77777777" w:rsidR="001D60AA" w:rsidRDefault="001D60AA" w:rsidP="00F73599">
            <w:pPr>
              <w:spacing w:after="40"/>
            </w:pPr>
            <w:r>
              <w:rPr>
                <w:b/>
                <w:bCs/>
                <w:color w:val="B03A2E"/>
                <w:sz w:val="20"/>
                <w:szCs w:val="20"/>
              </w:rPr>
              <w:t>RED FLAG / SAFETY</w:t>
            </w:r>
          </w:p>
          <w:p w14:paraId="2BD6F398" w14:textId="2E49E804" w:rsidR="001D60AA" w:rsidRDefault="001D60AA" w:rsidP="00F73599">
            <w:pPr>
              <w:spacing w:after="40" w:line="256" w:lineRule="auto"/>
            </w:pPr>
            <w:r>
              <w:t xml:space="preserve">Reference ranges differ between laboratories. Always use </w:t>
            </w:r>
            <w:r>
              <w:rPr>
                <w:b/>
                <w:bCs/>
                <w:color w:val="B03A2E"/>
              </w:rPr>
              <w:t>your own lab’s ranges</w:t>
            </w:r>
            <w:r>
              <w:t xml:space="preserve"> </w:t>
            </w:r>
          </w:p>
        </w:tc>
      </w:tr>
    </w:tbl>
    <w:p w14:paraId="2996EA32" w14:textId="77777777" w:rsidR="001D60AA" w:rsidRDefault="001D60AA" w:rsidP="001D60AA">
      <w:pPr>
        <w:pStyle w:val="Heading2"/>
        <w:spacing w:before="220" w:after="120"/>
      </w:pPr>
      <w:r>
        <w:lastRenderedPageBreak/>
        <w:t>Hyperthyroidism / thyrotoxicosis (an overactive thyroid)</w:t>
      </w:r>
    </w:p>
    <w:p w14:paraId="1DA33A3C" w14:textId="77777777" w:rsidR="001D60AA" w:rsidRDefault="001D60AA" w:rsidP="001D60AA">
      <w:pPr>
        <w:spacing w:after="120" w:line="264" w:lineRule="auto"/>
      </w:pPr>
      <w:r>
        <w:t>Too much thyroid hormone speeds everything up.</w:t>
      </w:r>
    </w:p>
    <w:tbl>
      <w:tblPr>
        <w:tblW w:w="9360" w:type="dxa"/>
        <w:tblBorders>
          <w:top w:val="single" w:sz="1" w:space="0" w:color="CBD5E1"/>
          <w:left w:val="single" w:sz="1" w:space="0" w:color="CBD5E1"/>
          <w:bottom w:val="single" w:sz="1" w:space="0" w:color="CBD5E1"/>
          <w:right w:val="single" w:sz="1" w:space="0" w:color="CBD5E1"/>
          <w:insideH w:val="single" w:sz="1" w:space="0" w:color="CBD5E1"/>
          <w:insideV w:val="single" w:sz="1" w:space="0" w:color="CBD5E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"/>
        <w:gridCol w:w="2565"/>
        <w:gridCol w:w="6737"/>
        <w:gridCol w:w="29"/>
      </w:tblGrid>
      <w:tr w:rsidR="001D60AA" w14:paraId="4D1CEFA5" w14:textId="77777777" w:rsidTr="00F73599">
        <w:trPr>
          <w:gridAfter w:val="1"/>
          <w:wAfter w:w="29" w:type="dxa"/>
          <w:tblHeader/>
        </w:trPr>
        <w:tc>
          <w:tcPr>
            <w:tcW w:w="2600" w:type="dxa"/>
            <w:gridSpan w:val="2"/>
            <w:shd w:val="clear" w:color="auto" w:fill="1C2B35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9FDE0DF" w14:textId="77777777" w:rsidR="001D60AA" w:rsidRDefault="001D60AA" w:rsidP="00F73599">
            <w:r>
              <w:rPr>
                <w:b/>
                <w:bCs/>
                <w:color w:val="FFFFFF"/>
                <w:sz w:val="19"/>
                <w:szCs w:val="19"/>
              </w:rPr>
              <w:t>Causes</w:t>
            </w:r>
          </w:p>
        </w:tc>
        <w:tc>
          <w:tcPr>
            <w:tcW w:w="6760" w:type="dxa"/>
            <w:shd w:val="clear" w:color="auto" w:fill="1C2B35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BA89305" w14:textId="77777777" w:rsidR="001D60AA" w:rsidRDefault="001D60AA" w:rsidP="00F73599">
            <w:r>
              <w:rPr>
                <w:b/>
                <w:bCs/>
                <w:color w:val="FFFFFF"/>
                <w:sz w:val="19"/>
                <w:szCs w:val="19"/>
              </w:rPr>
              <w:t>Key clues</w:t>
            </w:r>
          </w:p>
        </w:tc>
      </w:tr>
      <w:tr w:rsidR="001D60AA" w14:paraId="7E0E60DA" w14:textId="77777777" w:rsidTr="00F73599">
        <w:trPr>
          <w:gridAfter w:val="1"/>
          <w:wAfter w:w="29" w:type="dxa"/>
        </w:trPr>
        <w:tc>
          <w:tcPr>
            <w:tcW w:w="2600" w:type="dxa"/>
            <w:gridSpan w:val="2"/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6A227C0F" w14:textId="77777777" w:rsidR="001D60AA" w:rsidRDefault="001D60AA" w:rsidP="00F73599">
            <w:r>
              <w:rPr>
                <w:b/>
                <w:bCs/>
                <w:sz w:val="19"/>
                <w:szCs w:val="19"/>
              </w:rPr>
              <w:t>Graves’ disease</w:t>
            </w:r>
            <w:r>
              <w:rPr>
                <w:sz w:val="19"/>
                <w:szCs w:val="19"/>
              </w:rPr>
              <w:t xml:space="preserve"> (commonest)</w:t>
            </w:r>
          </w:p>
        </w:tc>
        <w:tc>
          <w:tcPr>
            <w:tcW w:w="6760" w:type="dxa"/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47FE3399" w14:textId="77777777" w:rsidR="001D60AA" w:rsidRDefault="001D60AA" w:rsidP="00F73599">
            <w:pPr>
              <w:spacing w:line="248" w:lineRule="auto"/>
            </w:pPr>
            <w:r>
              <w:rPr>
                <w:sz w:val="19"/>
                <w:szCs w:val="19"/>
              </w:rPr>
              <w:t>Autoimmune (TRAb antibodies). Eye signs (bulging eyes), diffuse goitre. Often younger women.</w:t>
            </w:r>
          </w:p>
        </w:tc>
      </w:tr>
      <w:tr w:rsidR="001D60AA" w14:paraId="58123597" w14:textId="77777777" w:rsidTr="00F73599">
        <w:trPr>
          <w:gridAfter w:val="1"/>
          <w:wAfter w:w="29" w:type="dxa"/>
        </w:trPr>
        <w:tc>
          <w:tcPr>
            <w:tcW w:w="2600" w:type="dxa"/>
            <w:gridSpan w:val="2"/>
            <w:shd w:val="clear" w:color="auto" w:fill="F4F8FA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08A67719" w14:textId="77777777" w:rsidR="001D60AA" w:rsidRDefault="001D60AA" w:rsidP="00F73599">
            <w:pPr>
              <w:spacing w:line="248" w:lineRule="auto"/>
            </w:pPr>
            <w:r>
              <w:rPr>
                <w:sz w:val="19"/>
                <w:szCs w:val="19"/>
              </w:rPr>
              <w:t>Toxic multinodular goitre</w:t>
            </w:r>
          </w:p>
        </w:tc>
        <w:tc>
          <w:tcPr>
            <w:tcW w:w="6760" w:type="dxa"/>
            <w:shd w:val="clear" w:color="auto" w:fill="F4F8FA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75339CC5" w14:textId="77777777" w:rsidR="001D60AA" w:rsidRDefault="001D60AA" w:rsidP="00F73599">
            <w:pPr>
              <w:spacing w:line="248" w:lineRule="auto"/>
            </w:pPr>
            <w:r>
              <w:rPr>
                <w:sz w:val="19"/>
                <w:szCs w:val="19"/>
              </w:rPr>
              <w:t>Older patients; lumpy gland; no eye signs.</w:t>
            </w:r>
          </w:p>
        </w:tc>
      </w:tr>
      <w:tr w:rsidR="001D60AA" w14:paraId="0B89EA93" w14:textId="77777777" w:rsidTr="00F73599">
        <w:trPr>
          <w:gridAfter w:val="1"/>
          <w:wAfter w:w="29" w:type="dxa"/>
        </w:trPr>
        <w:tc>
          <w:tcPr>
            <w:tcW w:w="2600" w:type="dxa"/>
            <w:gridSpan w:val="2"/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4D9EBDCB" w14:textId="77777777" w:rsidR="001D60AA" w:rsidRDefault="001D60AA" w:rsidP="00F73599">
            <w:pPr>
              <w:spacing w:line="248" w:lineRule="auto"/>
            </w:pPr>
            <w:r>
              <w:rPr>
                <w:sz w:val="19"/>
                <w:szCs w:val="19"/>
              </w:rPr>
              <w:t>Toxic adenoma (“hot nodule”)</w:t>
            </w:r>
          </w:p>
        </w:tc>
        <w:tc>
          <w:tcPr>
            <w:tcW w:w="6760" w:type="dxa"/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5DE3E9B7" w14:textId="77777777" w:rsidR="001D60AA" w:rsidRDefault="001D60AA" w:rsidP="00F73599">
            <w:pPr>
              <w:spacing w:line="248" w:lineRule="auto"/>
            </w:pPr>
            <w:r>
              <w:rPr>
                <w:sz w:val="19"/>
                <w:szCs w:val="19"/>
              </w:rPr>
              <w:t>Single overactive lump.</w:t>
            </w:r>
          </w:p>
        </w:tc>
      </w:tr>
      <w:tr w:rsidR="001D60AA" w14:paraId="7B51C22C" w14:textId="77777777" w:rsidTr="00F73599">
        <w:trPr>
          <w:gridAfter w:val="1"/>
          <w:wAfter w:w="29" w:type="dxa"/>
        </w:trPr>
        <w:tc>
          <w:tcPr>
            <w:tcW w:w="2600" w:type="dxa"/>
            <w:gridSpan w:val="2"/>
            <w:shd w:val="clear" w:color="auto" w:fill="F4F8FA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44F8BBC1" w14:textId="77777777" w:rsidR="001D60AA" w:rsidRDefault="001D60AA" w:rsidP="00F73599">
            <w:pPr>
              <w:spacing w:line="248" w:lineRule="auto"/>
            </w:pPr>
            <w:r>
              <w:rPr>
                <w:sz w:val="19"/>
                <w:szCs w:val="19"/>
              </w:rPr>
              <w:t>Thyroiditis</w:t>
            </w:r>
          </w:p>
        </w:tc>
        <w:tc>
          <w:tcPr>
            <w:tcW w:w="6760" w:type="dxa"/>
            <w:shd w:val="clear" w:color="auto" w:fill="F4F8FA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1547B75A" w14:textId="77777777" w:rsidR="001D60AA" w:rsidRDefault="001D60AA" w:rsidP="00F73599">
            <w:pPr>
              <w:spacing w:line="248" w:lineRule="auto"/>
            </w:pPr>
            <w:proofErr w:type="gramStart"/>
            <w:r>
              <w:rPr>
                <w:sz w:val="19"/>
                <w:szCs w:val="19"/>
              </w:rPr>
              <w:t>Temporary;</w:t>
            </w:r>
            <w:proofErr w:type="gramEnd"/>
            <w:r>
              <w:rPr>
                <w:sz w:val="19"/>
                <w:szCs w:val="19"/>
              </w:rPr>
              <w:t xml:space="preserve"> e.g. after a viral illness or after pregnancy.</w:t>
            </w:r>
          </w:p>
        </w:tc>
      </w:tr>
      <w:tr w:rsidR="001D60AA" w14:paraId="264B0195" w14:textId="77777777" w:rsidTr="00F735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</w:trPr>
        <w:tc>
          <w:tcPr>
            <w:tcW w:w="9360" w:type="dxa"/>
            <w:gridSpan w:val="3"/>
            <w:tcBorders>
              <w:top w:val="single" w:sz="2" w:space="0" w:color="D7F0EC"/>
              <w:left w:val="single" w:sz="24" w:space="0" w:color="0F766E"/>
              <w:bottom w:val="single" w:sz="2" w:space="0" w:color="D7F0EC"/>
              <w:right w:val="single" w:sz="2" w:space="0" w:color="D7F0EC"/>
            </w:tcBorders>
            <w:shd w:val="clear" w:color="auto" w:fill="D7F0EC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0A9300F5" w14:textId="77777777" w:rsidR="001D60AA" w:rsidRDefault="001D60AA" w:rsidP="00F73599">
            <w:pPr>
              <w:spacing w:after="40"/>
            </w:pPr>
            <w:r>
              <w:rPr>
                <w:b/>
                <w:bCs/>
                <w:color w:val="0F766E"/>
                <w:sz w:val="20"/>
                <w:szCs w:val="20"/>
              </w:rPr>
              <w:t>MEMORY HOOK</w:t>
            </w:r>
          </w:p>
          <w:p w14:paraId="44986AEE" w14:textId="77777777" w:rsidR="001D60AA" w:rsidRDefault="001D60AA" w:rsidP="00F73599">
            <w:pPr>
              <w:spacing w:after="40" w:line="256" w:lineRule="auto"/>
            </w:pPr>
            <w:r>
              <w:rPr>
                <w:b/>
                <w:bCs/>
              </w:rPr>
              <w:t xml:space="preserve">Symptoms — “everything goes FAST and HOT”: </w:t>
            </w:r>
            <w:r>
              <w:t>weight loss despite good appetite, heat intolerance and sweating, palpitations / fast pulse (watch for atrial fibrillation), tremor, anxiety, diarrhoea, and in women lighter/absent periods.</w:t>
            </w:r>
          </w:p>
        </w:tc>
      </w:tr>
      <w:tr w:rsidR="001D60AA" w14:paraId="27ADE6B8" w14:textId="77777777" w:rsidTr="00F735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</w:trPr>
        <w:tc>
          <w:tcPr>
            <w:tcW w:w="9360" w:type="dxa"/>
            <w:gridSpan w:val="3"/>
            <w:tcBorders>
              <w:top w:val="single" w:sz="2" w:space="0" w:color="FCEFC7"/>
              <w:left w:val="single" w:sz="24" w:space="0" w:color="B7791F"/>
              <w:bottom w:val="single" w:sz="2" w:space="0" w:color="FCEFC7"/>
              <w:right w:val="single" w:sz="2" w:space="0" w:color="FCEFC7"/>
            </w:tcBorders>
            <w:shd w:val="clear" w:color="auto" w:fill="FCEFC7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5B824938" w14:textId="77777777" w:rsidR="001D60AA" w:rsidRDefault="001D60AA" w:rsidP="00F73599">
            <w:pPr>
              <w:spacing w:after="40" w:line="256" w:lineRule="auto"/>
            </w:pPr>
            <w:r>
              <w:rPr>
                <w:b/>
                <w:bCs/>
              </w:rPr>
              <w:t>Treatment today (NICE NG145):</w:t>
            </w:r>
            <w:r>
              <w:rPr>
                <w:b/>
                <w:bCs/>
                <w:color w:val="0F766E"/>
              </w:rPr>
              <w:t xml:space="preserve"> ✓</w:t>
            </w:r>
          </w:p>
          <w:p w14:paraId="303FC655" w14:textId="77777777" w:rsidR="001D60AA" w:rsidRDefault="001D60AA" w:rsidP="00F73599">
            <w:pPr>
              <w:pStyle w:val="ListParagraph"/>
              <w:numPr>
                <w:ilvl w:val="0"/>
                <w:numId w:val="4"/>
              </w:numPr>
              <w:spacing w:after="30" w:line="252" w:lineRule="auto"/>
            </w:pPr>
            <w:r>
              <w:rPr>
                <w:b/>
                <w:bCs/>
              </w:rPr>
              <w:t>Antithyroid drug — carbimazole</w:t>
            </w:r>
            <w:r>
              <w:t xml:space="preserve"> is first-line, usually as a </w:t>
            </w:r>
            <w:r>
              <w:rPr>
                <w:i/>
                <w:iCs/>
              </w:rPr>
              <w:t>titration</w:t>
            </w:r>
            <w:r>
              <w:t xml:space="preserve"> regimen (adjust dose to the TFTs) for 12–18 months. A “block and replace” regimen (fixed high carbimazole + levothyroxine) is an alternative.</w:t>
            </w:r>
          </w:p>
          <w:p w14:paraId="19A86E51" w14:textId="77777777" w:rsidR="001D60AA" w:rsidRDefault="001D60AA" w:rsidP="00F73599">
            <w:pPr>
              <w:pStyle w:val="ListParagraph"/>
              <w:numPr>
                <w:ilvl w:val="0"/>
                <w:numId w:val="4"/>
              </w:numPr>
              <w:spacing w:after="30" w:line="252" w:lineRule="auto"/>
            </w:pPr>
            <w:r>
              <w:rPr>
                <w:b/>
                <w:bCs/>
              </w:rPr>
              <w:t>Propylthiouracil (PTU)</w:t>
            </w:r>
            <w:r>
              <w:t xml:space="preserve"> is </w:t>
            </w:r>
            <w:proofErr w:type="gramStart"/>
            <w:r>
              <w:t>second-line</w:t>
            </w:r>
            <w:proofErr w:type="gramEnd"/>
            <w:r>
              <w:t xml:space="preserve"> (used first in early pregnancy because carbimazole carries a small risk of birth defects).</w:t>
            </w:r>
          </w:p>
          <w:p w14:paraId="6D9CDF2E" w14:textId="77777777" w:rsidR="001D60AA" w:rsidRDefault="001D60AA" w:rsidP="00F73599">
            <w:pPr>
              <w:pStyle w:val="ListParagraph"/>
              <w:numPr>
                <w:ilvl w:val="0"/>
                <w:numId w:val="4"/>
              </w:numPr>
              <w:spacing w:after="30" w:line="252" w:lineRule="auto"/>
            </w:pPr>
            <w:r>
              <w:rPr>
                <w:b/>
                <w:bCs/>
              </w:rPr>
              <w:t>Beta-blocker</w:t>
            </w:r>
            <w:r>
              <w:t xml:space="preserve"> (</w:t>
            </w:r>
            <w:proofErr w:type="gramStart"/>
            <w:r>
              <w:t>e.g.</w:t>
            </w:r>
            <w:proofErr w:type="gramEnd"/>
            <w:r>
              <w:t xml:space="preserve"> propranolol) for fast pulse, tremor and anxiety while waiting for the drugs to work.</w:t>
            </w:r>
          </w:p>
          <w:p w14:paraId="362AEC09" w14:textId="77777777" w:rsidR="001D60AA" w:rsidRDefault="001D60AA" w:rsidP="00F73599">
            <w:pPr>
              <w:pStyle w:val="ListParagraph"/>
              <w:numPr>
                <w:ilvl w:val="0"/>
                <w:numId w:val="4"/>
              </w:numPr>
              <w:spacing w:after="30" w:line="252" w:lineRule="auto"/>
            </w:pPr>
            <w:r>
              <w:rPr>
                <w:b/>
                <w:bCs/>
              </w:rPr>
              <w:t>Radioactive iodine</w:t>
            </w:r>
            <w:r>
              <w:t xml:space="preserve"> or </w:t>
            </w:r>
            <w:r>
              <w:rPr>
                <w:b/>
                <w:bCs/>
              </w:rPr>
              <w:t>surgery</w:t>
            </w:r>
            <w:r>
              <w:t xml:space="preserve"> for those who relapse or prefer a definitive cure. Both often cause life-long hypothyroidism afterwards — a planned trade-off, treated with levothyroxine.</w:t>
            </w:r>
          </w:p>
        </w:tc>
      </w:tr>
      <w:tr w:rsidR="001D60AA" w14:paraId="7211B06F" w14:textId="77777777" w:rsidTr="00F735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</w:trPr>
        <w:tc>
          <w:tcPr>
            <w:tcW w:w="9360" w:type="dxa"/>
            <w:gridSpan w:val="3"/>
            <w:tcBorders>
              <w:top w:val="single" w:sz="2" w:space="0" w:color="FBE3E0"/>
              <w:left w:val="single" w:sz="24" w:space="0" w:color="B03A2E"/>
              <w:bottom w:val="single" w:sz="2" w:space="0" w:color="FBE3E0"/>
              <w:right w:val="single" w:sz="2" w:space="0" w:color="FBE3E0"/>
            </w:tcBorders>
            <w:shd w:val="clear" w:color="auto" w:fill="FBE3E0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5578E554" w14:textId="77777777" w:rsidR="001D60AA" w:rsidRDefault="001D60AA" w:rsidP="00F73599">
            <w:pPr>
              <w:spacing w:after="40"/>
            </w:pPr>
            <w:r>
              <w:rPr>
                <w:b/>
                <w:bCs/>
                <w:color w:val="B03A2E"/>
                <w:sz w:val="20"/>
                <w:szCs w:val="20"/>
              </w:rPr>
              <w:t>RED FLAG / SAFETY</w:t>
            </w:r>
          </w:p>
          <w:p w14:paraId="1A02A21B" w14:textId="77777777" w:rsidR="001D60AA" w:rsidRDefault="001D60AA" w:rsidP="00F73599">
            <w:pPr>
              <w:spacing w:after="40" w:line="256" w:lineRule="auto"/>
            </w:pPr>
            <w:r>
              <w:rPr>
                <w:b/>
                <w:bCs/>
                <w:color w:val="B03A2E"/>
              </w:rPr>
              <w:t>Carbimazole + sore throat/fever = STOP the drug and check FBC the same day.</w:t>
            </w:r>
            <w:r>
              <w:t xml:space="preserve"> Carbimazole can rarely wipe out white cells (</w:t>
            </w:r>
            <w:r>
              <w:rPr>
                <w:i/>
                <w:iCs/>
              </w:rPr>
              <w:t>agranulocytosis</w:t>
            </w:r>
            <w:r>
              <w:t xml:space="preserve">), which is life-threatening. Warn every patient. </w:t>
            </w:r>
            <w:r>
              <w:rPr>
                <w:b/>
                <w:bCs/>
                <w:color w:val="0F766E"/>
              </w:rPr>
              <w:t xml:space="preserve"> ✓</w:t>
            </w:r>
          </w:p>
        </w:tc>
      </w:tr>
      <w:tr w:rsidR="001D60AA" w14:paraId="0E90F08E" w14:textId="77777777" w:rsidTr="00F735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</w:trPr>
        <w:tc>
          <w:tcPr>
            <w:tcW w:w="9360" w:type="dxa"/>
            <w:gridSpan w:val="3"/>
            <w:tcBorders>
              <w:top w:val="single" w:sz="2" w:space="0" w:color="DBEAFE"/>
              <w:left w:val="single" w:sz="24" w:space="0" w:color="1D4ED8"/>
              <w:bottom w:val="single" w:sz="2" w:space="0" w:color="DBEAFE"/>
              <w:right w:val="single" w:sz="2" w:space="0" w:color="DBEAFE"/>
            </w:tcBorders>
            <w:shd w:val="clear" w:color="auto" w:fill="DBEAFE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2BAA8F3B" w14:textId="77777777" w:rsidR="001D60AA" w:rsidRDefault="001D60AA" w:rsidP="00F73599">
            <w:pPr>
              <w:spacing w:after="40"/>
            </w:pPr>
            <w:r>
              <w:rPr>
                <w:b/>
                <w:bCs/>
                <w:color w:val="1D4ED8"/>
                <w:sz w:val="20"/>
                <w:szCs w:val="20"/>
              </w:rPr>
              <w:t>CLINICAL / EXAM PEARL</w:t>
            </w:r>
          </w:p>
          <w:p w14:paraId="49459C7B" w14:textId="77777777" w:rsidR="001D60AA" w:rsidRDefault="001D60AA" w:rsidP="00F73599">
            <w:pPr>
              <w:spacing w:after="40" w:line="256" w:lineRule="auto"/>
            </w:pPr>
            <w:r>
              <w:rPr>
                <w:b/>
                <w:bCs/>
              </w:rPr>
              <w:t>Thyroid storm</w:t>
            </w:r>
            <w:r>
              <w:t xml:space="preserve"> is a rare emergency (very high fever, fast/irregular heart, agitation, vomiting). Treat in hospital with supportive care, a beta-blocker, antithyroid drugs, iodine (given </w:t>
            </w:r>
            <w:r>
              <w:rPr>
                <w:i/>
                <w:iCs/>
              </w:rPr>
              <w:t>after</w:t>
            </w:r>
            <w:r>
              <w:t xml:space="preserve"> the antithyroid drug) and steroids. </w:t>
            </w:r>
            <w:r>
              <w:rPr>
                <w:b/>
                <w:bCs/>
                <w:color w:val="B7791F"/>
              </w:rPr>
              <w:t xml:space="preserve"> ⚠</w:t>
            </w:r>
          </w:p>
        </w:tc>
      </w:tr>
    </w:tbl>
    <w:p w14:paraId="747708FA" w14:textId="77777777" w:rsidR="001D60AA" w:rsidRDefault="001D60AA" w:rsidP="001D60AA">
      <w:pPr>
        <w:pStyle w:val="Heading2"/>
        <w:spacing w:before="220" w:after="120"/>
      </w:pPr>
    </w:p>
    <w:p w14:paraId="448139E4" w14:textId="77777777" w:rsidR="001D60AA" w:rsidRDefault="001D60AA">
      <w:pPr>
        <w:rPr>
          <w:b/>
          <w:bCs/>
          <w:color w:val="0F766E"/>
          <w:sz w:val="27"/>
          <w:szCs w:val="27"/>
        </w:rPr>
      </w:pPr>
      <w:r>
        <w:br w:type="page"/>
      </w:r>
    </w:p>
    <w:p w14:paraId="69693134" w14:textId="15A05FA0" w:rsidR="001D60AA" w:rsidRDefault="001D60AA" w:rsidP="001D60AA">
      <w:pPr>
        <w:pStyle w:val="Heading2"/>
        <w:spacing w:before="220" w:after="120"/>
      </w:pPr>
      <w:r>
        <w:lastRenderedPageBreak/>
        <w:t>Hypothyroidism (an underactive thyroid)</w:t>
      </w:r>
    </w:p>
    <w:p w14:paraId="03918BE2" w14:textId="77777777" w:rsidR="001D60AA" w:rsidRDefault="001D60AA" w:rsidP="001D60AA">
      <w:pPr>
        <w:spacing w:after="120" w:line="264" w:lineRule="auto"/>
      </w:pPr>
      <w:r>
        <w:t xml:space="preserve">Too little thyroid hormone slows everything down. It is </w:t>
      </w:r>
      <w:r>
        <w:rPr>
          <w:b/>
          <w:bCs/>
        </w:rPr>
        <w:t>common</w:t>
      </w:r>
      <w:r>
        <w:t xml:space="preserve"> (about 1–2% of adults) and very treatable — so do not miss it.</w:t>
      </w:r>
    </w:p>
    <w:p w14:paraId="01B0177A" w14:textId="77777777" w:rsidR="001D60AA" w:rsidRDefault="001D60AA" w:rsidP="001D60AA">
      <w:pPr>
        <w:spacing w:after="120" w:line="264" w:lineRule="auto"/>
      </w:pPr>
      <w:r>
        <w:rPr>
          <w:b/>
          <w:bCs/>
        </w:rPr>
        <w:t xml:space="preserve">Causes: </w:t>
      </w:r>
      <w:r>
        <w:t xml:space="preserve">autoimmune (Hashimoto’s and “atrophic” thyroiditis) is commonest in the UK; </w:t>
      </w:r>
      <w:proofErr w:type="gramStart"/>
      <w:r>
        <w:t>also</w:t>
      </w:r>
      <w:proofErr w:type="gramEnd"/>
      <w:r>
        <w:t xml:space="preserve"> after thyroid surgery or radioiodine, certain drugs (lithium, amiodarone), and worldwide — iodine deficiency.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1D60AA" w14:paraId="34FA1826" w14:textId="77777777" w:rsidTr="00F73599">
        <w:tc>
          <w:tcPr>
            <w:tcW w:w="9360" w:type="dxa"/>
            <w:tcBorders>
              <w:top w:val="single" w:sz="2" w:space="0" w:color="D7F0EC"/>
              <w:left w:val="single" w:sz="24" w:space="0" w:color="0F766E"/>
              <w:bottom w:val="single" w:sz="2" w:space="0" w:color="D7F0EC"/>
              <w:right w:val="single" w:sz="2" w:space="0" w:color="D7F0EC"/>
            </w:tcBorders>
            <w:shd w:val="clear" w:color="auto" w:fill="D7F0EC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5B81438A" w14:textId="77777777" w:rsidR="001D60AA" w:rsidRDefault="001D60AA" w:rsidP="00F73599">
            <w:pPr>
              <w:spacing w:after="40"/>
            </w:pPr>
            <w:r>
              <w:rPr>
                <w:b/>
                <w:bCs/>
                <w:color w:val="0F766E"/>
                <w:sz w:val="20"/>
                <w:szCs w:val="20"/>
              </w:rPr>
              <w:t>MEMORY HOOK</w:t>
            </w:r>
          </w:p>
          <w:p w14:paraId="0908E306" w14:textId="77777777" w:rsidR="001D60AA" w:rsidRDefault="001D60AA" w:rsidP="00F73599">
            <w:pPr>
              <w:spacing w:after="40" w:line="256" w:lineRule="auto"/>
            </w:pPr>
            <w:r>
              <w:rPr>
                <w:b/>
                <w:bCs/>
              </w:rPr>
              <w:t xml:space="preserve">Symptoms — “everything goes SLOW and COLD”: </w:t>
            </w:r>
            <w:r>
              <w:t>tiredness, weight gain, feeling cold, constipation, dry skin and hair, low mood, slow thinking, heavy periods, and slow-relaxing reflexes.</w:t>
            </w:r>
          </w:p>
        </w:tc>
      </w:tr>
      <w:tr w:rsidR="001D60AA" w14:paraId="3D814D12" w14:textId="77777777" w:rsidTr="00F73599">
        <w:tc>
          <w:tcPr>
            <w:tcW w:w="9360" w:type="dxa"/>
            <w:tcBorders>
              <w:top w:val="single" w:sz="2" w:space="0" w:color="FCEFC7"/>
              <w:left w:val="single" w:sz="24" w:space="0" w:color="B7791F"/>
              <w:bottom w:val="single" w:sz="2" w:space="0" w:color="FCEFC7"/>
              <w:right w:val="single" w:sz="2" w:space="0" w:color="FCEFC7"/>
            </w:tcBorders>
            <w:shd w:val="clear" w:color="auto" w:fill="FCEFC7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555105D8" w14:textId="77777777" w:rsidR="001D60AA" w:rsidRDefault="001D60AA" w:rsidP="00F73599">
            <w:pPr>
              <w:spacing w:after="40" w:line="256" w:lineRule="auto"/>
            </w:pPr>
            <w:r>
              <w:rPr>
                <w:b/>
                <w:bCs/>
              </w:rPr>
              <w:t>Treatment (NICE NG145): levothyroxine</w:t>
            </w:r>
            <w:r>
              <w:t xml:space="preserve"> once daily, taken on an empty stomach. Adjust the dose to bring </w:t>
            </w:r>
            <w:r>
              <w:rPr>
                <w:b/>
                <w:bCs/>
              </w:rPr>
              <w:t>TSH back into the normal range</w:t>
            </w:r>
            <w:r>
              <w:t xml:space="preserve">. </w:t>
            </w:r>
            <w:r>
              <w:rPr>
                <w:b/>
                <w:bCs/>
                <w:color w:val="0F766E"/>
              </w:rPr>
              <w:t xml:space="preserve"> ✓</w:t>
            </w:r>
          </w:p>
          <w:p w14:paraId="205A233C" w14:textId="77777777" w:rsidR="001D60AA" w:rsidRDefault="001D60AA" w:rsidP="00F73599">
            <w:pPr>
              <w:pStyle w:val="ListParagraph"/>
              <w:numPr>
                <w:ilvl w:val="0"/>
                <w:numId w:val="4"/>
              </w:numPr>
              <w:spacing w:after="30" w:line="252" w:lineRule="auto"/>
            </w:pPr>
            <w:r>
              <w:rPr>
                <w:b/>
                <w:bCs/>
              </w:rPr>
              <w:t>Start low and go slow</w:t>
            </w:r>
            <w:r>
              <w:t xml:space="preserve"> in older people and anyone with heart disease (a big starting dose can trigger angina or a fast heart). </w:t>
            </w:r>
            <w:r>
              <w:rPr>
                <w:b/>
                <w:bCs/>
                <w:color w:val="0F766E"/>
              </w:rPr>
              <w:t xml:space="preserve"> ✓</w:t>
            </w:r>
          </w:p>
          <w:p w14:paraId="3D0680A0" w14:textId="77777777" w:rsidR="001D60AA" w:rsidRDefault="001D60AA" w:rsidP="00F73599">
            <w:pPr>
              <w:pStyle w:val="ListParagraph"/>
              <w:numPr>
                <w:ilvl w:val="0"/>
                <w:numId w:val="4"/>
              </w:numPr>
              <w:spacing w:after="30" w:line="252" w:lineRule="auto"/>
            </w:pPr>
            <w:r>
              <w:t xml:space="preserve">The original handbook gives doses in milligrams (0.05–0.15 mg). In modern UK practice levothyroxine is prescribed in </w:t>
            </w:r>
            <w:r>
              <w:rPr>
                <w:b/>
                <w:bCs/>
              </w:rPr>
              <w:t>micrograms</w:t>
            </w:r>
            <w:r>
              <w:t xml:space="preserve"> (50–150 micrograms) — always check the current BNF. </w:t>
            </w:r>
            <w:r>
              <w:rPr>
                <w:b/>
                <w:bCs/>
                <w:color w:val="B7791F"/>
              </w:rPr>
              <w:t xml:space="preserve"> ⚠</w:t>
            </w:r>
          </w:p>
        </w:tc>
      </w:tr>
      <w:tr w:rsidR="001D60AA" w14:paraId="2C7504C5" w14:textId="77777777" w:rsidTr="00F73599">
        <w:tc>
          <w:tcPr>
            <w:tcW w:w="9360" w:type="dxa"/>
            <w:tcBorders>
              <w:top w:val="single" w:sz="2" w:space="0" w:color="DBEAFE"/>
              <w:left w:val="single" w:sz="24" w:space="0" w:color="1D4ED8"/>
              <w:bottom w:val="single" w:sz="2" w:space="0" w:color="DBEAFE"/>
              <w:right w:val="single" w:sz="2" w:space="0" w:color="DBEAFE"/>
            </w:tcBorders>
            <w:shd w:val="clear" w:color="auto" w:fill="DBEAFE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2476884D" w14:textId="77777777" w:rsidR="001D60AA" w:rsidRDefault="001D60AA" w:rsidP="00F73599">
            <w:pPr>
              <w:spacing w:after="40"/>
            </w:pPr>
            <w:r>
              <w:rPr>
                <w:b/>
                <w:bCs/>
                <w:color w:val="1D4ED8"/>
                <w:sz w:val="20"/>
                <w:szCs w:val="20"/>
              </w:rPr>
              <w:t>CLINICAL / EXAM PEARL</w:t>
            </w:r>
          </w:p>
          <w:p w14:paraId="7257C6DD" w14:textId="77777777" w:rsidR="001D60AA" w:rsidRDefault="001D60AA" w:rsidP="00F73599">
            <w:pPr>
              <w:spacing w:after="40" w:line="256" w:lineRule="auto"/>
            </w:pPr>
            <w:r>
              <w:rPr>
                <w:b/>
                <w:bCs/>
              </w:rPr>
              <w:t>Myxoedema coma</w:t>
            </w:r>
            <w:r>
              <w:t xml:space="preserve"> is the rare, severe end of hypothyroidism (very cold, drowsy/unconscious, slow heart). It is a medical emergency needing hospital care and IV thyroid hormone + steroids. </w:t>
            </w:r>
            <w:r>
              <w:rPr>
                <w:b/>
                <w:bCs/>
                <w:color w:val="B7791F"/>
              </w:rPr>
              <w:t xml:space="preserve"> ⚠</w:t>
            </w:r>
          </w:p>
        </w:tc>
      </w:tr>
    </w:tbl>
    <w:p w14:paraId="2F26B23B" w14:textId="77777777" w:rsidR="001D60AA" w:rsidRDefault="001D60AA" w:rsidP="001D60AA">
      <w:pPr>
        <w:spacing w:after="120" w:line="264" w:lineRule="auto"/>
        <w:rPr>
          <w:b/>
          <w:bCs/>
        </w:rPr>
      </w:pPr>
    </w:p>
    <w:p w14:paraId="2044D668" w14:textId="2C96C595" w:rsidR="001D60AA" w:rsidRDefault="001D60AA" w:rsidP="001D60AA">
      <w:pPr>
        <w:spacing w:after="120" w:line="264" w:lineRule="auto"/>
      </w:pPr>
      <w:r>
        <w:rPr>
          <w:b/>
          <w:bCs/>
        </w:rPr>
        <w:t>Subclinical thyroid disease</w:t>
      </w:r>
      <w:r>
        <w:t xml:space="preserve"> = abnormal TSH but normal T4. Managed by repeating tests and treating selectively (</w:t>
      </w:r>
      <w:proofErr w:type="gramStart"/>
      <w:r>
        <w:t>e.g.</w:t>
      </w:r>
      <w:proofErr w:type="gramEnd"/>
      <w:r>
        <w:t xml:space="preserve"> higher TSH, symptoms, antibodies, or pregnancy). </w:t>
      </w:r>
      <w:r>
        <w:rPr>
          <w:b/>
          <w:bCs/>
          <w:color w:val="B7791F"/>
        </w:rPr>
        <w:t xml:space="preserve"> ⚠</w:t>
      </w:r>
    </w:p>
    <w:sectPr w:rsidR="001D60AA">
      <w:headerReference w:type="default" r:id="rId8"/>
      <w:footerReference w:type="default" r:id="rId9"/>
      <w:pgSz w:w="12240" w:h="15840"/>
      <w:pgMar w:top="1320" w:right="1320" w:bottom="1320" w:left="13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E5FF1" w14:textId="77777777" w:rsidR="00B337AB" w:rsidRDefault="00B337AB">
      <w:r>
        <w:separator/>
      </w:r>
    </w:p>
  </w:endnote>
  <w:endnote w:type="continuationSeparator" w:id="0">
    <w:p w14:paraId="3D4E14D3" w14:textId="77777777" w:rsidR="00B337AB" w:rsidRDefault="00B33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CBF20" w14:textId="77777777" w:rsidR="00924672" w:rsidRDefault="00000000">
    <w:pPr>
      <w:pBdr>
        <w:top w:val="single" w:sz="6" w:space="4" w:color="14B8A6"/>
      </w:pBdr>
      <w:jc w:val="center"/>
    </w:pPr>
    <w:r>
      <w:rPr>
        <w:color w:val="94A3B8"/>
        <w:sz w:val="16"/>
        <w:szCs w:val="16"/>
      </w:rPr>
      <w:t xml:space="preserve">Bradford </w:t>
    </w:r>
    <w:proofErr w:type="gramStart"/>
    <w:r>
      <w:rPr>
        <w:color w:val="94A3B8"/>
        <w:sz w:val="16"/>
        <w:szCs w:val="16"/>
      </w:rPr>
      <w:t>VTS  ·</w:t>
    </w:r>
    <w:proofErr w:type="gramEnd"/>
    <w:r>
      <w:rPr>
        <w:color w:val="94A3B8"/>
        <w:sz w:val="16"/>
        <w:szCs w:val="16"/>
      </w:rPr>
      <w:t xml:space="preserve">  bradfordvts.co.uk  ·  page </w:t>
    </w:r>
    <w:r>
      <w:rPr>
        <w:color w:val="94A3B8"/>
        <w:sz w:val="16"/>
        <w:szCs w:val="16"/>
      </w:rPr>
      <w:fldChar w:fldCharType="begin"/>
    </w:r>
    <w:r>
      <w:rPr>
        <w:color w:val="94A3B8"/>
        <w:sz w:val="16"/>
        <w:szCs w:val="16"/>
      </w:rPr>
      <w:instrText>PAGE</w:instrText>
    </w:r>
    <w:r>
      <w:rPr>
        <w:color w:val="94A3B8"/>
        <w:sz w:val="16"/>
        <w:szCs w:val="16"/>
      </w:rPr>
      <w:fldChar w:fldCharType="separate"/>
    </w:r>
    <w:r w:rsidR="00CB2AAA">
      <w:rPr>
        <w:noProof/>
        <w:color w:val="94A3B8"/>
        <w:sz w:val="16"/>
        <w:szCs w:val="16"/>
      </w:rPr>
      <w:t>1</w:t>
    </w:r>
    <w:r>
      <w:rPr>
        <w:color w:val="94A3B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34953" w14:textId="77777777" w:rsidR="00B337AB" w:rsidRDefault="00B337AB">
      <w:r>
        <w:separator/>
      </w:r>
    </w:p>
  </w:footnote>
  <w:footnote w:type="continuationSeparator" w:id="0">
    <w:p w14:paraId="34BF3359" w14:textId="77777777" w:rsidR="00B337AB" w:rsidRDefault="00B33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B89F3" w14:textId="0CB90097" w:rsidR="00924672" w:rsidRDefault="00E01E3B">
    <w:pPr>
      <w:pBdr>
        <w:bottom w:val="single" w:sz="6" w:space="4" w:color="14B8A6"/>
      </w:pBdr>
      <w:jc w:val="right"/>
    </w:pPr>
    <w:r>
      <w:rPr>
        <w:color w:val="94A3B8"/>
        <w:sz w:val="16"/>
        <w:szCs w:val="16"/>
      </w:rPr>
      <w:t>BRADFORD VTS TEACHING AIDS JUNE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22D0C"/>
    <w:multiLevelType w:val="hybridMultilevel"/>
    <w:tmpl w:val="A7EA4638"/>
    <w:lvl w:ilvl="0" w:tplc="2C227062">
      <w:start w:val="1"/>
      <w:numFmt w:val="bullet"/>
      <w:lvlText w:val="–"/>
      <w:lvlJc w:val="left"/>
      <w:pPr>
        <w:ind w:left="560" w:hanging="280"/>
      </w:pPr>
    </w:lvl>
    <w:lvl w:ilvl="1" w:tplc="D2268222">
      <w:numFmt w:val="decimal"/>
      <w:lvlText w:val=""/>
      <w:lvlJc w:val="left"/>
    </w:lvl>
    <w:lvl w:ilvl="2" w:tplc="CE0E75D4">
      <w:numFmt w:val="decimal"/>
      <w:lvlText w:val=""/>
      <w:lvlJc w:val="left"/>
    </w:lvl>
    <w:lvl w:ilvl="3" w:tplc="B810EA1A">
      <w:numFmt w:val="decimal"/>
      <w:lvlText w:val=""/>
      <w:lvlJc w:val="left"/>
    </w:lvl>
    <w:lvl w:ilvl="4" w:tplc="6B922FB6">
      <w:numFmt w:val="decimal"/>
      <w:lvlText w:val=""/>
      <w:lvlJc w:val="left"/>
    </w:lvl>
    <w:lvl w:ilvl="5" w:tplc="E98C33A8">
      <w:numFmt w:val="decimal"/>
      <w:lvlText w:val=""/>
      <w:lvlJc w:val="left"/>
    </w:lvl>
    <w:lvl w:ilvl="6" w:tplc="1DB4F904">
      <w:numFmt w:val="decimal"/>
      <w:lvlText w:val=""/>
      <w:lvlJc w:val="left"/>
    </w:lvl>
    <w:lvl w:ilvl="7" w:tplc="C08A008E">
      <w:numFmt w:val="decimal"/>
      <w:lvlText w:val=""/>
      <w:lvlJc w:val="left"/>
    </w:lvl>
    <w:lvl w:ilvl="8" w:tplc="A35437BE">
      <w:numFmt w:val="decimal"/>
      <w:lvlText w:val=""/>
      <w:lvlJc w:val="left"/>
    </w:lvl>
  </w:abstractNum>
  <w:abstractNum w:abstractNumId="1" w15:restartNumberingAfterBreak="0">
    <w:nsid w:val="3C717735"/>
    <w:multiLevelType w:val="hybridMultilevel"/>
    <w:tmpl w:val="DCA2B94C"/>
    <w:lvl w:ilvl="0" w:tplc="14F8C2A2">
      <w:start w:val="1"/>
      <w:numFmt w:val="decimal"/>
      <w:lvlText w:val="%1."/>
      <w:lvlJc w:val="left"/>
      <w:pPr>
        <w:ind w:left="560" w:hanging="280"/>
      </w:pPr>
    </w:lvl>
    <w:lvl w:ilvl="1" w:tplc="47AC1006">
      <w:numFmt w:val="decimal"/>
      <w:lvlText w:val=""/>
      <w:lvlJc w:val="left"/>
    </w:lvl>
    <w:lvl w:ilvl="2" w:tplc="25CC4D92">
      <w:numFmt w:val="decimal"/>
      <w:lvlText w:val=""/>
      <w:lvlJc w:val="left"/>
    </w:lvl>
    <w:lvl w:ilvl="3" w:tplc="537087FE">
      <w:numFmt w:val="decimal"/>
      <w:lvlText w:val=""/>
      <w:lvlJc w:val="left"/>
    </w:lvl>
    <w:lvl w:ilvl="4" w:tplc="98B85700">
      <w:numFmt w:val="decimal"/>
      <w:lvlText w:val=""/>
      <w:lvlJc w:val="left"/>
    </w:lvl>
    <w:lvl w:ilvl="5" w:tplc="1534E488">
      <w:numFmt w:val="decimal"/>
      <w:lvlText w:val=""/>
      <w:lvlJc w:val="left"/>
    </w:lvl>
    <w:lvl w:ilvl="6" w:tplc="D4346B10">
      <w:numFmt w:val="decimal"/>
      <w:lvlText w:val=""/>
      <w:lvlJc w:val="left"/>
    </w:lvl>
    <w:lvl w:ilvl="7" w:tplc="B4BC212C">
      <w:numFmt w:val="decimal"/>
      <w:lvlText w:val=""/>
      <w:lvlJc w:val="left"/>
    </w:lvl>
    <w:lvl w:ilvl="8" w:tplc="1FD0FA5E">
      <w:numFmt w:val="decimal"/>
      <w:lvlText w:val=""/>
      <w:lvlJc w:val="left"/>
    </w:lvl>
  </w:abstractNum>
  <w:abstractNum w:abstractNumId="2" w15:restartNumberingAfterBreak="0">
    <w:nsid w:val="4EE02354"/>
    <w:multiLevelType w:val="hybridMultilevel"/>
    <w:tmpl w:val="0AD84A36"/>
    <w:lvl w:ilvl="0" w:tplc="725A5364">
      <w:start w:val="1"/>
      <w:numFmt w:val="bullet"/>
      <w:lvlText w:val="●"/>
      <w:lvlJc w:val="left"/>
      <w:pPr>
        <w:ind w:left="720" w:hanging="360"/>
      </w:pPr>
    </w:lvl>
    <w:lvl w:ilvl="1" w:tplc="92A0B2BC">
      <w:start w:val="1"/>
      <w:numFmt w:val="bullet"/>
      <w:lvlText w:val="○"/>
      <w:lvlJc w:val="left"/>
      <w:pPr>
        <w:ind w:left="1440" w:hanging="360"/>
      </w:pPr>
    </w:lvl>
    <w:lvl w:ilvl="2" w:tplc="5A48E2D2">
      <w:start w:val="1"/>
      <w:numFmt w:val="bullet"/>
      <w:lvlText w:val="■"/>
      <w:lvlJc w:val="left"/>
      <w:pPr>
        <w:ind w:left="2160" w:hanging="360"/>
      </w:pPr>
    </w:lvl>
    <w:lvl w:ilvl="3" w:tplc="11203D48">
      <w:start w:val="1"/>
      <w:numFmt w:val="bullet"/>
      <w:lvlText w:val="●"/>
      <w:lvlJc w:val="left"/>
      <w:pPr>
        <w:ind w:left="2880" w:hanging="360"/>
      </w:pPr>
    </w:lvl>
    <w:lvl w:ilvl="4" w:tplc="6DE2FCF6">
      <w:start w:val="1"/>
      <w:numFmt w:val="bullet"/>
      <w:lvlText w:val="○"/>
      <w:lvlJc w:val="left"/>
      <w:pPr>
        <w:ind w:left="3600" w:hanging="360"/>
      </w:pPr>
    </w:lvl>
    <w:lvl w:ilvl="5" w:tplc="299CCDC8">
      <w:start w:val="1"/>
      <w:numFmt w:val="bullet"/>
      <w:lvlText w:val="■"/>
      <w:lvlJc w:val="left"/>
      <w:pPr>
        <w:ind w:left="4320" w:hanging="360"/>
      </w:pPr>
    </w:lvl>
    <w:lvl w:ilvl="6" w:tplc="2206C9DC">
      <w:start w:val="1"/>
      <w:numFmt w:val="bullet"/>
      <w:lvlText w:val="●"/>
      <w:lvlJc w:val="left"/>
      <w:pPr>
        <w:ind w:left="5040" w:hanging="360"/>
      </w:pPr>
    </w:lvl>
    <w:lvl w:ilvl="7" w:tplc="A878882A">
      <w:start w:val="1"/>
      <w:numFmt w:val="bullet"/>
      <w:lvlText w:val="●"/>
      <w:lvlJc w:val="left"/>
      <w:pPr>
        <w:ind w:left="5760" w:hanging="360"/>
      </w:pPr>
    </w:lvl>
    <w:lvl w:ilvl="8" w:tplc="4FC6DAFE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6EBC6A41"/>
    <w:multiLevelType w:val="hybridMultilevel"/>
    <w:tmpl w:val="3B266EBC"/>
    <w:lvl w:ilvl="0" w:tplc="922AD09A">
      <w:start w:val="1"/>
      <w:numFmt w:val="bullet"/>
      <w:lvlText w:val="•"/>
      <w:lvlJc w:val="left"/>
      <w:pPr>
        <w:ind w:left="560" w:hanging="280"/>
      </w:pPr>
    </w:lvl>
    <w:lvl w:ilvl="1" w:tplc="2A463D62">
      <w:numFmt w:val="decimal"/>
      <w:lvlText w:val=""/>
      <w:lvlJc w:val="left"/>
    </w:lvl>
    <w:lvl w:ilvl="2" w:tplc="351AB464">
      <w:numFmt w:val="decimal"/>
      <w:lvlText w:val=""/>
      <w:lvlJc w:val="left"/>
    </w:lvl>
    <w:lvl w:ilvl="3" w:tplc="D92614CA">
      <w:numFmt w:val="decimal"/>
      <w:lvlText w:val=""/>
      <w:lvlJc w:val="left"/>
    </w:lvl>
    <w:lvl w:ilvl="4" w:tplc="037274C0">
      <w:numFmt w:val="decimal"/>
      <w:lvlText w:val=""/>
      <w:lvlJc w:val="left"/>
    </w:lvl>
    <w:lvl w:ilvl="5" w:tplc="5AE09B00">
      <w:numFmt w:val="decimal"/>
      <w:lvlText w:val=""/>
      <w:lvlJc w:val="left"/>
    </w:lvl>
    <w:lvl w:ilvl="6" w:tplc="C2C6A72C">
      <w:numFmt w:val="decimal"/>
      <w:lvlText w:val=""/>
      <w:lvlJc w:val="left"/>
    </w:lvl>
    <w:lvl w:ilvl="7" w:tplc="EF42400C">
      <w:numFmt w:val="decimal"/>
      <w:lvlText w:val=""/>
      <w:lvlJc w:val="left"/>
    </w:lvl>
    <w:lvl w:ilvl="8" w:tplc="7968FEC6">
      <w:numFmt w:val="decimal"/>
      <w:lvlText w:val=""/>
      <w:lvlJc w:val="left"/>
    </w:lvl>
  </w:abstractNum>
  <w:num w:numId="1" w16cid:durableId="1163279235">
    <w:abstractNumId w:val="2"/>
    <w:lvlOverride w:ilvl="0">
      <w:startOverride w:val="1"/>
    </w:lvlOverride>
  </w:num>
  <w:num w:numId="2" w16cid:durableId="44569979">
    <w:abstractNumId w:val="3"/>
    <w:lvlOverride w:ilvl="0">
      <w:startOverride w:val="1"/>
    </w:lvlOverride>
  </w:num>
  <w:num w:numId="3" w16cid:durableId="276184915">
    <w:abstractNumId w:val="1"/>
    <w:lvlOverride w:ilvl="0">
      <w:startOverride w:val="1"/>
    </w:lvlOverride>
  </w:num>
  <w:num w:numId="4" w16cid:durableId="5023993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672"/>
    <w:rsid w:val="001D60AA"/>
    <w:rsid w:val="005B632C"/>
    <w:rsid w:val="00924672"/>
    <w:rsid w:val="00B337AB"/>
    <w:rsid w:val="00CB2AAA"/>
    <w:rsid w:val="00E0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AC597"/>
  <w15:docId w15:val="{59184A74-1F4E-4469-AC9D-87DC5D4CA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222B33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keepNext/>
      <w:spacing w:before="240" w:after="160"/>
      <w:outlineLvl w:val="0"/>
    </w:pPr>
    <w:rPr>
      <w:b/>
      <w:bCs/>
      <w:color w:val="1C2B35"/>
      <w:sz w:val="34"/>
      <w:szCs w:val="34"/>
    </w:rPr>
  </w:style>
  <w:style w:type="paragraph" w:styleId="Heading2">
    <w:name w:val="heading 2"/>
    <w:uiPriority w:val="9"/>
    <w:unhideWhenUsed/>
    <w:qFormat/>
    <w:pPr>
      <w:keepNext/>
      <w:spacing w:before="200" w:after="100"/>
      <w:outlineLvl w:val="1"/>
    </w:pPr>
    <w:rPr>
      <w:b/>
      <w:bCs/>
      <w:color w:val="0F766E"/>
      <w:sz w:val="27"/>
      <w:szCs w:val="27"/>
    </w:rPr>
  </w:style>
  <w:style w:type="paragraph" w:styleId="Heading3">
    <w:name w:val="heading 3"/>
    <w:uiPriority w:val="9"/>
    <w:unhideWhenUsed/>
    <w:qFormat/>
    <w:pPr>
      <w:keepNext/>
      <w:spacing w:before="140" w:after="60"/>
      <w:outlineLvl w:val="2"/>
    </w:pPr>
    <w:rPr>
      <w:b/>
      <w:bCs/>
      <w:color w:val="1C2B35"/>
      <w:sz w:val="23"/>
      <w:szCs w:val="23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B2AA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01E3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1E3B"/>
  </w:style>
  <w:style w:type="paragraph" w:styleId="Footer">
    <w:name w:val="footer"/>
    <w:basedOn w:val="Normal"/>
    <w:link w:val="FooterChar"/>
    <w:uiPriority w:val="99"/>
    <w:unhideWhenUsed/>
    <w:rsid w:val="00E01E3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1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649</Words>
  <Characters>3700</Characters>
  <Application>Microsoft Office Word</Application>
  <DocSecurity>0</DocSecurity>
  <Lines>30</Lines>
  <Paragraphs>8</Paragraphs>
  <ScaleCrop>false</ScaleCrop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Endocrinology - Lecture Notes</dc:title>
  <dc:creator>Bradford VTS</dc:creator>
  <cp:lastModifiedBy>Ramesh Mehay</cp:lastModifiedBy>
  <cp:revision>2</cp:revision>
  <dcterms:created xsi:type="dcterms:W3CDTF">2026-06-05T12:40:00Z</dcterms:created>
  <dcterms:modified xsi:type="dcterms:W3CDTF">2026-06-05T12:40:00Z</dcterms:modified>
</cp:coreProperties>
</file>