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869"/>
      </w:tblGrid>
      <w:tr w:rsidR="00DF6EF3" w14:paraId="01FC124C" w14:textId="77777777">
        <w:tc>
          <w:tcPr>
            <w:tcW w:w="9869" w:type="dxa"/>
            <w:shd w:val="clear" w:color="auto" w:fill="E0651F"/>
          </w:tcPr>
          <w:p w14:paraId="4497097B" w14:textId="77777777" w:rsidR="00DF6EF3" w:rsidRDefault="00000000">
            <w:pPr>
              <w:spacing w:before="280" w:after="80"/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BRADFORD VTS TEACHING AIDS</w:t>
            </w:r>
          </w:p>
          <w:p w14:paraId="715381D5" w14:textId="77777777" w:rsidR="00DF6EF3" w:rsidRDefault="00000000">
            <w:pPr>
              <w:spacing w:before="80" w:after="120"/>
              <w:jc w:val="center"/>
            </w:pPr>
            <w:r>
              <w:rPr>
                <w:rFonts w:ascii="Calibri" w:hAnsi="Calibri"/>
                <w:b/>
                <w:color w:val="FFFFFF"/>
                <w:sz w:val="56"/>
              </w:rPr>
              <w:t>Vitamin D Deficiency in Adults</w:t>
            </w:r>
          </w:p>
          <w:p w14:paraId="2BA8B387" w14:textId="77777777" w:rsidR="00DF6EF3" w:rsidRDefault="00000000">
            <w:pPr>
              <w:spacing w:before="40" w:after="280"/>
              <w:jc w:val="center"/>
            </w:pPr>
            <w:r>
              <w:rPr>
                <w:rFonts w:ascii="Calibri" w:hAnsi="Calibri"/>
                <w:i/>
                <w:color w:val="FFFFFF"/>
                <w:sz w:val="26"/>
              </w:rPr>
              <w:t>GP Quick Reference Handout  ·  Bradford VTS  ·  May 2026</w:t>
            </w:r>
          </w:p>
        </w:tc>
      </w:tr>
    </w:tbl>
    <w:p w14:paraId="3E568F54" w14:textId="77777777" w:rsidR="00DF6EF3" w:rsidRDefault="00DF6EF3"/>
    <w:p w14:paraId="19C55952" w14:textId="77777777" w:rsidR="00DF6EF3" w:rsidRDefault="00000000">
      <w:pPr>
        <w:spacing w:after="80"/>
        <w:jc w:val="center"/>
      </w:pPr>
      <w:r>
        <w:rPr>
          <w:noProof/>
        </w:rPr>
        <w:drawing>
          <wp:inline distT="0" distB="0" distL="0" distR="0" wp14:anchorId="678CF243" wp14:editId="2536E496">
            <wp:extent cx="5029200" cy="3352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d_hero_1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05410" w14:textId="77777777" w:rsidR="00DF6EF3" w:rsidRDefault="00000000">
      <w:pPr>
        <w:spacing w:before="40" w:after="160"/>
        <w:jc w:val="center"/>
      </w:pPr>
      <w:r>
        <w:rPr>
          <w:rFonts w:ascii="Calibri" w:hAnsi="Calibri"/>
          <w:i/>
          <w:color w:val="555555"/>
          <w:sz w:val="18"/>
        </w:rPr>
        <w:t>Vitamin D supplementation — a cornerstone of preventive care in UK general practice</w:t>
      </w:r>
    </w:p>
    <w:p w14:paraId="7EA5C945" w14:textId="77777777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t>1. Overview &amp; Prevalence</w:t>
      </w:r>
    </w:p>
    <w:p w14:paraId="392745A4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&gt;50% of UK adults have insufficient vitamin D during winter/spring</w:t>
      </w:r>
    </w:p>
    <w:p w14:paraId="32A77BDF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Vitamin D deficiency is one of the most common nutritional deficiencies in UK primary care</w:t>
      </w:r>
    </w:p>
    <w:p w14:paraId="5E47E4F0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Bradford/Yorkshire: high rates in South Asian, African-Caribbean communities — darker skin needs more UVB</w:t>
      </w:r>
    </w:p>
    <w:p w14:paraId="0726BD9B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Consequences: osteomalacia, osteoporosis, fractures, falls, proximal myopathy</w:t>
      </w:r>
    </w:p>
    <w:p w14:paraId="7444A4CB" w14:textId="77777777" w:rsidR="00DF6EF3" w:rsidRDefault="00000000">
      <w:pPr>
        <w:spacing w:before="120" w:after="40"/>
      </w:pPr>
      <w:r>
        <w:rPr>
          <w:rFonts w:ascii="Calibri" w:hAnsi="Calibri"/>
          <w:b/>
          <w:color w:val="1F5C9E"/>
          <w:sz w:val="24"/>
        </w:rPr>
        <w:t>Pathophysiology (simplified)</w:t>
      </w:r>
    </w:p>
    <w:p w14:paraId="0872F683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Sunlight (UVB) → skin converts 7-dehydrocholesterol → Vitamin D3 (colecalciferol)</w:t>
      </w:r>
    </w:p>
    <w:p w14:paraId="3D67AF52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Liver: D3 → 25(OH)D [calcidiol] — the MEASURED form in blood tests</w:t>
      </w:r>
    </w:p>
    <w:p w14:paraId="4DBDAB50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Kidney: 25(OH)D → 1,25(OH)₂D [calcitriol] — the ACTIVE form</w:t>
      </w:r>
    </w:p>
    <w:p w14:paraId="006203B1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↓ 25(OH)D → ↑ PTH → secondary hyperparathyroidism → ↑ bone resorption → osteomalacia</w:t>
      </w:r>
    </w:p>
    <w:p w14:paraId="5A681F86" w14:textId="77777777" w:rsidR="00400020" w:rsidRDefault="00400020">
      <w:pPr>
        <w:rPr>
          <w:rFonts w:ascii="Calibri" w:hAnsi="Calibri"/>
          <w:b/>
          <w:color w:val="1A3A6B"/>
          <w:sz w:val="30"/>
        </w:rPr>
      </w:pPr>
      <w:r>
        <w:rPr>
          <w:rFonts w:ascii="Calibri" w:hAnsi="Calibri"/>
          <w:b/>
          <w:color w:val="1A3A6B"/>
          <w:sz w:val="30"/>
        </w:rPr>
        <w:br w:type="page"/>
      </w:r>
    </w:p>
    <w:p w14:paraId="4B3458CB" w14:textId="48DCD1C4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lastRenderedPageBreak/>
        <w:t>2. Who is at Risk? (NICE CKS 2022)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4"/>
      </w:tblGrid>
      <w:tr w:rsidR="00DF6EF3" w14:paraId="77DD74CB" w14:textId="77777777">
        <w:tc>
          <w:tcPr>
            <w:tcW w:w="9504" w:type="dxa"/>
            <w:shd w:val="clear" w:color="auto" w:fill="E8F0FB"/>
          </w:tcPr>
          <w:p w14:paraId="323F4621" w14:textId="77777777" w:rsidR="00DF6EF3" w:rsidRDefault="00000000">
            <w:pPr>
              <w:spacing w:before="80" w:after="40"/>
              <w:ind w:left="113"/>
            </w:pPr>
            <w:r>
              <w:rPr>
                <w:rFonts w:ascii="Calibri" w:hAnsi="Calibri"/>
                <w:b/>
                <w:color w:val="1A3A6B"/>
              </w:rPr>
              <w:t>🔍 HIGH-RISK GROUPS — Know for AKT</w:t>
            </w:r>
          </w:p>
          <w:p w14:paraId="407234CF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Reduced sun exposure: housebound, institutionalised, covering clothing (niqab/burqa), high SPF use year-round</w:t>
            </w:r>
          </w:p>
          <w:p w14:paraId="7860B459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Darker skin pigmentation (South Asian, African, African-Caribbean, Middle Eastern)</w:t>
            </w:r>
          </w:p>
          <w:p w14:paraId="30F3C1A7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Age ≥65 years — skin synthesis ×4 less efficient</w:t>
            </w:r>
          </w:p>
          <w:p w14:paraId="1258FF4F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Pregnancy and breastfeeding</w:t>
            </w:r>
          </w:p>
          <w:p w14:paraId="7B4732CB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Malabsorption syndromes: coeliac, Crohn's, gastric bypass, short bowel, gastrectomy</w:t>
            </w:r>
          </w:p>
          <w:p w14:paraId="75747F51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Chronic liver disease (↓ 25-hydroxylation) or CKD stage 3b+ (↓ 1α-hydroxylation)</w:t>
            </w:r>
          </w:p>
          <w:p w14:paraId="11454415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Medications: anticonvulsants, rifampicin, long-term steroids, HAART</w:t>
            </w:r>
          </w:p>
          <w:p w14:paraId="2951A4A2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Obesity (BMI &gt;30) — vitamin D sequestered in adipose tissue</w:t>
            </w:r>
          </w:p>
          <w:p w14:paraId="3C25ADDF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Vegetarian/vegan — limited oily fish and eggs</w:t>
            </w:r>
          </w:p>
          <w:p w14:paraId="0C8C27BF" w14:textId="77777777" w:rsidR="00DF6EF3" w:rsidRDefault="00DF6EF3">
            <w:pPr>
              <w:spacing w:before="40"/>
            </w:pPr>
          </w:p>
        </w:tc>
      </w:tr>
    </w:tbl>
    <w:p w14:paraId="05D6889C" w14:textId="77777777" w:rsidR="00DF6EF3" w:rsidRDefault="00DF6EF3"/>
    <w:p w14:paraId="12437BB3" w14:textId="77777777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t>3. Symptoms &amp; Presentation</w:t>
      </w:r>
    </w:p>
    <w:p w14:paraId="41ED5041" w14:textId="77777777" w:rsidR="00DF6EF3" w:rsidRDefault="00000000">
      <w:pPr>
        <w:spacing w:before="120" w:after="40"/>
      </w:pPr>
      <w:r>
        <w:rPr>
          <w:rFonts w:ascii="Calibri" w:hAnsi="Calibri"/>
          <w:b/>
          <w:color w:val="1F5C9E"/>
          <w:sz w:val="24"/>
        </w:rPr>
        <w:t>Insufficiency (25–50 nmol/L)</w:t>
      </w:r>
    </w:p>
    <w:p w14:paraId="482C995E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Often asymptomatic; vague fatigue and musculoskeletal aches</w:t>
      </w:r>
    </w:p>
    <w:p w14:paraId="7204771F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May be labelled fibromyalgia or somatisation — consider checking vitamin D</w:t>
      </w:r>
    </w:p>
    <w:p w14:paraId="305AE782" w14:textId="77777777" w:rsidR="00DF6EF3" w:rsidRDefault="00000000">
      <w:pPr>
        <w:spacing w:before="120" w:after="40"/>
      </w:pPr>
      <w:r>
        <w:rPr>
          <w:rFonts w:ascii="Calibri" w:hAnsi="Calibri"/>
          <w:b/>
          <w:color w:val="1F5C9E"/>
          <w:sz w:val="24"/>
        </w:rPr>
        <w:t>Deficiency (&lt;25 nmol/L)</w:t>
      </w:r>
    </w:p>
    <w:p w14:paraId="2A703AD2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Bone pain: deep, persistent aching — lower back, hips, ribs (classic osteomalacic pattern)</w:t>
      </w:r>
    </w:p>
    <w:p w14:paraId="2E8D66E7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Proximal muscle weakness: difficulty rising from chair, waddling gait</w:t>
      </w:r>
    </w:p>
    <w:p w14:paraId="01B172E1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Statin-induced myopathy worsened by vitamin D deficiency — check 25(OH)D</w:t>
      </w:r>
    </w:p>
    <w:p w14:paraId="0F90D5BE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Fractures: femoral neck, pubic rami, scapula, ribs</w:t>
      </w:r>
    </w:p>
    <w:p w14:paraId="42648FC0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Pseudo-fractures (Looser zones) on X-ray — pathognomonic of osteomalacia</w:t>
      </w:r>
    </w:p>
    <w:p w14:paraId="26EB8C4C" w14:textId="77777777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t>4. Who to Test (NICE CKS 2022)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4"/>
      </w:tblGrid>
      <w:tr w:rsidR="00DF6EF3" w14:paraId="05217925" w14:textId="77777777">
        <w:tc>
          <w:tcPr>
            <w:tcW w:w="9504" w:type="dxa"/>
            <w:shd w:val="clear" w:color="auto" w:fill="FFF3CD"/>
          </w:tcPr>
          <w:p w14:paraId="35720764" w14:textId="77777777" w:rsidR="00DF6EF3" w:rsidRDefault="00000000">
            <w:pPr>
              <w:spacing w:before="80" w:after="40"/>
              <w:ind w:left="113"/>
            </w:pPr>
            <w:r>
              <w:rPr>
                <w:rFonts w:ascii="Calibri" w:hAnsi="Calibri"/>
                <w:b/>
                <w:color w:val="D97C00"/>
              </w:rPr>
              <w:t>⚠ Do NOT routinely screen asymptomatic individuals</w:t>
            </w:r>
          </w:p>
          <w:p w14:paraId="7292619D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Test ONLY when: ≥1 risk factor(s) AND symptomatic (bone pain, proximal muscle weakness)</w:t>
            </w:r>
          </w:p>
          <w:p w14:paraId="74B7BF84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OR clinical suspicion of osteomalacia/osteoporosis</w:t>
            </w:r>
          </w:p>
          <w:p w14:paraId="483B11FB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OR before starting parenteral antiresorptive agents (denosumab, zoledronate)</w:t>
            </w:r>
          </w:p>
          <w:p w14:paraId="1D2D9ABC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Do NOT test for general fatigue or non-specific symptoms alone</w:t>
            </w:r>
          </w:p>
          <w:p w14:paraId="7995DBE2" w14:textId="77777777" w:rsidR="00DF6EF3" w:rsidRDefault="00DF6EF3">
            <w:pPr>
              <w:spacing w:before="40"/>
            </w:pPr>
          </w:p>
        </w:tc>
      </w:tr>
    </w:tbl>
    <w:p w14:paraId="703146A6" w14:textId="77777777" w:rsidR="00DF6EF3" w:rsidRDefault="00DF6EF3"/>
    <w:p w14:paraId="2D702FB7" w14:textId="77777777" w:rsidR="00DF6EF3" w:rsidRDefault="00000000">
      <w:pPr>
        <w:spacing w:before="120" w:after="40"/>
      </w:pPr>
      <w:r>
        <w:rPr>
          <w:rFonts w:ascii="Calibri" w:hAnsi="Calibri"/>
          <w:b/>
          <w:color w:val="1F5C9E"/>
          <w:sz w:val="24"/>
        </w:rPr>
        <w:t>Investigation panel</w:t>
      </w:r>
    </w:p>
    <w:p w14:paraId="43E3380D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25(OH)D [NOT 1,25(OH)₂D — the active form is not the screening test]</w:t>
      </w:r>
    </w:p>
    <w:p w14:paraId="7EEA29E1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Adjusted serum calcium (baseline; exclude hypercalcaemia)</w:t>
      </w:r>
    </w:p>
    <w:p w14:paraId="785590CD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ALP (raised in osteomalacia)</w:t>
      </w:r>
    </w:p>
    <w:p w14:paraId="05A0F041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Phosphate, LFTs, U&amp;Es/eGFR</w:t>
      </w:r>
    </w:p>
    <w:p w14:paraId="0A2D90C2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FBC (anaemia may suggest malabsorption)</w:t>
      </w:r>
    </w:p>
    <w:p w14:paraId="11171D39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Consider: magnesium, TTG antibodies (coeliac), immunoglobulins</w:t>
      </w:r>
    </w:p>
    <w:p w14:paraId="64E09993" w14:textId="77777777" w:rsidR="00400020" w:rsidRDefault="00400020">
      <w:pPr>
        <w:rPr>
          <w:rFonts w:ascii="Calibri" w:hAnsi="Calibri"/>
          <w:b/>
          <w:color w:val="1A3A6B"/>
          <w:sz w:val="30"/>
        </w:rPr>
      </w:pPr>
      <w:r>
        <w:rPr>
          <w:rFonts w:ascii="Calibri" w:hAnsi="Calibri"/>
          <w:b/>
          <w:color w:val="1A3A6B"/>
          <w:sz w:val="30"/>
        </w:rPr>
        <w:br w:type="page"/>
      </w:r>
    </w:p>
    <w:p w14:paraId="3EC8D6C5" w14:textId="3810502D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lastRenderedPageBreak/>
        <w:t>5. Interpreting Results (SACN 2016 / NICE CKS 2022)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0"/>
        <w:gridCol w:w="3290"/>
        <w:gridCol w:w="3290"/>
      </w:tblGrid>
      <w:tr w:rsidR="00DF6EF3" w14:paraId="7271D1D1" w14:textId="77777777">
        <w:tc>
          <w:tcPr>
            <w:tcW w:w="3290" w:type="dxa"/>
            <w:shd w:val="clear" w:color="auto" w:fill="DFEAF7"/>
          </w:tcPr>
          <w:p w14:paraId="39E40CD9" w14:textId="77777777" w:rsidR="00DF6EF3" w:rsidRDefault="00000000">
            <w:r>
              <w:rPr>
                <w:rFonts w:ascii="Calibri" w:hAnsi="Calibri"/>
                <w:b/>
                <w:color w:val="1A3A6B"/>
                <w:sz w:val="20"/>
              </w:rPr>
              <w:t>Serum 25(OH)D</w:t>
            </w:r>
          </w:p>
        </w:tc>
        <w:tc>
          <w:tcPr>
            <w:tcW w:w="3290" w:type="dxa"/>
            <w:shd w:val="clear" w:color="auto" w:fill="DFEAF7"/>
          </w:tcPr>
          <w:p w14:paraId="7CCDAD08" w14:textId="77777777" w:rsidR="00DF6EF3" w:rsidRDefault="00000000">
            <w:r>
              <w:rPr>
                <w:rFonts w:ascii="Calibri" w:hAnsi="Calibri"/>
                <w:b/>
                <w:color w:val="1A3A6B"/>
                <w:sz w:val="20"/>
              </w:rPr>
              <w:t>Status</w:t>
            </w:r>
          </w:p>
        </w:tc>
        <w:tc>
          <w:tcPr>
            <w:tcW w:w="3290" w:type="dxa"/>
            <w:shd w:val="clear" w:color="auto" w:fill="DFEAF7"/>
          </w:tcPr>
          <w:p w14:paraId="797401B1" w14:textId="77777777" w:rsidR="00DF6EF3" w:rsidRDefault="00000000">
            <w:r>
              <w:rPr>
                <w:rFonts w:ascii="Calibri" w:hAnsi="Calibri"/>
                <w:b/>
                <w:color w:val="1A3A6B"/>
                <w:sz w:val="20"/>
              </w:rPr>
              <w:t>Action</w:t>
            </w:r>
          </w:p>
        </w:tc>
      </w:tr>
      <w:tr w:rsidR="00DF6EF3" w14:paraId="7FC42105" w14:textId="77777777">
        <w:tc>
          <w:tcPr>
            <w:tcW w:w="3290" w:type="dxa"/>
            <w:shd w:val="clear" w:color="auto" w:fill="FFFFFF"/>
          </w:tcPr>
          <w:p w14:paraId="138B3C22" w14:textId="77777777" w:rsidR="00DF6EF3" w:rsidRDefault="00000000">
            <w:r>
              <w:rPr>
                <w:rFonts w:ascii="Calibri" w:hAnsi="Calibri"/>
                <w:sz w:val="19"/>
              </w:rPr>
              <w:t>&lt;25 nmol/L</w:t>
            </w:r>
          </w:p>
        </w:tc>
        <w:tc>
          <w:tcPr>
            <w:tcW w:w="3290" w:type="dxa"/>
            <w:shd w:val="clear" w:color="auto" w:fill="FFFFFF"/>
          </w:tcPr>
          <w:p w14:paraId="5F8EABE8" w14:textId="77777777" w:rsidR="00DF6EF3" w:rsidRDefault="00000000">
            <w:r>
              <w:rPr>
                <w:rFonts w:ascii="Calibri" w:hAnsi="Calibri"/>
                <w:sz w:val="19"/>
              </w:rPr>
              <w:t>⚠ DEFICIENCY</w:t>
            </w:r>
          </w:p>
        </w:tc>
        <w:tc>
          <w:tcPr>
            <w:tcW w:w="3290" w:type="dxa"/>
            <w:shd w:val="clear" w:color="auto" w:fill="FFFFFF"/>
          </w:tcPr>
          <w:p w14:paraId="7F65CF06" w14:textId="77777777" w:rsidR="00DF6EF3" w:rsidRDefault="00000000">
            <w:r>
              <w:rPr>
                <w:rFonts w:ascii="Calibri" w:hAnsi="Calibri"/>
                <w:sz w:val="19"/>
              </w:rPr>
              <w:t>Loading dose colecalciferol — see Section 6</w:t>
            </w:r>
          </w:p>
        </w:tc>
      </w:tr>
      <w:tr w:rsidR="00DF6EF3" w14:paraId="788BFF6F" w14:textId="77777777">
        <w:tc>
          <w:tcPr>
            <w:tcW w:w="3290" w:type="dxa"/>
            <w:shd w:val="clear" w:color="auto" w:fill="F5F5F5"/>
          </w:tcPr>
          <w:p w14:paraId="2233C929" w14:textId="77777777" w:rsidR="00DF6EF3" w:rsidRDefault="00000000">
            <w:r>
              <w:rPr>
                <w:rFonts w:ascii="Calibri" w:hAnsi="Calibri"/>
                <w:sz w:val="19"/>
              </w:rPr>
              <w:t>25–50 nmol/L</w:t>
            </w:r>
          </w:p>
        </w:tc>
        <w:tc>
          <w:tcPr>
            <w:tcW w:w="3290" w:type="dxa"/>
            <w:shd w:val="clear" w:color="auto" w:fill="F5F5F5"/>
          </w:tcPr>
          <w:p w14:paraId="37B8E59D" w14:textId="77777777" w:rsidR="00DF6EF3" w:rsidRDefault="00000000">
            <w:r>
              <w:rPr>
                <w:rFonts w:ascii="Calibri" w:hAnsi="Calibri"/>
                <w:sz w:val="19"/>
              </w:rPr>
              <w:t>INSUFFICIENCY</w:t>
            </w:r>
          </w:p>
        </w:tc>
        <w:tc>
          <w:tcPr>
            <w:tcW w:w="3290" w:type="dxa"/>
            <w:shd w:val="clear" w:color="auto" w:fill="F5F5F5"/>
          </w:tcPr>
          <w:p w14:paraId="4B4D88F5" w14:textId="77777777" w:rsidR="00DF6EF3" w:rsidRDefault="00000000">
            <w:r>
              <w:rPr>
                <w:rFonts w:ascii="Calibri" w:hAnsi="Calibri"/>
                <w:sz w:val="19"/>
              </w:rPr>
              <w:t>OTC supplementation; loading dose if symptomatic or high-risk</w:t>
            </w:r>
          </w:p>
        </w:tc>
      </w:tr>
      <w:tr w:rsidR="00DF6EF3" w14:paraId="46903B4B" w14:textId="77777777">
        <w:tc>
          <w:tcPr>
            <w:tcW w:w="3290" w:type="dxa"/>
            <w:shd w:val="clear" w:color="auto" w:fill="FFFFFF"/>
          </w:tcPr>
          <w:p w14:paraId="2DD33CC3" w14:textId="77777777" w:rsidR="00DF6EF3" w:rsidRDefault="00000000">
            <w:r>
              <w:rPr>
                <w:rFonts w:ascii="Calibri" w:hAnsi="Calibri"/>
                <w:sz w:val="19"/>
              </w:rPr>
              <w:t>&gt;50 nmol/L</w:t>
            </w:r>
          </w:p>
        </w:tc>
        <w:tc>
          <w:tcPr>
            <w:tcW w:w="3290" w:type="dxa"/>
            <w:shd w:val="clear" w:color="auto" w:fill="FFFFFF"/>
          </w:tcPr>
          <w:p w14:paraId="1BCECD00" w14:textId="77777777" w:rsidR="00DF6EF3" w:rsidRDefault="00000000">
            <w:r>
              <w:rPr>
                <w:rFonts w:ascii="Calibri" w:hAnsi="Calibri"/>
                <w:sz w:val="19"/>
              </w:rPr>
              <w:t>ADEQUATE</w:t>
            </w:r>
          </w:p>
        </w:tc>
        <w:tc>
          <w:tcPr>
            <w:tcW w:w="3290" w:type="dxa"/>
            <w:shd w:val="clear" w:color="auto" w:fill="FFFFFF"/>
          </w:tcPr>
          <w:p w14:paraId="679B2967" w14:textId="77777777" w:rsidR="00DF6EF3" w:rsidRDefault="00000000">
            <w:r>
              <w:rPr>
                <w:rFonts w:ascii="Calibri" w:hAnsi="Calibri"/>
                <w:sz w:val="19"/>
              </w:rPr>
              <w:t>No treatment; advise universal Oct–Mar supplementation</w:t>
            </w:r>
          </w:p>
        </w:tc>
      </w:tr>
    </w:tbl>
    <w:p w14:paraId="263F9526" w14:textId="77777777" w:rsidR="00DF6EF3" w:rsidRDefault="00DF6EF3"/>
    <w:p w14:paraId="7CCA0553" w14:textId="77777777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t>6. Treatment — Loading Dose (BNF 2024, NICE CKS 2022)</w:t>
      </w:r>
    </w:p>
    <w:p w14:paraId="6D3B397C" w14:textId="77777777" w:rsidR="00DF6EF3" w:rsidRDefault="00000000">
      <w:pPr>
        <w:spacing w:before="120" w:after="40"/>
      </w:pPr>
      <w:r>
        <w:rPr>
          <w:rFonts w:ascii="Calibri" w:hAnsi="Calibri"/>
          <w:b/>
          <w:color w:val="1F5C9E"/>
          <w:sz w:val="24"/>
        </w:rPr>
        <w:t>For deficiency (&lt;25 nmol/L) — Colecalciferol loading</w:t>
      </w:r>
    </w:p>
    <w:p w14:paraId="27A45D9F" w14:textId="70E4E0EE" w:rsidR="00DF6EF3" w:rsidRDefault="00000000" w:rsidP="00400020">
      <w:pPr>
        <w:spacing w:before="40" w:after="40"/>
      </w:pPr>
      <w:r>
        <w:rPr>
          <w:rFonts w:ascii="Calibri" w:hAnsi="Calibri"/>
          <w:color w:val="000000"/>
        </w:rPr>
        <w:t xml:space="preserve">Total loading dose: 300,000 IU </w:t>
      </w:r>
      <w:proofErr w:type="spellStart"/>
      <w:r>
        <w:rPr>
          <w:rFonts w:ascii="Calibri" w:hAnsi="Calibri"/>
          <w:color w:val="000000"/>
        </w:rPr>
        <w:t>colecalciferol</w:t>
      </w:r>
      <w:proofErr w:type="spellEnd"/>
      <w:r>
        <w:rPr>
          <w:rFonts w:ascii="Calibri" w:hAnsi="Calibri"/>
          <w:color w:val="000000"/>
        </w:rPr>
        <w:t xml:space="preserve"> over 6–10 weeks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7"/>
        <w:gridCol w:w="2467"/>
        <w:gridCol w:w="2467"/>
        <w:gridCol w:w="2467"/>
      </w:tblGrid>
      <w:tr w:rsidR="00DF6EF3" w14:paraId="4E997529" w14:textId="77777777">
        <w:tc>
          <w:tcPr>
            <w:tcW w:w="2467" w:type="dxa"/>
            <w:shd w:val="clear" w:color="auto" w:fill="DFEAF7"/>
          </w:tcPr>
          <w:p w14:paraId="67A868BD" w14:textId="77777777" w:rsidR="00DF6EF3" w:rsidRDefault="00000000">
            <w:r>
              <w:rPr>
                <w:rFonts w:ascii="Calibri" w:hAnsi="Calibri"/>
                <w:b/>
                <w:color w:val="1A3A6B"/>
                <w:sz w:val="20"/>
              </w:rPr>
              <w:t>Regimen</w:t>
            </w:r>
          </w:p>
        </w:tc>
        <w:tc>
          <w:tcPr>
            <w:tcW w:w="2467" w:type="dxa"/>
            <w:shd w:val="clear" w:color="auto" w:fill="DFEAF7"/>
          </w:tcPr>
          <w:p w14:paraId="42C6FB8B" w14:textId="77777777" w:rsidR="00DF6EF3" w:rsidRDefault="00000000">
            <w:r>
              <w:rPr>
                <w:rFonts w:ascii="Calibri" w:hAnsi="Calibri"/>
                <w:b/>
                <w:color w:val="1A3A6B"/>
                <w:sz w:val="20"/>
              </w:rPr>
              <w:t>Dose</w:t>
            </w:r>
          </w:p>
        </w:tc>
        <w:tc>
          <w:tcPr>
            <w:tcW w:w="2467" w:type="dxa"/>
            <w:shd w:val="clear" w:color="auto" w:fill="DFEAF7"/>
          </w:tcPr>
          <w:p w14:paraId="66ACD803" w14:textId="77777777" w:rsidR="00DF6EF3" w:rsidRDefault="00000000">
            <w:r>
              <w:rPr>
                <w:rFonts w:ascii="Calibri" w:hAnsi="Calibri"/>
                <w:b/>
                <w:color w:val="1A3A6B"/>
                <w:sz w:val="20"/>
              </w:rPr>
              <w:t>Duration</w:t>
            </w:r>
          </w:p>
        </w:tc>
        <w:tc>
          <w:tcPr>
            <w:tcW w:w="2467" w:type="dxa"/>
            <w:shd w:val="clear" w:color="auto" w:fill="DFEAF7"/>
          </w:tcPr>
          <w:p w14:paraId="0FE7E719" w14:textId="77777777" w:rsidR="00DF6EF3" w:rsidRDefault="00000000">
            <w:r>
              <w:rPr>
                <w:rFonts w:ascii="Calibri" w:hAnsi="Calibri"/>
                <w:b/>
                <w:color w:val="1A3A6B"/>
                <w:sz w:val="20"/>
              </w:rPr>
              <w:t>Total</w:t>
            </w:r>
          </w:p>
        </w:tc>
      </w:tr>
      <w:tr w:rsidR="00DF6EF3" w14:paraId="3E12E9EC" w14:textId="77777777">
        <w:tc>
          <w:tcPr>
            <w:tcW w:w="2467" w:type="dxa"/>
            <w:shd w:val="clear" w:color="auto" w:fill="FFFFFF"/>
          </w:tcPr>
          <w:p w14:paraId="70307FE1" w14:textId="77777777" w:rsidR="00DF6EF3" w:rsidRDefault="00000000">
            <w:r>
              <w:rPr>
                <w:rFonts w:ascii="Calibri" w:hAnsi="Calibri"/>
                <w:sz w:val="19"/>
              </w:rPr>
              <w:t>Preferred (Regimen A)</w:t>
            </w:r>
          </w:p>
        </w:tc>
        <w:tc>
          <w:tcPr>
            <w:tcW w:w="2467" w:type="dxa"/>
            <w:shd w:val="clear" w:color="auto" w:fill="FFFFFF"/>
          </w:tcPr>
          <w:p w14:paraId="0FA6E0B7" w14:textId="77777777" w:rsidR="00DF6EF3" w:rsidRDefault="00000000">
            <w:r>
              <w:rPr>
                <w:rFonts w:ascii="Calibri" w:hAnsi="Calibri"/>
                <w:sz w:val="19"/>
              </w:rPr>
              <w:t>50,000 IU once weekly</w:t>
            </w:r>
          </w:p>
        </w:tc>
        <w:tc>
          <w:tcPr>
            <w:tcW w:w="2467" w:type="dxa"/>
            <w:shd w:val="clear" w:color="auto" w:fill="FFFFFF"/>
          </w:tcPr>
          <w:p w14:paraId="10077745" w14:textId="77777777" w:rsidR="00DF6EF3" w:rsidRDefault="00000000">
            <w:r>
              <w:rPr>
                <w:rFonts w:ascii="Calibri" w:hAnsi="Calibri"/>
                <w:sz w:val="19"/>
              </w:rPr>
              <w:t>6 weeks</w:t>
            </w:r>
          </w:p>
        </w:tc>
        <w:tc>
          <w:tcPr>
            <w:tcW w:w="2467" w:type="dxa"/>
            <w:shd w:val="clear" w:color="auto" w:fill="FFFFFF"/>
          </w:tcPr>
          <w:p w14:paraId="09773AAE" w14:textId="77777777" w:rsidR="00DF6EF3" w:rsidRDefault="00000000">
            <w:r>
              <w:rPr>
                <w:rFonts w:ascii="Calibri" w:hAnsi="Calibri"/>
                <w:sz w:val="19"/>
              </w:rPr>
              <w:t>300,000 IU</w:t>
            </w:r>
          </w:p>
        </w:tc>
      </w:tr>
      <w:tr w:rsidR="00DF6EF3" w14:paraId="1DB65651" w14:textId="77777777">
        <w:tc>
          <w:tcPr>
            <w:tcW w:w="2467" w:type="dxa"/>
            <w:shd w:val="clear" w:color="auto" w:fill="F5F5F5"/>
          </w:tcPr>
          <w:p w14:paraId="76A4CBDD" w14:textId="77777777" w:rsidR="00DF6EF3" w:rsidRDefault="00000000">
            <w:r>
              <w:rPr>
                <w:rFonts w:ascii="Calibri" w:hAnsi="Calibri"/>
                <w:sz w:val="19"/>
              </w:rPr>
              <w:t>Alternative (Regimen B)</w:t>
            </w:r>
          </w:p>
        </w:tc>
        <w:tc>
          <w:tcPr>
            <w:tcW w:w="2467" w:type="dxa"/>
            <w:shd w:val="clear" w:color="auto" w:fill="F5F5F5"/>
          </w:tcPr>
          <w:p w14:paraId="2B2DC1EA" w14:textId="77777777" w:rsidR="00DF6EF3" w:rsidRDefault="00000000">
            <w:r>
              <w:rPr>
                <w:rFonts w:ascii="Calibri" w:hAnsi="Calibri"/>
                <w:sz w:val="19"/>
              </w:rPr>
              <w:t>20,000 IU twice weekly</w:t>
            </w:r>
          </w:p>
        </w:tc>
        <w:tc>
          <w:tcPr>
            <w:tcW w:w="2467" w:type="dxa"/>
            <w:shd w:val="clear" w:color="auto" w:fill="F5F5F5"/>
          </w:tcPr>
          <w:p w14:paraId="157505C0" w14:textId="77777777" w:rsidR="00DF6EF3" w:rsidRDefault="00000000">
            <w:r>
              <w:rPr>
                <w:rFonts w:ascii="Calibri" w:hAnsi="Calibri"/>
                <w:sz w:val="19"/>
              </w:rPr>
              <w:t>7 weeks</w:t>
            </w:r>
          </w:p>
        </w:tc>
        <w:tc>
          <w:tcPr>
            <w:tcW w:w="2467" w:type="dxa"/>
            <w:shd w:val="clear" w:color="auto" w:fill="F5F5F5"/>
          </w:tcPr>
          <w:p w14:paraId="456A6520" w14:textId="77777777" w:rsidR="00DF6EF3" w:rsidRDefault="00000000">
            <w:r>
              <w:rPr>
                <w:rFonts w:ascii="Calibri" w:hAnsi="Calibri"/>
                <w:sz w:val="19"/>
              </w:rPr>
              <w:t>~280,000 IU</w:t>
            </w:r>
          </w:p>
        </w:tc>
      </w:tr>
    </w:tbl>
    <w:p w14:paraId="771A2528" w14:textId="77777777" w:rsidR="00DF6EF3" w:rsidRDefault="00DF6EF3"/>
    <w:p w14:paraId="04D0B18F" w14:textId="77777777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t>7. Maintenance Dose (BNF 2024)</w:t>
      </w:r>
    </w:p>
    <w:p w14:paraId="55387AB6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Start 1 month after completing loading dose</w:t>
      </w:r>
    </w:p>
    <w:p w14:paraId="72C8880F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Dose: 800–2,000 IU colecalciferol daily (lifelong in most at-risk patients)</w:t>
      </w:r>
    </w:p>
    <w:p w14:paraId="12188F87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Alternative for adherence: 25,000 IU once monthly</w:t>
      </w:r>
    </w:p>
    <w:p w14:paraId="5346ED0F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Maximum without specialist monitoring: 4,000 IU/day (100 mcg)</w:t>
      </w:r>
    </w:p>
    <w:p w14:paraId="63012912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Higher doses may be needed: malabsorption, obesity, very dark skin, severe deficiency</w:t>
      </w:r>
    </w:p>
    <w:p w14:paraId="159295E5" w14:textId="77777777" w:rsidR="00DF6EF3" w:rsidRDefault="00DF6EF3"/>
    <w:p w14:paraId="338D285E" w14:textId="77777777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t>8. Ergocalciferol IM — Current Status (2024–2026)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4"/>
      </w:tblGrid>
      <w:tr w:rsidR="00DF6EF3" w14:paraId="69D871AA" w14:textId="77777777">
        <w:tc>
          <w:tcPr>
            <w:tcW w:w="9504" w:type="dxa"/>
            <w:shd w:val="clear" w:color="auto" w:fill="FFE8E8"/>
          </w:tcPr>
          <w:p w14:paraId="49525E23" w14:textId="77777777" w:rsidR="00DF6EF3" w:rsidRDefault="00000000">
            <w:pPr>
              <w:spacing w:before="80" w:after="40"/>
              <w:ind w:left="113"/>
            </w:pPr>
            <w:r>
              <w:rPr>
                <w:rFonts w:ascii="Calibri" w:hAnsi="Calibri"/>
                <w:b/>
                <w:color w:val="B00000"/>
              </w:rPr>
              <w:t>⚠ NOW SPECIALIST-INITIATION ONLY — Do not prescribe in primary care</w:t>
            </w:r>
          </w:p>
          <w:p w14:paraId="77F24332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Ergocalciferol 300,000 IU IM injection = reserved for severe malabsorption or complete oral intolerance</w:t>
            </w:r>
          </w:p>
          <w:p w14:paraId="2408D73E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Supply shortages widely reported (UK formularies 2024–2025; many discontinued)</w:t>
            </w:r>
          </w:p>
          <w:p w14:paraId="02362597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Bradford 2012 pathway listed ergocalciferol IM as second-line — this is now OUTDATED</w:t>
            </w:r>
          </w:p>
          <w:p w14:paraId="724CD0F1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Use oral colecalciferol (D3) as first-line in all primary care settings</w:t>
            </w:r>
          </w:p>
          <w:p w14:paraId="07F8AB83" w14:textId="77777777" w:rsidR="00DF6EF3" w:rsidRDefault="00DF6EF3">
            <w:pPr>
              <w:spacing w:before="40"/>
            </w:pPr>
          </w:p>
        </w:tc>
      </w:tr>
    </w:tbl>
    <w:p w14:paraId="2F8D85FD" w14:textId="77777777" w:rsidR="00DF6EF3" w:rsidRDefault="00DF6EF3"/>
    <w:p w14:paraId="6359FEB8" w14:textId="77777777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t>9. Special Circumstances</w:t>
      </w:r>
    </w:p>
    <w:p w14:paraId="0E8DC172" w14:textId="77777777" w:rsidR="00DF6EF3" w:rsidRDefault="00000000">
      <w:pPr>
        <w:spacing w:before="120" w:after="40"/>
      </w:pPr>
      <w:r>
        <w:rPr>
          <w:rFonts w:ascii="Calibri" w:hAnsi="Calibri"/>
          <w:b/>
          <w:color w:val="1F5C9E"/>
          <w:sz w:val="24"/>
        </w:rPr>
        <w:t>Pregnancy &amp; Breastfeeding (NICE NG247, Jan 2025)</w:t>
      </w:r>
    </w:p>
    <w:p w14:paraId="6F42FBC4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10 mcg (400 IU) colecalciferol daily throughout pregnancy and breastfeeding</w:t>
      </w:r>
    </w:p>
    <w:p w14:paraId="77C187BC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Do NOT use high bolus loading doses in pregnancy — safe upper limit: 4,000 IU/day</w:t>
      </w:r>
    </w:p>
    <w:p w14:paraId="5681291D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Healthy Start vitamins: 10 mcg vitamin D per tablet — all pregnant women eligible</w:t>
      </w:r>
    </w:p>
    <w:p w14:paraId="34131414" w14:textId="77777777" w:rsidR="00DF6EF3" w:rsidRDefault="00000000">
      <w:pPr>
        <w:spacing w:before="120" w:after="40"/>
      </w:pPr>
      <w:r>
        <w:rPr>
          <w:rFonts w:ascii="Calibri" w:hAnsi="Calibri"/>
          <w:b/>
          <w:color w:val="1F5C9E"/>
          <w:sz w:val="24"/>
        </w:rPr>
        <w:t>Osteoporosis</w:t>
      </w:r>
    </w:p>
    <w:p w14:paraId="5AF6153C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Must be vitamin D replete BEFORE starting bisphosphonates/denosumab</w:t>
      </w:r>
    </w:p>
    <w:p w14:paraId="2D999410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Standard: 800–1,000 IU/day colecalciferol + 1,000–1,200 mg/day elemental calcium</w:t>
      </w:r>
    </w:p>
    <w:p w14:paraId="77D1E78D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Combined preparations: Adcal-D3, Calcichew D3 Forte, Calceos</w:t>
      </w:r>
    </w:p>
    <w:p w14:paraId="4AACFFD6" w14:textId="77777777" w:rsidR="00DF6EF3" w:rsidRDefault="00000000">
      <w:pPr>
        <w:spacing w:before="120" w:after="40"/>
      </w:pPr>
      <w:r>
        <w:rPr>
          <w:rFonts w:ascii="Calibri" w:hAnsi="Calibri"/>
          <w:b/>
          <w:color w:val="1F5C9E"/>
          <w:sz w:val="24"/>
        </w:rPr>
        <w:t>CKD Stage 3b+ (eGFR &lt;45 ml/min)</w:t>
      </w:r>
    </w:p>
    <w:p w14:paraId="69DF9912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Do NOT initiate colecalciferol loading in primary care — REFER to renal services</w:t>
      </w:r>
    </w:p>
    <w:p w14:paraId="420029B2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May require alfacalcidol or calcitriol (active analogues) under specialist supervision</w:t>
      </w:r>
    </w:p>
    <w:p w14:paraId="1B4C698F" w14:textId="77777777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lastRenderedPageBreak/>
        <w:t>10. Monitoring (NICE CKS 2022)</w:t>
      </w:r>
    </w:p>
    <w:p w14:paraId="5D7A48E5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Check adjusted serum calcium at 1 MONTH post-loading (exclude primary hyperparathyroidism)</w:t>
      </w:r>
    </w:p>
    <w:p w14:paraId="374B7101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Routine re-testing of 25(OH)D is NOT recommended unless symptoms persist</w:t>
      </w:r>
    </w:p>
    <w:p w14:paraId="643AF7D9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If symptoms persist at 3 months: recheck compliance, consider malabsorption, repeat 25(OH)D</w:t>
      </w:r>
    </w:p>
    <w:p w14:paraId="45431A6C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If 25(OH)D still &lt;25 nmol/L despite compliance → refer endocrinology</w:t>
      </w:r>
    </w:p>
    <w:p w14:paraId="3A596BDD" w14:textId="77777777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t>11. When to Refer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4"/>
      </w:tblGrid>
      <w:tr w:rsidR="00DF6EF3" w14:paraId="568F9934" w14:textId="77777777">
        <w:tc>
          <w:tcPr>
            <w:tcW w:w="9504" w:type="dxa"/>
            <w:shd w:val="clear" w:color="auto" w:fill="FFE8E8"/>
          </w:tcPr>
          <w:p w14:paraId="138BD3D5" w14:textId="77777777" w:rsidR="00DF6EF3" w:rsidRDefault="00000000">
            <w:pPr>
              <w:spacing w:before="80" w:after="40"/>
              <w:ind w:left="113"/>
            </w:pPr>
            <w:r>
              <w:rPr>
                <w:rFonts w:ascii="Calibri" w:hAnsi="Calibri"/>
                <w:b/>
                <w:color w:val="B00000"/>
              </w:rPr>
              <w:t>🔴 REFER TO ENDOCRINOLOGY / APPROPRIATE SPECIALIST IF:</w:t>
            </w:r>
          </w:p>
          <w:p w14:paraId="764A3DFC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No response at 3–6 months (confirmed compliance)</w:t>
            </w:r>
          </w:p>
          <w:p w14:paraId="1938E1D0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Hypercalcaemia (&gt;2.65 mmol/L) — check PTH and 24-hr urine calcium</w:t>
            </w:r>
          </w:p>
          <w:p w14:paraId="363BA661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Primary hyperparathyroidism</w:t>
            </w:r>
          </w:p>
          <w:p w14:paraId="296AAB76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Renal stones, severe hypercalciuria, metastatic calcification</w:t>
            </w:r>
          </w:p>
          <w:p w14:paraId="7C4087A2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CKD stage 3b+ (eGFR &lt;45 ml/min)</w:t>
            </w:r>
          </w:p>
          <w:p w14:paraId="52A053C7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TB, sarcoidosis, lymphoma (granulomatous disease — risk of hypercalcaemia with supplementation)</w:t>
            </w:r>
          </w:p>
          <w:p w14:paraId="6BBAD1EE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Suspected anticonvulsant/rifampicin cause</w:t>
            </w:r>
          </w:p>
          <w:p w14:paraId="79149317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Focal bone pain (exclude metastases)</w:t>
            </w:r>
          </w:p>
          <w:p w14:paraId="255BCE78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Unexplained weight loss/anaemia (exclude coeliac/malabsorption)</w:t>
            </w:r>
          </w:p>
          <w:p w14:paraId="4E0CA7D6" w14:textId="77777777" w:rsidR="00DF6EF3" w:rsidRDefault="00DF6EF3">
            <w:pPr>
              <w:spacing w:before="40"/>
            </w:pPr>
          </w:p>
        </w:tc>
      </w:tr>
    </w:tbl>
    <w:p w14:paraId="5DF53F46" w14:textId="77777777" w:rsidR="00DF6EF3" w:rsidRDefault="00DF6EF3"/>
    <w:p w14:paraId="2489430A" w14:textId="77777777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t>12. Universal Supplementation Recommendations (UK 2024–2026)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0"/>
        <w:gridCol w:w="3290"/>
        <w:gridCol w:w="3290"/>
      </w:tblGrid>
      <w:tr w:rsidR="00DF6EF3" w14:paraId="15711235" w14:textId="77777777">
        <w:tc>
          <w:tcPr>
            <w:tcW w:w="3290" w:type="dxa"/>
            <w:shd w:val="clear" w:color="auto" w:fill="DFEAF7"/>
          </w:tcPr>
          <w:p w14:paraId="40DD8B9B" w14:textId="77777777" w:rsidR="00DF6EF3" w:rsidRDefault="00000000">
            <w:r>
              <w:rPr>
                <w:rFonts w:ascii="Calibri" w:hAnsi="Calibri"/>
                <w:b/>
                <w:color w:val="1A3A6B"/>
                <w:sz w:val="20"/>
              </w:rPr>
              <w:t>Group</w:t>
            </w:r>
          </w:p>
        </w:tc>
        <w:tc>
          <w:tcPr>
            <w:tcW w:w="3290" w:type="dxa"/>
            <w:shd w:val="clear" w:color="auto" w:fill="DFEAF7"/>
          </w:tcPr>
          <w:p w14:paraId="0E41A343" w14:textId="77777777" w:rsidR="00DF6EF3" w:rsidRDefault="00000000">
            <w:r>
              <w:rPr>
                <w:rFonts w:ascii="Calibri" w:hAnsi="Calibri"/>
                <w:b/>
                <w:color w:val="1A3A6B"/>
                <w:sz w:val="20"/>
              </w:rPr>
              <w:t>Dose</w:t>
            </w:r>
          </w:p>
        </w:tc>
        <w:tc>
          <w:tcPr>
            <w:tcW w:w="3290" w:type="dxa"/>
            <w:shd w:val="clear" w:color="auto" w:fill="DFEAF7"/>
          </w:tcPr>
          <w:p w14:paraId="0720EEAD" w14:textId="77777777" w:rsidR="00DF6EF3" w:rsidRDefault="00000000">
            <w:r>
              <w:rPr>
                <w:rFonts w:ascii="Calibri" w:hAnsi="Calibri"/>
                <w:b/>
                <w:color w:val="1A3A6B"/>
                <w:sz w:val="20"/>
              </w:rPr>
              <w:t>Duration</w:t>
            </w:r>
          </w:p>
        </w:tc>
      </w:tr>
      <w:tr w:rsidR="00DF6EF3" w14:paraId="70F4A82A" w14:textId="77777777">
        <w:tc>
          <w:tcPr>
            <w:tcW w:w="3290" w:type="dxa"/>
            <w:shd w:val="clear" w:color="auto" w:fill="FFFFFF"/>
          </w:tcPr>
          <w:p w14:paraId="2DD426F0" w14:textId="77777777" w:rsidR="00DF6EF3" w:rsidRDefault="00000000">
            <w:r>
              <w:rPr>
                <w:rFonts w:ascii="Calibri" w:hAnsi="Calibri"/>
                <w:sz w:val="19"/>
              </w:rPr>
              <w:t>All adults</w:t>
            </w:r>
          </w:p>
        </w:tc>
        <w:tc>
          <w:tcPr>
            <w:tcW w:w="3290" w:type="dxa"/>
            <w:shd w:val="clear" w:color="auto" w:fill="FFFFFF"/>
          </w:tcPr>
          <w:p w14:paraId="3EE69B0E" w14:textId="77777777" w:rsidR="00DF6EF3" w:rsidRDefault="00000000">
            <w:r>
              <w:rPr>
                <w:rFonts w:ascii="Calibri" w:hAnsi="Calibri"/>
                <w:sz w:val="19"/>
              </w:rPr>
              <w:t>400 IU (10 mcg)/day</w:t>
            </w:r>
          </w:p>
        </w:tc>
        <w:tc>
          <w:tcPr>
            <w:tcW w:w="3290" w:type="dxa"/>
            <w:shd w:val="clear" w:color="auto" w:fill="FFFFFF"/>
          </w:tcPr>
          <w:p w14:paraId="2FD74812" w14:textId="77777777" w:rsidR="00DF6EF3" w:rsidRDefault="00000000">
            <w:r>
              <w:rPr>
                <w:rFonts w:ascii="Calibri" w:hAnsi="Calibri"/>
                <w:sz w:val="19"/>
              </w:rPr>
              <w:t>Oct–Mar; year-round if high risk</w:t>
            </w:r>
          </w:p>
        </w:tc>
      </w:tr>
      <w:tr w:rsidR="00DF6EF3" w14:paraId="572EC194" w14:textId="77777777">
        <w:tc>
          <w:tcPr>
            <w:tcW w:w="3290" w:type="dxa"/>
            <w:shd w:val="clear" w:color="auto" w:fill="F5F5F5"/>
          </w:tcPr>
          <w:p w14:paraId="74E433FD" w14:textId="77777777" w:rsidR="00DF6EF3" w:rsidRDefault="00000000">
            <w:r>
              <w:rPr>
                <w:rFonts w:ascii="Calibri" w:hAnsi="Calibri"/>
                <w:sz w:val="19"/>
              </w:rPr>
              <w:t>Over 65s</w:t>
            </w:r>
          </w:p>
        </w:tc>
        <w:tc>
          <w:tcPr>
            <w:tcW w:w="3290" w:type="dxa"/>
            <w:shd w:val="clear" w:color="auto" w:fill="F5F5F5"/>
          </w:tcPr>
          <w:p w14:paraId="71AB5DEE" w14:textId="77777777" w:rsidR="00DF6EF3" w:rsidRDefault="00000000">
            <w:r>
              <w:rPr>
                <w:rFonts w:ascii="Calibri" w:hAnsi="Calibri"/>
                <w:sz w:val="19"/>
              </w:rPr>
              <w:t>400 IU (10 mcg)/day</w:t>
            </w:r>
          </w:p>
        </w:tc>
        <w:tc>
          <w:tcPr>
            <w:tcW w:w="3290" w:type="dxa"/>
            <w:shd w:val="clear" w:color="auto" w:fill="F5F5F5"/>
          </w:tcPr>
          <w:p w14:paraId="563F5863" w14:textId="77777777" w:rsidR="00DF6EF3" w:rsidRDefault="00000000">
            <w:r>
              <w:rPr>
                <w:rFonts w:ascii="Calibri" w:hAnsi="Calibri"/>
                <w:sz w:val="19"/>
              </w:rPr>
              <w:t>Year-round</w:t>
            </w:r>
          </w:p>
        </w:tc>
      </w:tr>
      <w:tr w:rsidR="00DF6EF3" w14:paraId="2BD096D0" w14:textId="77777777">
        <w:tc>
          <w:tcPr>
            <w:tcW w:w="3290" w:type="dxa"/>
            <w:shd w:val="clear" w:color="auto" w:fill="FFFFFF"/>
          </w:tcPr>
          <w:p w14:paraId="37C52F05" w14:textId="77777777" w:rsidR="00DF6EF3" w:rsidRDefault="00000000">
            <w:r>
              <w:rPr>
                <w:rFonts w:ascii="Calibri" w:hAnsi="Calibri"/>
                <w:sz w:val="19"/>
              </w:rPr>
              <w:t>Pregnant women</w:t>
            </w:r>
          </w:p>
        </w:tc>
        <w:tc>
          <w:tcPr>
            <w:tcW w:w="3290" w:type="dxa"/>
            <w:shd w:val="clear" w:color="auto" w:fill="FFFFFF"/>
          </w:tcPr>
          <w:p w14:paraId="22A9AE02" w14:textId="77777777" w:rsidR="00DF6EF3" w:rsidRDefault="00000000">
            <w:r>
              <w:rPr>
                <w:rFonts w:ascii="Calibri" w:hAnsi="Calibri"/>
                <w:sz w:val="19"/>
              </w:rPr>
              <w:t>400 IU (10 mcg)/day (NICE NG247 2025)</w:t>
            </w:r>
          </w:p>
        </w:tc>
        <w:tc>
          <w:tcPr>
            <w:tcW w:w="3290" w:type="dxa"/>
            <w:shd w:val="clear" w:color="auto" w:fill="FFFFFF"/>
          </w:tcPr>
          <w:p w14:paraId="62853860" w14:textId="77777777" w:rsidR="00DF6EF3" w:rsidRDefault="00000000">
            <w:r>
              <w:rPr>
                <w:rFonts w:ascii="Calibri" w:hAnsi="Calibri"/>
                <w:sz w:val="19"/>
              </w:rPr>
              <w:t>Year-round</w:t>
            </w:r>
          </w:p>
        </w:tc>
      </w:tr>
      <w:tr w:rsidR="00DF6EF3" w14:paraId="256DC74E" w14:textId="77777777">
        <w:tc>
          <w:tcPr>
            <w:tcW w:w="3290" w:type="dxa"/>
            <w:shd w:val="clear" w:color="auto" w:fill="F5F5F5"/>
          </w:tcPr>
          <w:p w14:paraId="7C367E87" w14:textId="77777777" w:rsidR="00DF6EF3" w:rsidRDefault="00000000">
            <w:r>
              <w:rPr>
                <w:rFonts w:ascii="Calibri" w:hAnsi="Calibri"/>
                <w:sz w:val="19"/>
              </w:rPr>
              <w:t>Breastfeeding women</w:t>
            </w:r>
          </w:p>
        </w:tc>
        <w:tc>
          <w:tcPr>
            <w:tcW w:w="3290" w:type="dxa"/>
            <w:shd w:val="clear" w:color="auto" w:fill="F5F5F5"/>
          </w:tcPr>
          <w:p w14:paraId="51A1007F" w14:textId="77777777" w:rsidR="00DF6EF3" w:rsidRDefault="00000000">
            <w:r>
              <w:rPr>
                <w:rFonts w:ascii="Calibri" w:hAnsi="Calibri"/>
                <w:sz w:val="19"/>
              </w:rPr>
              <w:t>400 IU (10 mcg)/day</w:t>
            </w:r>
          </w:p>
        </w:tc>
        <w:tc>
          <w:tcPr>
            <w:tcW w:w="3290" w:type="dxa"/>
            <w:shd w:val="clear" w:color="auto" w:fill="F5F5F5"/>
          </w:tcPr>
          <w:p w14:paraId="289CE0EE" w14:textId="77777777" w:rsidR="00DF6EF3" w:rsidRDefault="00000000">
            <w:r>
              <w:rPr>
                <w:rFonts w:ascii="Calibri" w:hAnsi="Calibri"/>
                <w:sz w:val="19"/>
              </w:rPr>
              <w:t>Year-round</w:t>
            </w:r>
          </w:p>
        </w:tc>
      </w:tr>
      <w:tr w:rsidR="00DF6EF3" w14:paraId="48E6D893" w14:textId="77777777">
        <w:tc>
          <w:tcPr>
            <w:tcW w:w="3290" w:type="dxa"/>
            <w:shd w:val="clear" w:color="auto" w:fill="FFFFFF"/>
          </w:tcPr>
          <w:p w14:paraId="7F83C1B1" w14:textId="77777777" w:rsidR="00DF6EF3" w:rsidRDefault="00000000">
            <w:r>
              <w:rPr>
                <w:rFonts w:ascii="Calibri" w:hAnsi="Calibri"/>
                <w:sz w:val="19"/>
              </w:rPr>
              <w:t>Infants 0–1 yr (breastfed)</w:t>
            </w:r>
          </w:p>
        </w:tc>
        <w:tc>
          <w:tcPr>
            <w:tcW w:w="3290" w:type="dxa"/>
            <w:shd w:val="clear" w:color="auto" w:fill="FFFFFF"/>
          </w:tcPr>
          <w:p w14:paraId="7CAA92A4" w14:textId="77777777" w:rsidR="00DF6EF3" w:rsidRDefault="00000000">
            <w:r>
              <w:rPr>
                <w:rFonts w:ascii="Calibri" w:hAnsi="Calibri"/>
                <w:sz w:val="19"/>
              </w:rPr>
              <w:t>340–400 IU (8.5–10 mcg)/day</w:t>
            </w:r>
          </w:p>
        </w:tc>
        <w:tc>
          <w:tcPr>
            <w:tcW w:w="3290" w:type="dxa"/>
            <w:shd w:val="clear" w:color="auto" w:fill="FFFFFF"/>
          </w:tcPr>
          <w:p w14:paraId="36C89AC9" w14:textId="77777777" w:rsidR="00DF6EF3" w:rsidRDefault="00000000">
            <w:r>
              <w:rPr>
                <w:rFonts w:ascii="Calibri" w:hAnsi="Calibri"/>
                <w:sz w:val="19"/>
              </w:rPr>
              <w:t>Year-round from birth</w:t>
            </w:r>
          </w:p>
        </w:tc>
      </w:tr>
      <w:tr w:rsidR="00DF6EF3" w14:paraId="258B4A46" w14:textId="77777777">
        <w:tc>
          <w:tcPr>
            <w:tcW w:w="3290" w:type="dxa"/>
            <w:shd w:val="clear" w:color="auto" w:fill="F5F5F5"/>
          </w:tcPr>
          <w:p w14:paraId="5B0F6B26" w14:textId="77777777" w:rsidR="00DF6EF3" w:rsidRDefault="00000000">
            <w:r>
              <w:rPr>
                <w:rFonts w:ascii="Calibri" w:hAnsi="Calibri"/>
                <w:sz w:val="19"/>
              </w:rPr>
              <w:t>Children 1–4 yrs</w:t>
            </w:r>
          </w:p>
        </w:tc>
        <w:tc>
          <w:tcPr>
            <w:tcW w:w="3290" w:type="dxa"/>
            <w:shd w:val="clear" w:color="auto" w:fill="F5F5F5"/>
          </w:tcPr>
          <w:p w14:paraId="798E7249" w14:textId="77777777" w:rsidR="00DF6EF3" w:rsidRDefault="00000000">
            <w:r>
              <w:rPr>
                <w:rFonts w:ascii="Calibri" w:hAnsi="Calibri"/>
                <w:sz w:val="19"/>
              </w:rPr>
              <w:t>400 IU (10 mcg)/day</w:t>
            </w:r>
          </w:p>
        </w:tc>
        <w:tc>
          <w:tcPr>
            <w:tcW w:w="3290" w:type="dxa"/>
            <w:shd w:val="clear" w:color="auto" w:fill="F5F5F5"/>
          </w:tcPr>
          <w:p w14:paraId="68C3406B" w14:textId="77777777" w:rsidR="00DF6EF3" w:rsidRDefault="00000000">
            <w:r>
              <w:rPr>
                <w:rFonts w:ascii="Calibri" w:hAnsi="Calibri"/>
                <w:sz w:val="19"/>
              </w:rPr>
              <w:t>Year-round</w:t>
            </w:r>
          </w:p>
        </w:tc>
      </w:tr>
      <w:tr w:rsidR="00DF6EF3" w14:paraId="2F61F20F" w14:textId="77777777">
        <w:tc>
          <w:tcPr>
            <w:tcW w:w="3290" w:type="dxa"/>
            <w:shd w:val="clear" w:color="auto" w:fill="FFFFFF"/>
          </w:tcPr>
          <w:p w14:paraId="6BAD2D81" w14:textId="77777777" w:rsidR="00DF6EF3" w:rsidRDefault="00000000">
            <w:r>
              <w:rPr>
                <w:rFonts w:ascii="Calibri" w:hAnsi="Calibri"/>
                <w:sz w:val="19"/>
              </w:rPr>
              <w:t>Children 5+ yrs</w:t>
            </w:r>
          </w:p>
        </w:tc>
        <w:tc>
          <w:tcPr>
            <w:tcW w:w="3290" w:type="dxa"/>
            <w:shd w:val="clear" w:color="auto" w:fill="FFFFFF"/>
          </w:tcPr>
          <w:p w14:paraId="6DB7920A" w14:textId="77777777" w:rsidR="00DF6EF3" w:rsidRDefault="00000000">
            <w:r>
              <w:rPr>
                <w:rFonts w:ascii="Calibri" w:hAnsi="Calibri"/>
                <w:sz w:val="19"/>
              </w:rPr>
              <w:t>400 IU (10 mcg)/day</w:t>
            </w:r>
          </w:p>
        </w:tc>
        <w:tc>
          <w:tcPr>
            <w:tcW w:w="3290" w:type="dxa"/>
            <w:shd w:val="clear" w:color="auto" w:fill="FFFFFF"/>
          </w:tcPr>
          <w:p w14:paraId="366A844B" w14:textId="77777777" w:rsidR="00DF6EF3" w:rsidRDefault="00000000">
            <w:r>
              <w:rPr>
                <w:rFonts w:ascii="Calibri" w:hAnsi="Calibri"/>
                <w:sz w:val="19"/>
              </w:rPr>
              <w:t>Oct–Mar min; year-round if high risk</w:t>
            </w:r>
          </w:p>
        </w:tc>
      </w:tr>
    </w:tbl>
    <w:p w14:paraId="5B9007DC" w14:textId="77777777" w:rsidR="00DF6EF3" w:rsidRDefault="00DF6EF3"/>
    <w:p w14:paraId="3F8A57AB" w14:textId="77777777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t>13. Vitamin D Toxicity</w:t>
      </w:r>
    </w:p>
    <w:p w14:paraId="3951FF4E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Toxicity threshold: serum 25(OH)D &gt;375 nmol/L [CORRECTED: old sources stated 500 nmol/L]</w:t>
      </w:r>
    </w:p>
    <w:p w14:paraId="19BC386B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Risk at sustained doses &gt;4,000 IU/day without monitoring</w:t>
      </w:r>
    </w:p>
    <w:p w14:paraId="64CD159E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Features: hypercalcaemia — nausea, vomiting, polyuria, polydipsia, confusion, constipation</w:t>
      </w:r>
    </w:p>
    <w:p w14:paraId="2AC349CF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Management: stop supplements, check serum calcium, refer endocrinology</w:t>
      </w:r>
    </w:p>
    <w:p w14:paraId="20F343E5" w14:textId="77777777" w:rsidR="00DF6EF3" w:rsidRDefault="00000000">
      <w:pPr>
        <w:pStyle w:val="ListBullet"/>
        <w:spacing w:before="20" w:after="20"/>
        <w:ind w:left="340"/>
      </w:pPr>
      <w:r>
        <w:rPr>
          <w:rFonts w:ascii="Calibri" w:hAnsi="Calibri"/>
          <w:color w:val="000000"/>
          <w:sz w:val="21"/>
        </w:rPr>
        <w:t>Safe upper limit: 4,000 IU/day (MHRA/SACN 2024)</w:t>
      </w:r>
    </w:p>
    <w:p w14:paraId="6E8C16E3" w14:textId="77777777" w:rsidR="00400020" w:rsidRDefault="00400020">
      <w:pPr>
        <w:rPr>
          <w:rFonts w:ascii="Calibri" w:hAnsi="Calibri"/>
          <w:b/>
          <w:color w:val="1A3A6B"/>
          <w:sz w:val="30"/>
        </w:rPr>
      </w:pPr>
      <w:r>
        <w:rPr>
          <w:rFonts w:ascii="Calibri" w:hAnsi="Calibri"/>
          <w:b/>
          <w:color w:val="1A3A6B"/>
          <w:sz w:val="30"/>
        </w:rPr>
        <w:br w:type="page"/>
      </w:r>
    </w:p>
    <w:p w14:paraId="2F807CC9" w14:textId="1795F2B0" w:rsidR="00DF6EF3" w:rsidRDefault="00000000">
      <w:pPr>
        <w:spacing w:before="200" w:after="60"/>
      </w:pPr>
      <w:r>
        <w:rPr>
          <w:rFonts w:ascii="Calibri" w:hAnsi="Calibri"/>
          <w:b/>
          <w:color w:val="1A3A6B"/>
          <w:sz w:val="30"/>
        </w:rPr>
        <w:lastRenderedPageBreak/>
        <w:t>14. Key Points — AKT &amp; SCA Quick Revision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4"/>
      </w:tblGrid>
      <w:tr w:rsidR="00DF6EF3" w14:paraId="6A5BDC87" w14:textId="77777777">
        <w:tc>
          <w:tcPr>
            <w:tcW w:w="9504" w:type="dxa"/>
            <w:shd w:val="clear" w:color="auto" w:fill="F0E6FA"/>
          </w:tcPr>
          <w:p w14:paraId="6F4007A1" w14:textId="77777777" w:rsidR="00DF6EF3" w:rsidRDefault="00000000">
            <w:pPr>
              <w:spacing w:before="80" w:after="40"/>
              <w:ind w:left="113"/>
            </w:pPr>
            <w:r>
              <w:rPr>
                <w:rFonts w:ascii="Calibri" w:hAnsi="Calibri"/>
                <w:b/>
                <w:color w:val="6A0DAD"/>
              </w:rPr>
              <w:t>🟣 AKT HIGH-YIELD FACTS</w:t>
            </w:r>
          </w:p>
          <w:p w14:paraId="067198D0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Deficiency = &lt;25 nmol/L (SACN 2016) — NOT &lt;20 nmol/L (Bradford 2012 outdated)</w:t>
            </w:r>
          </w:p>
          <w:p w14:paraId="4F0017A3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Test: 25(OH)D — NOT 1,25(OH)₂D (active form)</w:t>
            </w:r>
          </w:p>
          <w:p w14:paraId="5197AB45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Loading dose: 300,000 IU total (50,000 IU weekly × 6 weeks, BNF 2024)</w:t>
            </w:r>
          </w:p>
          <w:p w14:paraId="429254DA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Maintenance: 800–2,000 IU/day — NOT 400 IU/day (that's the general supplement dose)</w:t>
            </w:r>
          </w:p>
          <w:p w14:paraId="02CE006C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Ergocalciferol IM = specialist-only, supply shortage — wrong in primary care</w:t>
            </w:r>
          </w:p>
          <w:p w14:paraId="33F2DED1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Statins + myalgia = always check vitamin D</w:t>
            </w:r>
          </w:p>
          <w:p w14:paraId="075AB885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Contraindications: hypercalcaemia, sarcoidosis, active TB, lymphoma</w:t>
            </w:r>
          </w:p>
          <w:p w14:paraId="3E658076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CKD 3b+ = refer, not treat with colecalciferol</w:t>
            </w:r>
          </w:p>
          <w:p w14:paraId="56FE06E8" w14:textId="77777777" w:rsidR="00DF6EF3" w:rsidRDefault="00DF6EF3">
            <w:pPr>
              <w:spacing w:before="40"/>
            </w:pPr>
          </w:p>
        </w:tc>
      </w:tr>
    </w:tbl>
    <w:p w14:paraId="6128169C" w14:textId="77777777" w:rsidR="00DF6EF3" w:rsidRDefault="00DF6E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4"/>
      </w:tblGrid>
      <w:tr w:rsidR="00DF6EF3" w14:paraId="0EC053EE" w14:textId="77777777">
        <w:tc>
          <w:tcPr>
            <w:tcW w:w="9504" w:type="dxa"/>
            <w:shd w:val="clear" w:color="auto" w:fill="E0F4F4"/>
          </w:tcPr>
          <w:p w14:paraId="59F84A45" w14:textId="77777777" w:rsidR="00DF6EF3" w:rsidRDefault="00000000">
            <w:pPr>
              <w:spacing w:before="80" w:after="40"/>
              <w:ind w:left="113"/>
            </w:pPr>
            <w:r>
              <w:rPr>
                <w:rFonts w:ascii="Calibri" w:hAnsi="Calibri"/>
                <w:b/>
                <w:color w:val="007A7A"/>
              </w:rPr>
              <w:t>🟦 SCA PATIENT COMMUNICATION</w:t>
            </w:r>
          </w:p>
          <w:p w14:paraId="25460C9D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Explaining supplementation: 'I recommend taking a vitamin D supplement every day, especially in winter — you can buy it cheaply at the pharmacy for about £1 a month.'</w:t>
            </w:r>
          </w:p>
          <w:p w14:paraId="0B5EAAD2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Safety-netting: 'If you develop nausea, vomiting, or feel unusually thirsty while on treatment, please come back — it could mean calcium is too high.'</w:t>
            </w:r>
          </w:p>
          <w:p w14:paraId="49CBEE37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Explaining the test: 'We test a form called 25-hydroxy vitamin D — this tells us how much is stored in your body.'</w:t>
            </w:r>
          </w:p>
          <w:p w14:paraId="2F7E891A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Non-compliance: 'We can try a larger dose once a week if daily tablets are difficult to remember.'</w:t>
            </w:r>
          </w:p>
          <w:p w14:paraId="245E6B1C" w14:textId="77777777" w:rsidR="00DF6EF3" w:rsidRDefault="00000000">
            <w:pPr>
              <w:spacing w:before="20" w:after="20"/>
              <w:ind w:left="227"/>
            </w:pPr>
            <w:r>
              <w:rPr>
                <w:rFonts w:ascii="Calibri" w:hAnsi="Calibri"/>
                <w:color w:val="000000"/>
                <w:sz w:val="20"/>
              </w:rPr>
              <w:t>• Cultural sensitivity: Offer halal/gelatine-free preparations; discuss clothing and sun exposure sensitively</w:t>
            </w:r>
          </w:p>
          <w:p w14:paraId="553FE1A5" w14:textId="77777777" w:rsidR="00DF6EF3" w:rsidRDefault="00DF6EF3">
            <w:pPr>
              <w:spacing w:before="40"/>
            </w:pPr>
          </w:p>
        </w:tc>
      </w:tr>
    </w:tbl>
    <w:p w14:paraId="036094E7" w14:textId="77777777" w:rsidR="00DF6EF3" w:rsidRDefault="00DF6EF3"/>
    <w:p w14:paraId="2B3D0151" w14:textId="77777777" w:rsidR="00DF6EF3" w:rsidRDefault="00DF6E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9"/>
      </w:tblGrid>
      <w:tr w:rsidR="00DF6EF3" w14:paraId="5F3A0F7A" w14:textId="77777777">
        <w:tc>
          <w:tcPr>
            <w:tcW w:w="9869" w:type="dxa"/>
            <w:shd w:val="clear" w:color="auto" w:fill="FFF3CD"/>
          </w:tcPr>
          <w:p w14:paraId="5E683805" w14:textId="77777777" w:rsidR="00DF6EF3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b/>
                <w:color w:val="D97C00"/>
                <w:sz w:val="19"/>
              </w:rPr>
              <w:t>⚠  Disclaimer: Always double check this advice and drug doses with the latest NICE/BNF guidance. This document is for educational purposes only.  |  www.bradfordvts.co.uk</w:t>
            </w:r>
          </w:p>
        </w:tc>
      </w:tr>
    </w:tbl>
    <w:p w14:paraId="5170983B" w14:textId="77777777" w:rsidR="00725C91" w:rsidRDefault="00725C91"/>
    <w:sectPr w:rsidR="00725C91" w:rsidSect="00034616">
      <w:footerReference w:type="default" r:id="rId9"/>
      <w:pgSz w:w="11909" w:h="16834"/>
      <w:pgMar w:top="850" w:right="1020" w:bottom="102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7F768" w14:textId="77777777" w:rsidR="00725C91" w:rsidRDefault="00725C91">
      <w:pPr>
        <w:spacing w:after="0" w:line="240" w:lineRule="auto"/>
      </w:pPr>
      <w:r>
        <w:separator/>
      </w:r>
    </w:p>
  </w:endnote>
  <w:endnote w:type="continuationSeparator" w:id="0">
    <w:p w14:paraId="377BC740" w14:textId="77777777" w:rsidR="00725C91" w:rsidRDefault="00725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0DD60" w14:textId="77777777" w:rsidR="00DF6EF3" w:rsidRDefault="00000000">
    <w:pPr>
      <w:pStyle w:val="Footer"/>
      <w:jc w:val="center"/>
    </w:pPr>
    <w:r>
      <w:rPr>
        <w:rFonts w:ascii="Calibri" w:hAnsi="Calibri"/>
        <w:color w:val="666666"/>
        <w:sz w:val="16"/>
      </w:rPr>
      <w:t>A free resource provided by www.bradfordvts.co.uk, Dr Ramesh Mehay, Original: 2012, revised May 2026. | ⚠ Educational purposes only.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1D01" w14:textId="77777777" w:rsidR="00725C91" w:rsidRDefault="00725C91">
      <w:pPr>
        <w:spacing w:after="0" w:line="240" w:lineRule="auto"/>
      </w:pPr>
      <w:r>
        <w:separator/>
      </w:r>
    </w:p>
  </w:footnote>
  <w:footnote w:type="continuationSeparator" w:id="0">
    <w:p w14:paraId="249F7141" w14:textId="77777777" w:rsidR="00725C91" w:rsidRDefault="00725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6392441">
    <w:abstractNumId w:val="8"/>
  </w:num>
  <w:num w:numId="2" w16cid:durableId="1412585474">
    <w:abstractNumId w:val="6"/>
  </w:num>
  <w:num w:numId="3" w16cid:durableId="408161005">
    <w:abstractNumId w:val="5"/>
  </w:num>
  <w:num w:numId="4" w16cid:durableId="1447964707">
    <w:abstractNumId w:val="4"/>
  </w:num>
  <w:num w:numId="5" w16cid:durableId="543297734">
    <w:abstractNumId w:val="7"/>
  </w:num>
  <w:num w:numId="6" w16cid:durableId="1224298020">
    <w:abstractNumId w:val="3"/>
  </w:num>
  <w:num w:numId="7" w16cid:durableId="1418476705">
    <w:abstractNumId w:val="2"/>
  </w:num>
  <w:num w:numId="8" w16cid:durableId="1558711599">
    <w:abstractNumId w:val="1"/>
  </w:num>
  <w:num w:numId="9" w16cid:durableId="538007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0020"/>
    <w:rsid w:val="00725C91"/>
    <w:rsid w:val="00AA1D8D"/>
    <w:rsid w:val="00B47730"/>
    <w:rsid w:val="00CB0664"/>
    <w:rsid w:val="00DF6E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3060F5"/>
  <w14:defaultImageDpi w14:val="300"/>
  <w15:docId w15:val="{7A25E17D-76B1-402B-A56F-EB59B69D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2026-06-04T20:30:00Z</dcterms:modified>
  <cp:category/>
</cp:coreProperties>
</file>