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type="auto" w:w="0"/>
        <w:jc w:val="center"/>
        <w:tblLook w:firstColumn="1" w:firstRow="1" w:lastColumn="0" w:lastRow="0" w:noHBand="0" w:noVBand="1" w:val="04A0"/>
      </w:tblPr>
      <w:tblGrid>
        <w:gridCol w:w="9689"/>
      </w:tblGrid>
      <w:tr>
        <w:tc>
          <w:tcPr>
            <w:tcW w:type="dxa" w:w="9689"/>
            <w:shd w:val="clear" w:color="auto" w:fill="E0651F"/>
          </w:tcPr>
          <w:p/>
          <w:p>
            <w:pPr>
              <w:spacing w:before="280" w:after="40"/>
              <w:jc w:val="center"/>
            </w:pPr>
            <w:r>
              <w:rPr>
                <w:b/>
                <w:caps/>
                <w:color w:val="FFFFFF"/>
                <w:sz w:val="22"/>
              </w:rPr>
              <w:t>BRADFORD VTS TEACHING AIDS</w:t>
            </w:r>
          </w:p>
          <w:p>
            <w:pPr>
              <w:spacing w:before="80" w:after="80"/>
              <w:jc w:val="center"/>
            </w:pPr>
            <w:r>
              <w:rPr>
                <w:b/>
                <w:color w:val="FFFFFF"/>
                <w:sz w:val="48"/>
              </w:rPr>
              <w:t>Consent for Adults Unable to Consent</w:t>
            </w:r>
          </w:p>
          <w:p>
            <w:pPr>
              <w:spacing w:before="40" w:after="280"/>
              <w:jc w:val="center"/>
            </w:pPr>
            <w:r>
              <w:rPr>
                <w:i/>
                <w:color w:val="FFFFFF"/>
                <w:sz w:val="20"/>
              </w:rPr>
              <w:t>GP Reference &amp; Teaching Guide  ·  Bradford VTS  ·  May 2026</w:t>
            </w:r>
          </w:p>
        </w:tc>
      </w:tr>
    </w:tbl>
    <w:p/>
    <w:p>
      <w:pPr>
        <w:spacing w:before="40" w:after="80"/>
      </w:pPr>
      <w:r>
        <w:rPr>
          <w:sz w:val="22"/>
        </w:rPr>
        <w:t>This guide covers the legal framework for treating adults who lack the capacity to consent, based on the Mental Capacity Act 2005 (MCA 2005) and NICE Guideline NG108 (2018). Relevant to all GP trainees for minor surgery, investigations, and treatment decisions.</w:t>
      </w:r>
    </w:p>
    <w:p>
      <w:pPr>
        <w:spacing w:before="200" w:after="60"/>
      </w:pPr>
      <w:r>
        <w:rPr>
          <w:b/>
          <w:color w:val="1A3A6C"/>
          <w:sz w:val="32"/>
        </w:rPr>
        <w:t>1.  The Five Statutory Principles — Mental Capacity Act 2005</w:t>
      </w:r>
    </w:p>
    <w:p>
      <w:pPr>
        <w:pStyle w:val="ListNumber"/>
        <w:spacing w:before="60" w:after="60"/>
      </w:pPr>
      <w:r>
        <w:rPr>
          <w:b/>
          <w:color w:val="1A3A6C"/>
          <w:sz w:val="22"/>
        </w:rPr>
        <w:t xml:space="preserve">Presumption of capacity: </w:t>
      </w:r>
      <w:r>
        <w:rPr>
          <w:sz w:val="22"/>
        </w:rPr>
        <w:t>Every adult is assumed to have capacity unless established otherwise.</w:t>
      </w:r>
    </w:p>
    <w:p>
      <w:pPr>
        <w:pStyle w:val="ListNumber"/>
        <w:spacing w:before="60" w:after="60"/>
      </w:pPr>
      <w:r>
        <w:rPr>
          <w:b/>
          <w:color w:val="1A3A6C"/>
          <w:sz w:val="22"/>
        </w:rPr>
        <w:t xml:space="preserve">Support to decide: </w:t>
      </w:r>
      <w:r>
        <w:rPr>
          <w:sz w:val="22"/>
        </w:rPr>
        <w:t>All practicable steps must be taken to help a person decide before concluding they lack capacity (simple language, pictures, communication aids, carers, specialists).</w:t>
      </w:r>
    </w:p>
    <w:p>
      <w:pPr>
        <w:pStyle w:val="ListNumber"/>
        <w:spacing w:before="60" w:after="60"/>
      </w:pPr>
      <w:r>
        <w:rPr>
          <w:b/>
          <w:color w:val="1A3A6C"/>
          <w:sz w:val="22"/>
        </w:rPr>
        <w:t xml:space="preserve">Right to make unwise decisions: </w:t>
      </w:r>
      <w:r>
        <w:rPr>
          <w:sz w:val="22"/>
        </w:rPr>
        <w:t>An unwise decision does NOT mean the person lacks capacity.</w:t>
      </w:r>
    </w:p>
    <w:p>
      <w:pPr>
        <w:pStyle w:val="ListNumber"/>
        <w:spacing w:before="60" w:after="60"/>
      </w:pPr>
      <w:r>
        <w:rPr>
          <w:b/>
          <w:color w:val="1A3A6C"/>
          <w:sz w:val="22"/>
        </w:rPr>
        <w:t xml:space="preserve">Best interests: </w:t>
      </w:r>
      <w:r>
        <w:rPr>
          <w:sz w:val="22"/>
        </w:rPr>
        <w:t>Any act done or decision made for a person lacking capacity must be in their BEST INTERESTS.</w:t>
      </w:r>
    </w:p>
    <w:p>
      <w:pPr>
        <w:pStyle w:val="ListNumber"/>
        <w:spacing w:before="60" w:after="60"/>
      </w:pPr>
      <w:r>
        <w:rPr>
          <w:b/>
          <w:color w:val="1A3A6C"/>
          <w:sz w:val="22"/>
        </w:rPr>
        <w:t xml:space="preserve">Least restrictive option: </w:t>
      </w:r>
      <w:r>
        <w:rPr>
          <w:sz w:val="22"/>
        </w:rPr>
        <w:t>Consider whether a less restrictive option would achieve the same outcome before acting on behalf of someone lacking capacity.</w:t>
      </w:r>
    </w:p>
    <w:p>
      <w:pPr>
        <w:spacing w:before="200" w:after="60"/>
      </w:pPr>
      <w:r>
        <w:rPr>
          <w:b/>
          <w:color w:val="1A3A6C"/>
          <w:sz w:val="32"/>
        </w:rPr>
        <w:t>2.  Assessing Capacity — The Two-Stage Test</w:t>
      </w:r>
    </w:p>
    <w:p>
      <w:pPr>
        <w:spacing w:before="40" w:after="80"/>
      </w:pPr>
      <w:r>
        <w:rPr>
          <w:sz w:val="22"/>
        </w:rPr>
        <w:t>Capacity is DECISION-SPECIFIC. Assess for each individual decision.</w:t>
      </w:r>
    </w:p>
    <w:p>
      <w:pPr>
        <w:spacing w:before="200" w:after="60"/>
      </w:pPr>
      <w:r>
        <w:rPr>
          <w:b/>
          <w:color w:val="1A3A6C"/>
          <w:sz w:val="26"/>
        </w:rPr>
        <w:t>Stage 1 — Impairment or disturbance in mind/brain function?</w:t>
      </w:r>
    </w:p>
    <w:p>
      <w:pPr>
        <w:spacing w:before="40" w:after="80"/>
      </w:pPr>
      <w:r>
        <w:rPr>
          <w:sz w:val="22"/>
        </w:rPr>
        <w:t>E.g. dementia, acute confusion, learning disability, severe mental illness, unconsciousness.</w:t>
      </w:r>
    </w:p>
    <w:p>
      <w:pPr>
        <w:spacing w:before="200" w:after="60"/>
      </w:pPr>
      <w:r>
        <w:rPr>
          <w:b/>
          <w:color w:val="1A3A6C"/>
          <w:sz w:val="26"/>
        </w:rPr>
        <w:t>Stage 2 — Can the person (due to the Stage 1 impairment):</w:t>
      </w:r>
    </w:p>
    <w:p>
      <w:pPr>
        <w:pStyle w:val="ListBullet"/>
        <w:spacing w:before="20" w:after="40"/>
      </w:pPr>
      <w:r>
        <w:rPr>
          <w:sz w:val="22"/>
        </w:rPr>
        <w:t>Understand the information</w:t>
      </w:r>
    </w:p>
    <w:p>
      <w:pPr>
        <w:pStyle w:val="ListBullet"/>
        <w:spacing w:before="20" w:after="40"/>
      </w:pPr>
      <w:r>
        <w:rPr>
          <w:sz w:val="22"/>
        </w:rPr>
        <w:t>Retain it (even briefly)</w:t>
      </w:r>
    </w:p>
    <w:p>
      <w:pPr>
        <w:pStyle w:val="ListBullet"/>
        <w:spacing w:before="20" w:after="40"/>
      </w:pPr>
      <w:r>
        <w:rPr>
          <w:sz w:val="22"/>
        </w:rPr>
        <w:t>Use and weigh it in decision-making</w:t>
      </w:r>
    </w:p>
    <w:p>
      <w:pPr>
        <w:pStyle w:val="ListBullet"/>
        <w:spacing w:before="20" w:after="40"/>
      </w:pPr>
      <w:r>
        <w:rPr>
          <w:sz w:val="22"/>
        </w:rPr>
        <w:t>Communicate their decision (any means)</w:t>
      </w:r>
    </w:p>
    <w:tbl>
      <w:tblPr>
        <w:tblStyle w:val="TableGrid"/>
        <w:tblW w:type="auto" w:w="0"/>
        <w:jc w:val="center"/>
        <w:tblLook w:firstColumn="1" w:firstRow="1" w:lastColumn="0" w:lastRow="0" w:noHBand="0" w:noVBand="1" w:val="04A0"/>
      </w:tblPr>
      <w:tblGrid>
        <w:gridCol w:w="9689"/>
      </w:tblGrid>
      <w:tr>
        <w:tc>
          <w:tcPr>
            <w:tcW w:type="dxa" w:w="9689"/>
            <w:shd w:val="clear" w:color="auto" w:fill="E3F2FF"/>
          </w:tcPr>
          <w:p/>
          <w:p>
            <w:pPr>
              <w:spacing w:before="120" w:after="120"/>
            </w:pPr>
            <w:r>
              <w:rPr>
                <w:color w:val="1A3A6C"/>
                <w:sz w:val="20"/>
              </w:rPr>
              <w:t>ℹ  A person lacks capacity if they FAIL any Stage 2 criterion due to the Stage 1 impairment.</w:t>
            </w:r>
          </w:p>
        </w:tc>
      </w:tr>
    </w:tbl>
    <w:p/>
    <w:p>
      <w:pPr>
        <w:spacing w:before="200" w:after="60"/>
      </w:pPr>
      <w:r>
        <w:rPr>
          <w:b/>
          <w:color w:val="1A3A6C"/>
          <w:sz w:val="32"/>
        </w:rPr>
        <w:t>3.  Best Interests Assessment</w:t>
      </w:r>
    </w:p>
    <w:p>
      <w:pPr>
        <w:spacing w:before="40" w:after="80"/>
      </w:pPr>
      <w:r>
        <w:rPr>
          <w:sz w:val="22"/>
        </w:rPr>
        <w:t>Best interests extend BEYOND medical interests. Consider all of the following:</w:t>
      </w:r>
    </w:p>
    <w:p>
      <w:pPr>
        <w:pStyle w:val="ListBullet"/>
        <w:spacing w:before="20" w:after="40"/>
      </w:pPr>
      <w:r>
        <w:rPr>
          <w:sz w:val="22"/>
        </w:rPr>
        <w:t>Past wishes and values: What would this person have wanted? Advance directives, living wills, previously expressed preferences.</w:t>
      </w:r>
    </w:p>
    <w:p>
      <w:pPr>
        <w:pStyle w:val="ListBullet"/>
        <w:spacing w:before="20" w:after="40"/>
      </w:pPr>
      <w:r>
        <w:rPr>
          <w:sz w:val="22"/>
        </w:rPr>
        <w:t>Current wishes: Consider any expressed preferences even with impaired capacity.</w:t>
      </w:r>
    </w:p>
    <w:p>
      <w:pPr>
        <w:pStyle w:val="ListBullet"/>
        <w:spacing w:before="20" w:after="40"/>
      </w:pPr>
      <w:r>
        <w:rPr>
          <w:sz w:val="22"/>
        </w:rPr>
        <w:t>General well-being: Not limited to medical outcomes.</w:t>
      </w:r>
    </w:p>
    <w:p>
      <w:pPr>
        <w:pStyle w:val="ListBullet"/>
        <w:spacing w:before="20" w:after="40"/>
      </w:pPr>
      <w:r>
        <w:rPr>
          <w:sz w:val="22"/>
        </w:rPr>
        <w:t>Spiritual and religious welfare: Must be taken into account.</w:t>
      </w:r>
    </w:p>
    <w:p>
      <w:pPr>
        <w:pStyle w:val="ListBullet"/>
        <w:spacing w:before="20" w:after="40"/>
      </w:pPr>
      <w:r>
        <w:rPr>
          <w:sz w:val="22"/>
        </w:rPr>
        <w:t>Family/carer views: Consultees — not decision-makers. They cannot require treatment you do not believe appropriate, but they provide invaluable insight into the patient's values.</w:t>
      </w:r>
    </w:p>
    <w:tbl>
      <w:tblPr>
        <w:tblStyle w:val="TableGrid"/>
        <w:tblW w:type="auto" w:w="0"/>
        <w:jc w:val="center"/>
        <w:tblLook w:firstColumn="1" w:firstRow="1" w:lastColumn="0" w:lastRow="0" w:noHBand="0" w:noVBand="1" w:val="04A0"/>
      </w:tblPr>
      <w:tblGrid>
        <w:gridCol w:w="9689"/>
      </w:tblGrid>
      <w:tr>
        <w:tc>
          <w:tcPr>
            <w:tcW w:type="dxa" w:w="9689"/>
            <w:shd w:val="clear" w:color="auto" w:fill="FFF8E1"/>
          </w:tcPr>
          <w:p/>
          <w:p>
            <w:pPr>
              <w:spacing w:before="120" w:after="120"/>
            </w:pPr>
            <w:r>
              <w:rPr>
                <w:color w:val="5D4000"/>
                <w:sz w:val="20"/>
              </w:rPr>
              <w:t>💡  Two patients with identical medical conditions may have DIFFERENT best interests — because their values, beliefs, and wishes differ.</w:t>
            </w:r>
          </w:p>
        </w:tc>
      </w:tr>
    </w:tbl>
    <w:p/>
    <w:p>
      <w:pPr>
        <w:spacing w:before="200" w:after="60"/>
      </w:pPr>
      <w:r>
        <w:rPr>
          <w:b/>
          <w:color w:val="1A3A6C"/>
          <w:sz w:val="32"/>
        </w:rPr>
        <w:t>4.  When to Use Form 4</w:t>
      </w:r>
    </w:p>
    <w:p>
      <w:pPr>
        <w:spacing w:before="40" w:after="80"/>
      </w:pPr>
      <w:r>
        <w:rPr>
          <w:sz w:val="22"/>
        </w:rPr>
        <w:t>Form 4 is used when written consent would ordinarily be sought BUT the adult (18+) lacks capacity.</w:t>
      </w:r>
    </w:p>
    <w:p>
      <w:pPr>
        <w:spacing w:before="200" w:after="60"/>
      </w:pPr>
      <w:r>
        <w:rPr>
          <w:b/>
          <w:color w:val="1A3A6C"/>
          <w:sz w:val="26"/>
        </w:rPr>
        <w:t>Form 4 must document:</w:t>
      </w:r>
    </w:p>
    <w:p>
      <w:pPr>
        <w:pStyle w:val="ListBullet"/>
        <w:spacing w:before="20" w:after="40"/>
      </w:pPr>
      <w:r>
        <w:rPr>
          <w:sz w:val="22"/>
        </w:rPr>
        <w:t>Details of the proposed procedure or treatment</w:t>
      </w:r>
    </w:p>
    <w:p>
      <w:pPr>
        <w:pStyle w:val="ListBullet"/>
        <w:spacing w:before="20" w:after="40"/>
      </w:pPr>
      <w:r>
        <w:rPr>
          <w:sz w:val="22"/>
        </w:rPr>
        <w:t>Capacity assessment (how the judgement was reached, colleagues consulted, steps taken to assist patient)</w:t>
      </w:r>
    </w:p>
    <w:p>
      <w:pPr>
        <w:pStyle w:val="ListBullet"/>
        <w:spacing w:before="20" w:after="40"/>
      </w:pPr>
      <w:r>
        <w:rPr>
          <w:sz w:val="22"/>
        </w:rPr>
        <w:t>Best interests assessment (advance directive checked; family/carers consulted)</w:t>
      </w:r>
    </w:p>
    <w:p>
      <w:pPr>
        <w:pStyle w:val="ListBullet"/>
        <w:spacing w:before="20" w:after="40"/>
      </w:pPr>
      <w:r>
        <w:rPr>
          <w:sz w:val="22"/>
        </w:rPr>
        <w:t>Involvement of those close to the patient and their views</w:t>
      </w:r>
    </w:p>
    <w:p>
      <w:pPr>
        <w:pStyle w:val="ListBullet"/>
        <w:spacing w:before="20" w:after="40"/>
      </w:pPr>
      <w:r>
        <w:rPr>
          <w:sz w:val="22"/>
        </w:rPr>
        <w:t>Clinician's signature confirming procedure is in patient's best interests</w:t>
      </w:r>
    </w:p>
    <w:p>
      <w:pPr>
        <w:pStyle w:val="ListBullet"/>
        <w:spacing w:before="20" w:after="40"/>
      </w:pPr>
      <w:r>
        <w:rPr>
          <w:sz w:val="22"/>
        </w:rPr>
        <w:t>Whether a second opinion was sought</w:t>
      </w:r>
    </w:p>
    <w:p>
      <w:pPr>
        <w:spacing w:before="200" w:after="60"/>
      </w:pPr>
      <w:r>
        <w:rPr>
          <w:b/>
          <w:color w:val="1A3A6C"/>
          <w:sz w:val="32"/>
        </w:rPr>
        <w:t>5.  Urgent Treatment</w:t>
      </w:r>
    </w:p>
    <w:p>
      <w:pPr>
        <w:spacing w:before="40" w:after="80"/>
      </w:pPr>
      <w:r>
        <w:rPr>
          <w:sz w:val="22"/>
        </w:rPr>
        <w:t>If treatment is very urgent (e.g. critically ill patient), it may not be possible to complete Form 4 at the time. Document clinical decisions appropriately afterwards, including why treatment could not wait.</w:t>
      </w:r>
    </w:p>
    <w:p>
      <w:pPr>
        <w:spacing w:before="200" w:after="60"/>
      </w:pPr>
      <w:r>
        <w:rPr>
          <w:b/>
          <w:color w:val="1A3A6C"/>
          <w:sz w:val="32"/>
        </w:rPr>
        <w:t>6.  Situations Requiring High Court Approval</w:t>
      </w:r>
    </w:p>
    <w:tbl>
      <w:tblPr>
        <w:tblStyle w:val="TableGrid"/>
        <w:tblW w:type="auto" w:w="0"/>
        <w:jc w:val="center"/>
        <w:tblLook w:firstColumn="1" w:firstRow="1" w:lastColumn="0" w:lastRow="0" w:noHBand="0" w:noVBand="1" w:val="04A0"/>
      </w:tblPr>
      <w:tblGrid>
        <w:gridCol w:w="9689"/>
      </w:tblGrid>
      <w:tr>
        <w:tc>
          <w:tcPr>
            <w:tcW w:type="dxa" w:w="9689"/>
            <w:shd w:val="clear" w:color="auto" w:fill="FFEBEB"/>
          </w:tcPr>
          <w:p/>
          <w:p>
            <w:pPr>
              <w:spacing w:before="120" w:after="120"/>
            </w:pPr>
            <w:r>
              <w:rPr>
                <w:color w:val="CC0000"/>
                <w:sz w:val="20"/>
              </w:rPr>
              <w:t>⚠  The following must NEVER proceed without prior High Court approval:</w:t>
              <w:br/>
              <w:t>•  Donation of regenerative tissue (e.g. bone marrow)</w:t>
              <w:br/>
              <w:t>•  Sterilisation for contraceptive purposes</w:t>
              <w:br/>
              <w:t>•  Withdrawal of artificial nutrition/hydration from a patient in PVS</w:t>
            </w:r>
          </w:p>
        </w:tc>
      </w:tr>
    </w:tbl>
    <w:p/>
    <w:p>
      <w:pPr>
        <w:spacing w:before="200" w:after="60"/>
      </w:pPr>
      <w:r>
        <w:rPr>
          <w:b/>
          <w:color w:val="1A3A6C"/>
          <w:sz w:val="32"/>
        </w:rPr>
        <w:t>7.  Advance Decisions to Refuse Treatment (Living Wills)</w:t>
      </w:r>
    </w:p>
    <w:p>
      <w:pPr>
        <w:pStyle w:val="ListBullet"/>
        <w:spacing w:before="20" w:after="40"/>
      </w:pPr>
      <w:r>
        <w:rPr>
          <w:sz w:val="22"/>
        </w:rPr>
        <w:t>A valid and applicable advance decision to refuse treatment MUST be respected — even if the patient now lacks capacity.</w:t>
      </w:r>
    </w:p>
    <w:p>
      <w:pPr>
        <w:pStyle w:val="ListBullet"/>
        <w:spacing w:before="20" w:after="40"/>
      </w:pPr>
      <w:r>
        <w:rPr>
          <w:sz w:val="22"/>
        </w:rPr>
        <w:t>Valid = made with capacity, not withdrawn, patient has not acted inconsistently with it since.</w:t>
      </w:r>
    </w:p>
    <w:p>
      <w:pPr>
        <w:pStyle w:val="ListBullet"/>
        <w:spacing w:before="20" w:after="40"/>
      </w:pPr>
      <w:r>
        <w:rPr>
          <w:sz w:val="22"/>
        </w:rPr>
        <w:t>Applicable = circumstances match what was specified in the advance decision.</w:t>
      </w:r>
    </w:p>
    <w:p>
      <w:pPr>
        <w:pStyle w:val="ListBullet"/>
        <w:spacing w:before="20" w:after="40"/>
      </w:pPr>
      <w:r>
        <w:rPr>
          <w:sz w:val="22"/>
        </w:rPr>
        <w:t>Advance decisions refusing LIFE-SUSTAINING treatment must be in writing, signed, and witnessed.</w:t>
      </w:r>
    </w:p>
    <w:p>
      <w:pPr>
        <w:pStyle w:val="ListBullet"/>
        <w:spacing w:before="20" w:after="40"/>
      </w:pPr>
      <w:r>
        <w:rPr>
          <w:sz w:val="22"/>
        </w:rPr>
        <w:t>If uncertain about validity: treat in best interests while investigating. Seek legal advice if needed.</w:t>
      </w:r>
    </w:p>
    <w:p>
      <w:pPr>
        <w:spacing w:before="200" w:after="60"/>
      </w:pPr>
      <w:r>
        <w:rPr>
          <w:b/>
          <w:color w:val="1A3A6C"/>
          <w:sz w:val="32"/>
        </w:rPr>
        <w:t>8.  Mental Health Act 1983 (MHA) — Relationship</w:t>
      </w:r>
    </w:p>
    <w:p>
      <w:pPr>
        <w:spacing w:before="40" w:after="80"/>
      </w:pPr>
      <w:r>
        <w:rPr>
          <w:sz w:val="22"/>
        </w:rPr>
        <w:t>If treatment is being provided under Part IV of the Mental Health Act 1983, different statutory provisions apply. Form 4 (MCA) does not replace MHA statutory forms but may be used as supplementary documentation.</w:t>
      </w:r>
    </w:p>
    <w:p>
      <w:pPr>
        <w:spacing w:before="200" w:after="60"/>
      </w:pPr>
      <w:r>
        <w:rPr>
          <w:b/>
          <w:color w:val="1A3A6C"/>
          <w:sz w:val="32"/>
        </w:rPr>
        <w:t>9.  SCA Communication Phrases</w:t>
      </w:r>
    </w:p>
    <w:p>
      <w:pPr>
        <w:pStyle w:val="ListBullet"/>
        <w:spacing w:before="20" w:after="40"/>
      </w:pPr>
      <w:r>
        <w:rPr>
          <w:sz w:val="22"/>
        </w:rPr>
        <w:t>"We always try to involve the people closest to you — not because they can decide, but because they know you best."</w:t>
      </w:r>
    </w:p>
    <w:p>
      <w:pPr>
        <w:pStyle w:val="ListBullet"/>
        <w:spacing w:before="20" w:after="40"/>
      </w:pPr>
      <w:r>
        <w:rPr>
          <w:sz w:val="22"/>
        </w:rPr>
        <w:t>"Even though [patient] can't tell us right now, we still try to understand what they would have wanted."</w:t>
      </w:r>
    </w:p>
    <w:p>
      <w:pPr>
        <w:pStyle w:val="ListBullet"/>
        <w:spacing w:before="20" w:after="40"/>
      </w:pPr>
      <w:r>
        <w:rPr>
          <w:sz w:val="22"/>
        </w:rPr>
        <w:t>"My job is to make sure any decision is in [patient's] best interests — that includes their values, not just their medical condition."</w:t>
      </w:r>
    </w:p>
    <w:p>
      <w:pPr>
        <w:pStyle w:val="ListBullet"/>
        <w:spacing w:before="20" w:after="40"/>
      </w:pPr>
      <w:r>
        <w:rPr>
          <w:sz w:val="22"/>
        </w:rPr>
        <w:t>"If you have concerns, we can arrange a second opinion — it's completely understandable to want that reassurance."</w:t>
      </w:r>
    </w:p>
    <w:p/>
    <w:tbl>
      <w:tblPr>
        <w:tblW w:type="auto" w:w="0"/>
        <w:jc w:val="center"/>
        <w:tblLook w:firstColumn="1" w:firstRow="1" w:lastColumn="0" w:lastRow="0" w:noHBand="0" w:noVBand="1" w:val="04A0"/>
      </w:tblPr>
      <w:tblGrid>
        <w:gridCol w:w="9689"/>
      </w:tblGrid>
      <w:tr>
        <w:tc>
          <w:tcPr>
            <w:tcW w:type="dxa" w:w="9689"/>
            <w:shd w:val="clear" w:color="auto" w:fill="1A3A6C"/>
          </w:tcPr>
          <w:p/>
          <w:p>
            <w:pPr>
              <w:spacing w:before="160" w:after="160"/>
            </w:pPr>
            <w:r>
              <w:rPr>
                <w:color w:val="FFFFFF"/>
                <w:sz w:val="20"/>
              </w:rPr>
              <w:t>✓  Always presume capacity — never assume lacking without proper assessment</w:t>
              <w:br/>
            </w:r>
            <w:r>
              <w:rPr>
                <w:color w:val="FFFFFF"/>
                <w:sz w:val="20"/>
              </w:rPr>
              <w:t>✓  Capacity is DECISION-SPECIFIC</w:t>
              <w:br/>
            </w:r>
            <w:r>
              <w:rPr>
                <w:color w:val="FFFFFF"/>
                <w:sz w:val="20"/>
              </w:rPr>
              <w:t>✓  Best interests ≠ best medical interests</w:t>
              <w:br/>
            </w:r>
            <w:r>
              <w:rPr>
                <w:color w:val="FFFFFF"/>
                <w:sz w:val="20"/>
              </w:rPr>
              <w:t>✓  Family/carers are consultees, not decision-makers</w:t>
              <w:br/>
            </w:r>
            <w:r>
              <w:rPr>
                <w:color w:val="FFFFFF"/>
                <w:sz w:val="20"/>
              </w:rPr>
              <w:t>✓  Document everything: capacity, best interests, family involvement</w:t>
              <w:br/>
            </w:r>
            <w:r>
              <w:rPr>
                <w:color w:val="FFFFFF"/>
                <w:sz w:val="20"/>
              </w:rPr>
              <w:t>✓  Valid advance decisions to refuse treatment MUST be respected</w:t>
              <w:br/>
            </w:r>
            <w:r>
              <w:rPr>
                <w:color w:val="FFFFFF"/>
                <w:sz w:val="20"/>
              </w:rPr>
              <w:t>✓  High Court approval required for: tissue donation, sterilisation, withdrawal of nutrition in PVS</w:t>
              <w:br/>
            </w:r>
            <w:r>
              <w:rPr>
                <w:color w:val="FFFFFF"/>
                <w:sz w:val="20"/>
              </w:rPr>
              <w:t>✓  IMCA (Independent Mental Capacity Advocate) needed if no family/carers to consult</w:t>
              <w:br/>
            </w:r>
          </w:p>
        </w:tc>
      </w:tr>
    </w:tbl>
    <w:p/>
    <w:tbl>
      <w:tblPr>
        <w:tblW w:type="auto" w:w="0"/>
        <w:jc w:val="center"/>
        <w:tblLook w:firstColumn="1" w:firstRow="1" w:lastColumn="0" w:lastRow="0" w:noHBand="0" w:noVBand="1" w:val="04A0"/>
      </w:tblPr>
      <w:tblGrid>
        <w:gridCol w:w="9689"/>
      </w:tblGrid>
      <w:tr>
        <w:tc>
          <w:tcPr>
            <w:tcW w:type="dxa" w:w="9689"/>
            <w:shd w:val="clear" w:color="auto" w:fill="FFF3CD"/>
          </w:tcPr>
          <w:p/>
          <w:p>
            <w:pPr>
              <w:spacing w:before="160" w:after="160"/>
            </w:pPr>
            <w:r>
              <w:rPr>
                <w:b/>
                <w:color w:val="804000"/>
                <w:sz w:val="20"/>
              </w:rPr>
              <w:t xml:space="preserve">⚠ Disclaimer: </w:t>
            </w:r>
            <w:r>
              <w:rPr>
                <w:i/>
                <w:sz w:val="20"/>
              </w:rPr>
              <w:t>Always double check this advice and drug doses with the latest NICE/BNF guidance. This document is for educational purposes only.</w:t>
            </w:r>
          </w:p>
        </w:tc>
      </w:tr>
    </w:tbl>
    <w:p/>
    <w:p>
      <w:pPr>
        <w:jc w:val="center"/>
      </w:pPr>
      <w:r>
        <w:rPr>
          <w:i/>
          <w:color w:val="666666"/>
          <w:sz w:val="18"/>
        </w:rPr>
        <w:t>A free resource from www.bradfordvts.co.uk  ·  Dr Ramesh Mehay  ·  May 2026</w:t>
      </w:r>
    </w:p>
    <w:sectPr w:rsidR="00FC693F" w:rsidRPr="0006063C" w:rsidSect="00034616">
      <w:footerReference w:type="default" r:id="rId9"/>
      <w:pgSz w:w="12240" w:h="15840"/>
      <w:pgMar w:top="1134" w:right="1134"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i/>
        <w:color w:val="666666"/>
        <w:sz w:val="16"/>
      </w:rPr>
      <w:t>A free resource provided by www.bradfordvts.co.uk  ·  Dr Ramesh Mehay  ·  revised May 2026</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