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footer+xml" PartName="/word/footer1.xml"/>
  <Override ContentType="application/vnd.openxmlformats-officedocument.wordprocessingml.footer+xml" PartName="/word/footer2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none"/>
              <w:left w:val="none"/>
              <w:bottom w:val="single" w:color="B07410" w:sz="36"/>
              <w:right w:val="none"/>
            </w:tcBorders>
            <w:shd w:fill="0E5C5B" w:val="clear"/>
            <w:tcMar>
              <w:top w:type="dxa" w:w="360"/>
              <w:left w:type="dxa" w:w="300"/>
              <w:bottom w:type="dxa" w:w="340"/>
              <w:right w:type="dxa" w:w="300"/>
            </w:tcMar>
          </w:tcPr>
          <w:p>
            <w:pPr>
              <w:spacing w:after="140"/>
            </w:pPr>
            <w:r>
              <w:rPr>
                <w:rFonts w:ascii="Arial" w:cs="Arial" w:eastAsia="Arial" w:hAnsi="Arial"/>
                <w:b/>
                <w:bCs/>
                <w:color w:val="BBD9D7"/>
                <w:spacing w:val="80"/>
                <w:sz w:val="18"/>
                <w:szCs w:val="18"/>
              </w:rPr>
              <w:t xml:space="preserve">BRADFORD VTS TEACHING AIDS</w:t>
            </w:r>
          </w:p>
          <w:p>
            <w:pPr>
              <w:spacing w:after="60"/>
            </w:pPr>
            <w:r>
              <w:rPr>
                <w:rFonts w:ascii="Arial" w:cs="Arial" w:eastAsia="Arial" w:hAnsi="Arial"/>
                <w:b/>
                <w:bCs/>
                <w:color w:val="FFFFFF"/>
                <w:sz w:val="54"/>
                <w:szCs w:val="54"/>
              </w:rPr>
              <w:t xml:space="preserve">Acute Arthritis</w:t>
            </w:r>
          </w:p>
          <w:p>
            <w:pPr>
              <w:spacing w:after="150"/>
            </w:pPr>
            <w:r>
              <w:rPr>
                <w:rFonts w:ascii="Arial" w:cs="Arial" w:eastAsia="Arial" w:hAnsi="Arial"/>
                <w:b/>
                <w:bCs/>
                <w:color w:val="F2C879"/>
                <w:sz w:val="40"/>
                <w:szCs w:val="40"/>
              </w:rPr>
              <w:t xml:space="preserve">The Differential at a Glance</w:t>
            </w:r>
          </w:p>
          <w:p>
            <w:r>
              <w:rPr>
                <w:rFonts w:ascii="Arial" w:cs="Arial" w:eastAsia="Arial" w:hAnsi="Arial"/>
                <w:i/>
                <w:iCs/>
                <w:color w:val="DCEAE9"/>
                <w:sz w:val="23"/>
                <w:szCs w:val="23"/>
              </w:rPr>
              <w:t xml:space="preserve">A pattern-recognition guide to the distinguishing features of the common causes.</w:t>
            </w:r>
          </w:p>
        </w:tc>
      </w:tr>
    </w:tbl>
    <w:p>
      <w:pPr>
        <w:tabs>
          <w:tab w:val="right" w:pos="9026"/>
        </w:tabs>
        <w:spacing w:after="40" w:before="160"/>
      </w:pPr>
      <w:r>
        <w:rPr>
          <w:rFonts w:ascii="Arial" w:cs="Arial" w:eastAsia="Arial" w:hAnsi="Arial"/>
          <w:color w:val="5C6E6D"/>
          <w:sz w:val="20"/>
          <w:szCs w:val="20"/>
        </w:rPr>
        <w:t xml:space="preserve">Based on: </w:t>
      </w:r>
      <w:r>
        <w:rPr>
          <w:rFonts w:ascii="Arial" w:cs="Arial" w:eastAsia="Arial" w:hAnsi="Arial"/>
          <w:b/>
          <w:bCs/>
          <w:color w:val="19302F"/>
          <w:sz w:val="20"/>
          <w:szCs w:val="20"/>
        </w:rPr>
        <w:t xml:space="preserve">McInnes et al., Practitioner 1994;238:222</w:t>
      </w:r>
      <w:r>
        <w:rPr>
          <w:rFonts w:ascii="Arial" w:cs="Arial" w:eastAsia="Arial" w:hAnsi="Arial"/>
          <w:color w:val="5C6E6D"/>
          <w:sz w:val="20"/>
          <w:szCs w:val="20"/>
        </w:rPr>
        <w:t xml:space="preserve">	Reviewed &amp; updated: June 2026</w:t>
      </w:r>
    </w:p>
    <w:p>
      <w:pPr>
        <w:pBdr>
          <w:bottom w:val="single" w:color="D5E0DF" w:sz="6" w:space="6"/>
        </w:pBdr>
        <w:spacing w:after="160"/>
      </w:pPr>
      <w:r>
        <w:t xml:space="preserve"/>
      </w:r>
    </w:p>
    <w:p>
      <w:pPr>
        <w:spacing w:after="120" w:line="276"/>
      </w:pPr>
      <w:r>
        <w:rPr>
          <w:rFonts w:ascii="Arial" w:cs="Arial" w:eastAsia="Arial" w:hAnsi="Arial"/>
          <w:color w:val="19302F"/>
          <w:sz w:val="22"/>
          <w:szCs w:val="22"/>
        </w:rPr>
        <w:t xml:space="preserve">This guide compares the common causes of acute arthritis across six clinical features. The dots show how typical each feature is for each condition — use it to recognise patterns, not to make a diagnosis on its own.</w:t>
      </w:r>
    </w:p>
    <w:p>
      <w:pPr>
        <w:spacing w:after="40"/>
      </w:pPr>
      <w:r>
        <w:t xml:space="preserve"/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80"/>
        <w:gridCol w:w="1157"/>
        <w:gridCol w:w="1157"/>
        <w:gridCol w:w="1157"/>
        <w:gridCol w:w="1157"/>
        <w:gridCol w:w="1157"/>
        <w:gridCol w:w="1161"/>
      </w:tblGrid>
      <w:tr>
        <w:trPr>
          <w:tblHeader/>
        </w:trPr>
        <w:tc>
          <w:tcPr>
            <w:tcW w:type="dxa" w:w="2080"/>
            <w:tcBorders>
              <w:top w:val="single" w:color="FFFFFF" w:sz="2"/>
              <w:left w:val="none"/>
              <w:bottom w:val="single" w:color="FFFFFF" w:sz="2"/>
              <w:right w:val="none"/>
            </w:tcBorders>
            <w:shd w:fill="0E5C5B" w:val="clear"/>
            <w:tcMar>
              <w:top w:type="dxa" w:w="110"/>
              <w:left w:type="dxa" w:w="70"/>
              <w:bottom w:type="dxa" w:w="110"/>
              <w:right w:type="dxa" w:w="7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1"/>
                <w:szCs w:val="21"/>
              </w:rPr>
              <w:t xml:space="preserve">Condition</w:t>
            </w:r>
          </w:p>
        </w:tc>
        <w:tc>
          <w:tcPr>
            <w:tcW w:type="dxa" w:w="1157"/>
            <w:tcBorders>
              <w:top w:val="single" w:color="FFFFFF" w:sz="2"/>
              <w:left w:val="none"/>
              <w:bottom w:val="single" w:color="FFFFFF" w:sz="2"/>
              <w:right w:val="none"/>
            </w:tcBorders>
            <w:shd w:fill="0E5C5B" w:val="clear"/>
            <w:tcMar>
              <w:top w:type="dxa" w:w="110"/>
              <w:left w:type="dxa" w:w="70"/>
              <w:bottom w:type="dxa" w:w="11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Polyarthritis</w:t>
            </w:r>
          </w:p>
        </w:tc>
        <w:tc>
          <w:tcPr>
            <w:tcW w:type="dxa" w:w="1157"/>
            <w:tcBorders>
              <w:top w:val="single" w:color="FFFFFF" w:sz="2"/>
              <w:left w:val="none"/>
              <w:bottom w:val="single" w:color="FFFFFF" w:sz="2"/>
              <w:right w:val="none"/>
            </w:tcBorders>
            <w:shd w:fill="0E5C5B" w:val="clear"/>
            <w:tcMar>
              <w:top w:type="dxa" w:w="110"/>
              <w:left w:type="dxa" w:w="70"/>
              <w:bottom w:type="dxa" w:w="11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Morning stiffness</w:t>
            </w:r>
          </w:p>
        </w:tc>
        <w:tc>
          <w:tcPr>
            <w:tcW w:type="dxa" w:w="1157"/>
            <w:tcBorders>
              <w:top w:val="single" w:color="FFFFFF" w:sz="2"/>
              <w:left w:val="none"/>
              <w:bottom w:val="single" w:color="FFFFFF" w:sz="2"/>
              <w:right w:val="none"/>
            </w:tcBorders>
            <w:shd w:fill="0E5C5B" w:val="clear"/>
            <w:tcMar>
              <w:top w:type="dxa" w:w="110"/>
              <w:left w:type="dxa" w:w="70"/>
              <w:bottom w:type="dxa" w:w="11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Systemic symptoms</w:t>
            </w:r>
          </w:p>
        </w:tc>
        <w:tc>
          <w:tcPr>
            <w:tcW w:type="dxa" w:w="1157"/>
            <w:tcBorders>
              <w:top w:val="single" w:color="FFFFFF" w:sz="2"/>
              <w:left w:val="none"/>
              <w:bottom w:val="single" w:color="FFFFFF" w:sz="2"/>
              <w:right w:val="none"/>
            </w:tcBorders>
            <w:shd w:fill="0E5C5B" w:val="clear"/>
            <w:tcMar>
              <w:top w:type="dxa" w:w="110"/>
              <w:left w:type="dxa" w:w="70"/>
              <w:bottom w:type="dxa" w:w="11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Rash</w:t>
            </w:r>
          </w:p>
        </w:tc>
        <w:tc>
          <w:tcPr>
            <w:tcW w:type="dxa" w:w="1157"/>
            <w:tcBorders>
              <w:top w:val="single" w:color="FFFFFF" w:sz="2"/>
              <w:left w:val="none"/>
              <w:bottom w:val="single" w:color="FFFFFF" w:sz="2"/>
              <w:right w:val="none"/>
            </w:tcBorders>
            <w:shd w:fill="0E5C5B" w:val="clear"/>
            <w:tcMar>
              <w:top w:type="dxa" w:w="110"/>
              <w:left w:type="dxa" w:w="70"/>
              <w:bottom w:type="dxa" w:w="11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Synovitis</w:t>
            </w:r>
          </w:p>
        </w:tc>
        <w:tc>
          <w:tcPr>
            <w:tcW w:type="dxa" w:w="1161"/>
            <w:tcBorders>
              <w:top w:val="single" w:color="FFFFFF" w:sz="2"/>
              <w:left w:val="none"/>
              <w:bottom w:val="single" w:color="FFFFFF" w:sz="2"/>
              <w:right w:val="none"/>
            </w:tcBorders>
            <w:shd w:fill="0E5C5B" w:val="clear"/>
            <w:tcMar>
              <w:top w:type="dxa" w:w="110"/>
              <w:left w:type="dxa" w:w="70"/>
              <w:bottom w:type="dxa" w:w="110"/>
              <w:right w:type="dxa" w:w="7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Backache</w:t>
            </w:r>
          </w:p>
        </w:tc>
      </w:tr>
      <w:tr>
        <w:tc>
          <w:tcPr>
            <w:tcW w:type="dxa" w:w="2080"/>
            <w:tcBorders>
              <w:top w:val="single" w:color="D5E0DF" w:sz="2"/>
              <w:left w:val="none"/>
              <w:bottom w:val="single" w:color="D5E0DF" w:sz="2"/>
              <w:right w:val="none"/>
            </w:tcBorders>
            <w:shd w:fill="EEF4F3" w:val="clear"/>
            <w:tcMar>
              <w:top w:type="dxa" w:w="110"/>
              <w:left w:type="dxa" w:w="70"/>
              <w:bottom w:type="dxa" w:w="110"/>
              <w:right w:type="dxa" w:w="7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9302F"/>
                <w:sz w:val="21"/>
                <w:szCs w:val="21"/>
              </w:rPr>
              <w:t xml:space="preserve">Rheumatoid arthritis</w:t>
            </w:r>
          </w:p>
        </w:tc>
        <w:tc>
          <w:tcPr>
            <w:tcW w:type="dxa" w:w="1157"/>
            <w:tcBorders>
              <w:top w:val="single" w:color="D5E0DF" w:sz="2"/>
              <w:left w:val="none"/>
              <w:bottom w:val="single" w:color="D5E0DF" w:sz="2"/>
              <w:right w:val="none"/>
            </w:tcBorders>
            <w:shd w:fill="EEF4F3" w:val="clear"/>
            <w:tcMar>
              <w:top w:type="dxa" w:w="110"/>
              <w:left w:type="dxa" w:w="70"/>
              <w:bottom w:type="dxa" w:w="110"/>
              <w:right w:type="dxa" w:w="7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color w:val="0E5C5B"/>
                <w:spacing w:val="36"/>
                <w:sz w:val="26"/>
                <w:szCs w:val="26"/>
              </w:rPr>
              <w:t xml:space="preserve">•••</w:t>
            </w:r>
          </w:p>
        </w:tc>
        <w:tc>
          <w:tcPr>
            <w:tcW w:type="dxa" w:w="1157"/>
            <w:tcBorders>
              <w:top w:val="single" w:color="D5E0DF" w:sz="2"/>
              <w:left w:val="none"/>
              <w:bottom w:val="single" w:color="D5E0DF" w:sz="2"/>
              <w:right w:val="none"/>
            </w:tcBorders>
            <w:shd w:fill="EEF4F3" w:val="clear"/>
            <w:tcMar>
              <w:top w:type="dxa" w:w="110"/>
              <w:left w:type="dxa" w:w="70"/>
              <w:bottom w:type="dxa" w:w="110"/>
              <w:right w:type="dxa" w:w="7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color w:val="0E5C5B"/>
                <w:spacing w:val="36"/>
                <w:sz w:val="26"/>
                <w:szCs w:val="26"/>
              </w:rPr>
              <w:t xml:space="preserve">•••</w:t>
            </w:r>
          </w:p>
        </w:tc>
        <w:tc>
          <w:tcPr>
            <w:tcW w:type="dxa" w:w="1157"/>
            <w:tcBorders>
              <w:top w:val="single" w:color="D5E0DF" w:sz="2"/>
              <w:left w:val="none"/>
              <w:bottom w:val="single" w:color="D5E0DF" w:sz="2"/>
              <w:right w:val="none"/>
            </w:tcBorders>
            <w:shd w:fill="EEF4F3" w:val="clear"/>
            <w:tcMar>
              <w:top w:type="dxa" w:w="110"/>
              <w:left w:type="dxa" w:w="70"/>
              <w:bottom w:type="dxa" w:w="110"/>
              <w:right w:type="dxa" w:w="7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color w:val="0E5C5B"/>
                <w:spacing w:val="36"/>
                <w:sz w:val="26"/>
                <w:szCs w:val="26"/>
              </w:rPr>
              <w:t xml:space="preserve">••</w:t>
            </w:r>
          </w:p>
        </w:tc>
        <w:tc>
          <w:tcPr>
            <w:tcW w:type="dxa" w:w="1157"/>
            <w:tcBorders>
              <w:top w:val="single" w:color="D5E0DF" w:sz="2"/>
              <w:left w:val="none"/>
              <w:bottom w:val="single" w:color="D5E0DF" w:sz="2"/>
              <w:right w:val="none"/>
            </w:tcBorders>
            <w:shd w:fill="EEF4F3" w:val="clear"/>
            <w:tcMar>
              <w:top w:type="dxa" w:w="110"/>
              <w:left w:type="dxa" w:w="70"/>
              <w:bottom w:type="dxa" w:w="110"/>
              <w:right w:type="dxa" w:w="7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color w:val="5C6E6D"/>
                <w:sz w:val="22"/>
                <w:szCs w:val="22"/>
              </w:rPr>
              <w:t xml:space="preserve">–</w:t>
            </w:r>
          </w:p>
        </w:tc>
        <w:tc>
          <w:tcPr>
            <w:tcW w:type="dxa" w:w="1157"/>
            <w:tcBorders>
              <w:top w:val="single" w:color="D5E0DF" w:sz="2"/>
              <w:left w:val="none"/>
              <w:bottom w:val="single" w:color="D5E0DF" w:sz="2"/>
              <w:right w:val="none"/>
            </w:tcBorders>
            <w:shd w:fill="EEF4F3" w:val="clear"/>
            <w:tcMar>
              <w:top w:type="dxa" w:w="110"/>
              <w:left w:type="dxa" w:w="70"/>
              <w:bottom w:type="dxa" w:w="110"/>
              <w:right w:type="dxa" w:w="7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color w:val="0E5C5B"/>
                <w:spacing w:val="36"/>
                <w:sz w:val="26"/>
                <w:szCs w:val="26"/>
              </w:rPr>
              <w:t xml:space="preserve">•••</w:t>
            </w:r>
          </w:p>
        </w:tc>
        <w:tc>
          <w:tcPr>
            <w:tcW w:type="dxa" w:w="1161"/>
            <w:tcBorders>
              <w:top w:val="single" w:color="D5E0DF" w:sz="2"/>
              <w:left w:val="none"/>
              <w:bottom w:val="single" w:color="D5E0DF" w:sz="2"/>
              <w:right w:val="none"/>
            </w:tcBorders>
            <w:shd w:fill="EEF4F3" w:val="clear"/>
            <w:tcMar>
              <w:top w:type="dxa" w:w="110"/>
              <w:left w:type="dxa" w:w="70"/>
              <w:bottom w:type="dxa" w:w="110"/>
              <w:right w:type="dxa" w:w="7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color w:val="5C6E6D"/>
                <w:sz w:val="22"/>
                <w:szCs w:val="22"/>
              </w:rPr>
              <w:t xml:space="preserve">–</w:t>
            </w:r>
          </w:p>
        </w:tc>
      </w:tr>
      <w:tr>
        <w:tc>
          <w:tcPr>
            <w:tcW w:type="dxa" w:w="2080"/>
            <w:tcBorders>
              <w:top w:val="single" w:color="D5E0DF" w:sz="2"/>
              <w:left w:val="none"/>
              <w:bottom w:val="single" w:color="D5E0DF" w:sz="2"/>
              <w:right w:val="none"/>
            </w:tcBorders>
            <w:shd w:fill="FFFFFF" w:val="clear"/>
            <w:tcMar>
              <w:top w:type="dxa" w:w="110"/>
              <w:left w:type="dxa" w:w="70"/>
              <w:bottom w:type="dxa" w:w="110"/>
              <w:right w:type="dxa" w:w="7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9302F"/>
                <w:sz w:val="21"/>
                <w:szCs w:val="21"/>
              </w:rPr>
              <w:t xml:space="preserve">Osteoarthritis</w:t>
            </w:r>
          </w:p>
        </w:tc>
        <w:tc>
          <w:tcPr>
            <w:tcW w:type="dxa" w:w="1157"/>
            <w:tcBorders>
              <w:top w:val="single" w:color="D5E0DF" w:sz="2"/>
              <w:left w:val="none"/>
              <w:bottom w:val="single" w:color="D5E0DF" w:sz="2"/>
              <w:right w:val="none"/>
            </w:tcBorders>
            <w:shd w:fill="FFFFFF" w:val="clear"/>
            <w:tcMar>
              <w:top w:type="dxa" w:w="110"/>
              <w:left w:type="dxa" w:w="70"/>
              <w:bottom w:type="dxa" w:w="110"/>
              <w:right w:type="dxa" w:w="7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color w:val="0E5C5B"/>
                <w:spacing w:val="36"/>
                <w:sz w:val="26"/>
                <w:szCs w:val="26"/>
              </w:rPr>
              <w:t xml:space="preserve">••</w:t>
            </w:r>
          </w:p>
        </w:tc>
        <w:tc>
          <w:tcPr>
            <w:tcW w:type="dxa" w:w="1157"/>
            <w:tcBorders>
              <w:top w:val="single" w:color="D5E0DF" w:sz="2"/>
              <w:left w:val="none"/>
              <w:bottom w:val="single" w:color="D5E0DF" w:sz="2"/>
              <w:right w:val="none"/>
            </w:tcBorders>
            <w:shd w:fill="FFFFFF" w:val="clear"/>
            <w:tcMar>
              <w:top w:type="dxa" w:w="110"/>
              <w:left w:type="dxa" w:w="70"/>
              <w:bottom w:type="dxa" w:w="110"/>
              <w:right w:type="dxa" w:w="7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color w:val="0E5C5B"/>
                <w:spacing w:val="36"/>
                <w:sz w:val="26"/>
                <w:szCs w:val="26"/>
              </w:rPr>
              <w:t xml:space="preserve">•</w:t>
            </w:r>
          </w:p>
        </w:tc>
        <w:tc>
          <w:tcPr>
            <w:tcW w:type="dxa" w:w="1157"/>
            <w:tcBorders>
              <w:top w:val="single" w:color="D5E0DF" w:sz="2"/>
              <w:left w:val="none"/>
              <w:bottom w:val="single" w:color="D5E0DF" w:sz="2"/>
              <w:right w:val="none"/>
            </w:tcBorders>
            <w:shd w:fill="FFFFFF" w:val="clear"/>
            <w:tcMar>
              <w:top w:type="dxa" w:w="110"/>
              <w:left w:type="dxa" w:w="70"/>
              <w:bottom w:type="dxa" w:w="110"/>
              <w:right w:type="dxa" w:w="7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color w:val="5C6E6D"/>
                <w:sz w:val="22"/>
                <w:szCs w:val="22"/>
              </w:rPr>
              <w:t xml:space="preserve">–</w:t>
            </w:r>
          </w:p>
        </w:tc>
        <w:tc>
          <w:tcPr>
            <w:tcW w:type="dxa" w:w="1157"/>
            <w:tcBorders>
              <w:top w:val="single" w:color="D5E0DF" w:sz="2"/>
              <w:left w:val="none"/>
              <w:bottom w:val="single" w:color="D5E0DF" w:sz="2"/>
              <w:right w:val="none"/>
            </w:tcBorders>
            <w:shd w:fill="FFFFFF" w:val="clear"/>
            <w:tcMar>
              <w:top w:type="dxa" w:w="110"/>
              <w:left w:type="dxa" w:w="70"/>
              <w:bottom w:type="dxa" w:w="110"/>
              <w:right w:type="dxa" w:w="7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color w:val="5C6E6D"/>
                <w:sz w:val="22"/>
                <w:szCs w:val="22"/>
              </w:rPr>
              <w:t xml:space="preserve">–</w:t>
            </w:r>
          </w:p>
        </w:tc>
        <w:tc>
          <w:tcPr>
            <w:tcW w:type="dxa" w:w="1157"/>
            <w:tcBorders>
              <w:top w:val="single" w:color="D5E0DF" w:sz="2"/>
              <w:left w:val="none"/>
              <w:bottom w:val="single" w:color="D5E0DF" w:sz="2"/>
              <w:right w:val="none"/>
            </w:tcBorders>
            <w:shd w:fill="FFFFFF" w:val="clear"/>
            <w:tcMar>
              <w:top w:type="dxa" w:w="110"/>
              <w:left w:type="dxa" w:w="70"/>
              <w:bottom w:type="dxa" w:w="110"/>
              <w:right w:type="dxa" w:w="7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color w:val="0E5C5B"/>
                <w:spacing w:val="36"/>
                <w:sz w:val="26"/>
                <w:szCs w:val="26"/>
              </w:rPr>
              <w:t xml:space="preserve">•</w:t>
            </w:r>
          </w:p>
        </w:tc>
        <w:tc>
          <w:tcPr>
            <w:tcW w:type="dxa" w:w="1161"/>
            <w:tcBorders>
              <w:top w:val="single" w:color="D5E0DF" w:sz="2"/>
              <w:left w:val="none"/>
              <w:bottom w:val="single" w:color="D5E0DF" w:sz="2"/>
              <w:right w:val="none"/>
            </w:tcBorders>
            <w:shd w:fill="FFFFFF" w:val="clear"/>
            <w:tcMar>
              <w:top w:type="dxa" w:w="110"/>
              <w:left w:type="dxa" w:w="70"/>
              <w:bottom w:type="dxa" w:w="110"/>
              <w:right w:type="dxa" w:w="7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color w:val="0E5C5B"/>
                <w:spacing w:val="36"/>
                <w:sz w:val="26"/>
                <w:szCs w:val="26"/>
              </w:rPr>
              <w:t xml:space="preserve">••</w:t>
            </w:r>
          </w:p>
        </w:tc>
      </w:tr>
      <w:tr>
        <w:tc>
          <w:tcPr>
            <w:tcW w:type="dxa" w:w="2080"/>
            <w:tcBorders>
              <w:top w:val="single" w:color="D5E0DF" w:sz="2"/>
              <w:left w:val="none"/>
              <w:bottom w:val="single" w:color="D5E0DF" w:sz="2"/>
              <w:right w:val="none"/>
            </w:tcBorders>
            <w:shd w:fill="EEF4F3" w:val="clear"/>
            <w:tcMar>
              <w:top w:type="dxa" w:w="110"/>
              <w:left w:type="dxa" w:w="70"/>
              <w:bottom w:type="dxa" w:w="110"/>
              <w:right w:type="dxa" w:w="7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9302F"/>
                <w:sz w:val="21"/>
                <w:szCs w:val="21"/>
              </w:rPr>
              <w:t xml:space="preserve">Systemic lupus erythematosus</w:t>
            </w:r>
          </w:p>
        </w:tc>
        <w:tc>
          <w:tcPr>
            <w:tcW w:type="dxa" w:w="1157"/>
            <w:tcBorders>
              <w:top w:val="single" w:color="D5E0DF" w:sz="2"/>
              <w:left w:val="none"/>
              <w:bottom w:val="single" w:color="D5E0DF" w:sz="2"/>
              <w:right w:val="none"/>
            </w:tcBorders>
            <w:shd w:fill="EEF4F3" w:val="clear"/>
            <w:tcMar>
              <w:top w:type="dxa" w:w="110"/>
              <w:left w:type="dxa" w:w="70"/>
              <w:bottom w:type="dxa" w:w="110"/>
              <w:right w:type="dxa" w:w="7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color w:val="0E5C5B"/>
                <w:spacing w:val="36"/>
                <w:sz w:val="26"/>
                <w:szCs w:val="26"/>
              </w:rPr>
              <w:t xml:space="preserve">••</w:t>
            </w:r>
          </w:p>
        </w:tc>
        <w:tc>
          <w:tcPr>
            <w:tcW w:type="dxa" w:w="1157"/>
            <w:tcBorders>
              <w:top w:val="single" w:color="D5E0DF" w:sz="2"/>
              <w:left w:val="none"/>
              <w:bottom w:val="single" w:color="D5E0DF" w:sz="2"/>
              <w:right w:val="none"/>
            </w:tcBorders>
            <w:shd w:fill="EEF4F3" w:val="clear"/>
            <w:tcMar>
              <w:top w:type="dxa" w:w="110"/>
              <w:left w:type="dxa" w:w="70"/>
              <w:bottom w:type="dxa" w:w="110"/>
              <w:right w:type="dxa" w:w="7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color w:val="0E5C5B"/>
                <w:spacing w:val="36"/>
                <w:sz w:val="26"/>
                <w:szCs w:val="26"/>
              </w:rPr>
              <w:t xml:space="preserve">••</w:t>
            </w:r>
          </w:p>
        </w:tc>
        <w:tc>
          <w:tcPr>
            <w:tcW w:type="dxa" w:w="1157"/>
            <w:tcBorders>
              <w:top w:val="single" w:color="D5E0DF" w:sz="2"/>
              <w:left w:val="none"/>
              <w:bottom w:val="single" w:color="D5E0DF" w:sz="2"/>
              <w:right w:val="none"/>
            </w:tcBorders>
            <w:shd w:fill="EEF4F3" w:val="clear"/>
            <w:tcMar>
              <w:top w:type="dxa" w:w="110"/>
              <w:left w:type="dxa" w:w="70"/>
              <w:bottom w:type="dxa" w:w="110"/>
              <w:right w:type="dxa" w:w="7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color w:val="0E5C5B"/>
                <w:spacing w:val="36"/>
                <w:sz w:val="26"/>
                <w:szCs w:val="26"/>
              </w:rPr>
              <w:t xml:space="preserve">•••</w:t>
            </w:r>
          </w:p>
        </w:tc>
        <w:tc>
          <w:tcPr>
            <w:tcW w:type="dxa" w:w="1157"/>
            <w:tcBorders>
              <w:top w:val="single" w:color="D5E0DF" w:sz="2"/>
              <w:left w:val="none"/>
              <w:bottom w:val="single" w:color="D5E0DF" w:sz="2"/>
              <w:right w:val="none"/>
            </w:tcBorders>
            <w:shd w:fill="EEF4F3" w:val="clear"/>
            <w:tcMar>
              <w:top w:type="dxa" w:w="110"/>
              <w:left w:type="dxa" w:w="70"/>
              <w:bottom w:type="dxa" w:w="110"/>
              <w:right w:type="dxa" w:w="7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color w:val="0E5C5B"/>
                <w:spacing w:val="36"/>
                <w:sz w:val="26"/>
                <w:szCs w:val="26"/>
              </w:rPr>
              <w:t xml:space="preserve">•••</w:t>
            </w:r>
          </w:p>
        </w:tc>
        <w:tc>
          <w:tcPr>
            <w:tcW w:type="dxa" w:w="1157"/>
            <w:tcBorders>
              <w:top w:val="single" w:color="D5E0DF" w:sz="2"/>
              <w:left w:val="none"/>
              <w:bottom w:val="single" w:color="D5E0DF" w:sz="2"/>
              <w:right w:val="none"/>
            </w:tcBorders>
            <w:shd w:fill="EEF4F3" w:val="clear"/>
            <w:tcMar>
              <w:top w:type="dxa" w:w="110"/>
              <w:left w:type="dxa" w:w="70"/>
              <w:bottom w:type="dxa" w:w="110"/>
              <w:right w:type="dxa" w:w="7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color w:val="0E5C5B"/>
                <w:spacing w:val="36"/>
                <w:sz w:val="26"/>
                <w:szCs w:val="26"/>
              </w:rPr>
              <w:t xml:space="preserve">••</w:t>
            </w:r>
          </w:p>
        </w:tc>
        <w:tc>
          <w:tcPr>
            <w:tcW w:type="dxa" w:w="1161"/>
            <w:tcBorders>
              <w:top w:val="single" w:color="D5E0DF" w:sz="2"/>
              <w:left w:val="none"/>
              <w:bottom w:val="single" w:color="D5E0DF" w:sz="2"/>
              <w:right w:val="none"/>
            </w:tcBorders>
            <w:shd w:fill="EEF4F3" w:val="clear"/>
            <w:tcMar>
              <w:top w:type="dxa" w:w="110"/>
              <w:left w:type="dxa" w:w="70"/>
              <w:bottom w:type="dxa" w:w="110"/>
              <w:right w:type="dxa" w:w="7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color w:val="0E5C5B"/>
                <w:spacing w:val="36"/>
                <w:sz w:val="26"/>
                <w:szCs w:val="26"/>
              </w:rPr>
              <w:t xml:space="preserve">•</w:t>
            </w:r>
          </w:p>
        </w:tc>
      </w:tr>
      <w:tr>
        <w:tc>
          <w:tcPr>
            <w:tcW w:type="dxa" w:w="2080"/>
            <w:tcBorders>
              <w:top w:val="single" w:color="D5E0DF" w:sz="2"/>
              <w:left w:val="none"/>
              <w:bottom w:val="single" w:color="D5E0DF" w:sz="2"/>
              <w:right w:val="none"/>
            </w:tcBorders>
            <w:shd w:fill="FFFFFF" w:val="clear"/>
            <w:tcMar>
              <w:top w:type="dxa" w:w="110"/>
              <w:left w:type="dxa" w:w="70"/>
              <w:bottom w:type="dxa" w:w="110"/>
              <w:right w:type="dxa" w:w="7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9302F"/>
                <w:sz w:val="21"/>
                <w:szCs w:val="21"/>
              </w:rPr>
              <w:t xml:space="preserve">Viral arthritis</w:t>
            </w:r>
          </w:p>
        </w:tc>
        <w:tc>
          <w:tcPr>
            <w:tcW w:type="dxa" w:w="1157"/>
            <w:tcBorders>
              <w:top w:val="single" w:color="D5E0DF" w:sz="2"/>
              <w:left w:val="none"/>
              <w:bottom w:val="single" w:color="D5E0DF" w:sz="2"/>
              <w:right w:val="none"/>
            </w:tcBorders>
            <w:shd w:fill="FFFFFF" w:val="clear"/>
            <w:tcMar>
              <w:top w:type="dxa" w:w="110"/>
              <w:left w:type="dxa" w:w="70"/>
              <w:bottom w:type="dxa" w:w="110"/>
              <w:right w:type="dxa" w:w="7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color w:val="0E5C5B"/>
                <w:spacing w:val="36"/>
                <w:sz w:val="26"/>
                <w:szCs w:val="26"/>
              </w:rPr>
              <w:t xml:space="preserve">••</w:t>
            </w:r>
          </w:p>
        </w:tc>
        <w:tc>
          <w:tcPr>
            <w:tcW w:type="dxa" w:w="1157"/>
            <w:tcBorders>
              <w:top w:val="single" w:color="D5E0DF" w:sz="2"/>
              <w:left w:val="none"/>
              <w:bottom w:val="single" w:color="D5E0DF" w:sz="2"/>
              <w:right w:val="none"/>
            </w:tcBorders>
            <w:shd w:fill="FFFFFF" w:val="clear"/>
            <w:tcMar>
              <w:top w:type="dxa" w:w="110"/>
              <w:left w:type="dxa" w:w="70"/>
              <w:bottom w:type="dxa" w:w="110"/>
              <w:right w:type="dxa" w:w="7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color w:val="0E5C5B"/>
                <w:spacing w:val="36"/>
                <w:sz w:val="26"/>
                <w:szCs w:val="26"/>
              </w:rPr>
              <w:t xml:space="preserve">•</w:t>
            </w:r>
          </w:p>
        </w:tc>
        <w:tc>
          <w:tcPr>
            <w:tcW w:type="dxa" w:w="1157"/>
            <w:tcBorders>
              <w:top w:val="single" w:color="D5E0DF" w:sz="2"/>
              <w:left w:val="none"/>
              <w:bottom w:val="single" w:color="D5E0DF" w:sz="2"/>
              <w:right w:val="none"/>
            </w:tcBorders>
            <w:shd w:fill="FFFFFF" w:val="clear"/>
            <w:tcMar>
              <w:top w:type="dxa" w:w="110"/>
              <w:left w:type="dxa" w:w="70"/>
              <w:bottom w:type="dxa" w:w="110"/>
              <w:right w:type="dxa" w:w="7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color w:val="0E5C5B"/>
                <w:spacing w:val="36"/>
                <w:sz w:val="26"/>
                <w:szCs w:val="26"/>
              </w:rPr>
              <w:t xml:space="preserve">•</w:t>
            </w:r>
          </w:p>
        </w:tc>
        <w:tc>
          <w:tcPr>
            <w:tcW w:type="dxa" w:w="1157"/>
            <w:tcBorders>
              <w:top w:val="single" w:color="D5E0DF" w:sz="2"/>
              <w:left w:val="none"/>
              <w:bottom w:val="single" w:color="D5E0DF" w:sz="2"/>
              <w:right w:val="none"/>
            </w:tcBorders>
            <w:shd w:fill="FFFFFF" w:val="clear"/>
            <w:tcMar>
              <w:top w:type="dxa" w:w="110"/>
              <w:left w:type="dxa" w:w="70"/>
              <w:bottom w:type="dxa" w:w="110"/>
              <w:right w:type="dxa" w:w="7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color w:val="0E5C5B"/>
                <w:spacing w:val="36"/>
                <w:sz w:val="26"/>
                <w:szCs w:val="26"/>
              </w:rPr>
              <w:t xml:space="preserve">••</w:t>
            </w:r>
          </w:p>
        </w:tc>
        <w:tc>
          <w:tcPr>
            <w:tcW w:type="dxa" w:w="1157"/>
            <w:tcBorders>
              <w:top w:val="single" w:color="D5E0DF" w:sz="2"/>
              <w:left w:val="none"/>
              <w:bottom w:val="single" w:color="D5E0DF" w:sz="2"/>
              <w:right w:val="none"/>
            </w:tcBorders>
            <w:shd w:fill="FFFFFF" w:val="clear"/>
            <w:tcMar>
              <w:top w:type="dxa" w:w="110"/>
              <w:left w:type="dxa" w:w="70"/>
              <w:bottom w:type="dxa" w:w="110"/>
              <w:right w:type="dxa" w:w="7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color w:val="0E5C5B"/>
                <w:spacing w:val="36"/>
                <w:sz w:val="26"/>
                <w:szCs w:val="26"/>
              </w:rPr>
              <w:t xml:space="preserve">•</w:t>
            </w:r>
          </w:p>
        </w:tc>
        <w:tc>
          <w:tcPr>
            <w:tcW w:type="dxa" w:w="1161"/>
            <w:tcBorders>
              <w:top w:val="single" w:color="D5E0DF" w:sz="2"/>
              <w:left w:val="none"/>
              <w:bottom w:val="single" w:color="D5E0DF" w:sz="2"/>
              <w:right w:val="none"/>
            </w:tcBorders>
            <w:shd w:fill="FFFFFF" w:val="clear"/>
            <w:tcMar>
              <w:top w:type="dxa" w:w="110"/>
              <w:left w:type="dxa" w:w="70"/>
              <w:bottom w:type="dxa" w:w="110"/>
              <w:right w:type="dxa" w:w="7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color w:val="0E5C5B"/>
                <w:spacing w:val="36"/>
                <w:sz w:val="26"/>
                <w:szCs w:val="26"/>
              </w:rPr>
              <w:t xml:space="preserve">•</w:t>
            </w:r>
          </w:p>
        </w:tc>
      </w:tr>
      <w:tr>
        <w:tc>
          <w:tcPr>
            <w:tcW w:type="dxa" w:w="2080"/>
            <w:tcBorders>
              <w:top w:val="single" w:color="D5E0DF" w:sz="2"/>
              <w:left w:val="none"/>
              <w:bottom w:val="single" w:color="D5E0DF" w:sz="2"/>
              <w:right w:val="none"/>
            </w:tcBorders>
            <w:shd w:fill="EEF4F3" w:val="clear"/>
            <w:tcMar>
              <w:top w:type="dxa" w:w="110"/>
              <w:left w:type="dxa" w:w="70"/>
              <w:bottom w:type="dxa" w:w="110"/>
              <w:right w:type="dxa" w:w="7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9302F"/>
                <w:sz w:val="21"/>
                <w:szCs w:val="21"/>
              </w:rPr>
              <w:t xml:space="preserve">Polymyalgia</w:t>
            </w:r>
          </w:p>
        </w:tc>
        <w:tc>
          <w:tcPr>
            <w:tcW w:type="dxa" w:w="1157"/>
            <w:tcBorders>
              <w:top w:val="single" w:color="D5E0DF" w:sz="2"/>
              <w:left w:val="none"/>
              <w:bottom w:val="single" w:color="D5E0DF" w:sz="2"/>
              <w:right w:val="none"/>
            </w:tcBorders>
            <w:shd w:fill="EEF4F3" w:val="clear"/>
            <w:tcMar>
              <w:top w:type="dxa" w:w="110"/>
              <w:left w:type="dxa" w:w="70"/>
              <w:bottom w:type="dxa" w:w="110"/>
              <w:right w:type="dxa" w:w="7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color w:val="0E5C5B"/>
                <w:spacing w:val="36"/>
                <w:sz w:val="26"/>
                <w:szCs w:val="26"/>
              </w:rPr>
              <w:t xml:space="preserve">•</w:t>
            </w:r>
          </w:p>
        </w:tc>
        <w:tc>
          <w:tcPr>
            <w:tcW w:type="dxa" w:w="1157"/>
            <w:tcBorders>
              <w:top w:val="single" w:color="D5E0DF" w:sz="2"/>
              <w:left w:val="none"/>
              <w:bottom w:val="single" w:color="D5E0DF" w:sz="2"/>
              <w:right w:val="none"/>
            </w:tcBorders>
            <w:shd w:fill="EEF4F3" w:val="clear"/>
            <w:tcMar>
              <w:top w:type="dxa" w:w="110"/>
              <w:left w:type="dxa" w:w="70"/>
              <w:bottom w:type="dxa" w:w="110"/>
              <w:right w:type="dxa" w:w="7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color w:val="0E5C5B"/>
                <w:spacing w:val="36"/>
                <w:sz w:val="26"/>
                <w:szCs w:val="26"/>
              </w:rPr>
              <w:t xml:space="preserve">•••</w:t>
            </w:r>
          </w:p>
        </w:tc>
        <w:tc>
          <w:tcPr>
            <w:tcW w:type="dxa" w:w="1157"/>
            <w:tcBorders>
              <w:top w:val="single" w:color="D5E0DF" w:sz="2"/>
              <w:left w:val="none"/>
              <w:bottom w:val="single" w:color="D5E0DF" w:sz="2"/>
              <w:right w:val="none"/>
            </w:tcBorders>
            <w:shd w:fill="EEF4F3" w:val="clear"/>
            <w:tcMar>
              <w:top w:type="dxa" w:w="110"/>
              <w:left w:type="dxa" w:w="70"/>
              <w:bottom w:type="dxa" w:w="110"/>
              <w:right w:type="dxa" w:w="7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color w:val="0E5C5B"/>
                <w:spacing w:val="36"/>
                <w:sz w:val="26"/>
                <w:szCs w:val="26"/>
              </w:rPr>
              <w:t xml:space="preserve">••</w:t>
            </w:r>
          </w:p>
        </w:tc>
        <w:tc>
          <w:tcPr>
            <w:tcW w:type="dxa" w:w="1157"/>
            <w:tcBorders>
              <w:top w:val="single" w:color="D5E0DF" w:sz="2"/>
              <w:left w:val="none"/>
              <w:bottom w:val="single" w:color="D5E0DF" w:sz="2"/>
              <w:right w:val="none"/>
            </w:tcBorders>
            <w:shd w:fill="EEF4F3" w:val="clear"/>
            <w:tcMar>
              <w:top w:type="dxa" w:w="110"/>
              <w:left w:type="dxa" w:w="70"/>
              <w:bottom w:type="dxa" w:w="110"/>
              <w:right w:type="dxa" w:w="7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color w:val="5C6E6D"/>
                <w:sz w:val="22"/>
                <w:szCs w:val="22"/>
              </w:rPr>
              <w:t xml:space="preserve">–</w:t>
            </w:r>
          </w:p>
        </w:tc>
        <w:tc>
          <w:tcPr>
            <w:tcW w:type="dxa" w:w="1157"/>
            <w:tcBorders>
              <w:top w:val="single" w:color="D5E0DF" w:sz="2"/>
              <w:left w:val="none"/>
              <w:bottom w:val="single" w:color="D5E0DF" w:sz="2"/>
              <w:right w:val="none"/>
            </w:tcBorders>
            <w:shd w:fill="EEF4F3" w:val="clear"/>
            <w:tcMar>
              <w:top w:type="dxa" w:w="110"/>
              <w:left w:type="dxa" w:w="70"/>
              <w:bottom w:type="dxa" w:w="110"/>
              <w:right w:type="dxa" w:w="7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color w:val="0E5C5B"/>
                <w:spacing w:val="36"/>
                <w:sz w:val="26"/>
                <w:szCs w:val="26"/>
              </w:rPr>
              <w:t xml:space="preserve">••</w:t>
            </w:r>
          </w:p>
        </w:tc>
        <w:tc>
          <w:tcPr>
            <w:tcW w:type="dxa" w:w="1161"/>
            <w:tcBorders>
              <w:top w:val="single" w:color="D5E0DF" w:sz="2"/>
              <w:left w:val="none"/>
              <w:bottom w:val="single" w:color="D5E0DF" w:sz="2"/>
              <w:right w:val="none"/>
            </w:tcBorders>
            <w:shd w:fill="EEF4F3" w:val="clear"/>
            <w:tcMar>
              <w:top w:type="dxa" w:w="110"/>
              <w:left w:type="dxa" w:w="70"/>
              <w:bottom w:type="dxa" w:w="110"/>
              <w:right w:type="dxa" w:w="7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color w:val="0E5C5B"/>
                <w:spacing w:val="36"/>
                <w:sz w:val="26"/>
                <w:szCs w:val="26"/>
              </w:rPr>
              <w:t xml:space="preserve">•</w:t>
            </w:r>
          </w:p>
        </w:tc>
      </w:tr>
      <w:tr>
        <w:tc>
          <w:tcPr>
            <w:tcW w:type="dxa" w:w="2080"/>
            <w:tcBorders>
              <w:top w:val="single" w:color="D5E0DF" w:sz="2"/>
              <w:left w:val="none"/>
              <w:bottom w:val="single" w:color="D5E0DF" w:sz="2"/>
              <w:right w:val="none"/>
            </w:tcBorders>
            <w:shd w:fill="FFFFFF" w:val="clear"/>
            <w:tcMar>
              <w:top w:type="dxa" w:w="110"/>
              <w:left w:type="dxa" w:w="70"/>
              <w:bottom w:type="dxa" w:w="110"/>
              <w:right w:type="dxa" w:w="7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9302F"/>
                <w:sz w:val="21"/>
                <w:szCs w:val="21"/>
              </w:rPr>
              <w:t xml:space="preserve">Seronegative arthritis</w:t>
            </w:r>
          </w:p>
        </w:tc>
        <w:tc>
          <w:tcPr>
            <w:tcW w:type="dxa" w:w="1157"/>
            <w:tcBorders>
              <w:top w:val="single" w:color="D5E0DF" w:sz="2"/>
              <w:left w:val="none"/>
              <w:bottom w:val="single" w:color="D5E0DF" w:sz="2"/>
              <w:right w:val="none"/>
            </w:tcBorders>
            <w:shd w:fill="FFFFFF" w:val="clear"/>
            <w:tcMar>
              <w:top w:type="dxa" w:w="110"/>
              <w:left w:type="dxa" w:w="70"/>
              <w:bottom w:type="dxa" w:w="110"/>
              <w:right w:type="dxa" w:w="7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color w:val="0E5C5B"/>
                <w:spacing w:val="36"/>
                <w:sz w:val="26"/>
                <w:szCs w:val="26"/>
              </w:rPr>
              <w:t xml:space="preserve">•</w:t>
            </w:r>
          </w:p>
        </w:tc>
        <w:tc>
          <w:tcPr>
            <w:tcW w:type="dxa" w:w="1157"/>
            <w:tcBorders>
              <w:top w:val="single" w:color="D5E0DF" w:sz="2"/>
              <w:left w:val="none"/>
              <w:bottom w:val="single" w:color="D5E0DF" w:sz="2"/>
              <w:right w:val="none"/>
            </w:tcBorders>
            <w:shd w:fill="FFFFFF" w:val="clear"/>
            <w:tcMar>
              <w:top w:type="dxa" w:w="110"/>
              <w:left w:type="dxa" w:w="70"/>
              <w:bottom w:type="dxa" w:w="110"/>
              <w:right w:type="dxa" w:w="7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color w:val="0E5C5B"/>
                <w:spacing w:val="36"/>
                <w:sz w:val="26"/>
                <w:szCs w:val="26"/>
              </w:rPr>
              <w:t xml:space="preserve">••</w:t>
            </w:r>
          </w:p>
        </w:tc>
        <w:tc>
          <w:tcPr>
            <w:tcW w:type="dxa" w:w="1157"/>
            <w:tcBorders>
              <w:top w:val="single" w:color="D5E0DF" w:sz="2"/>
              <w:left w:val="none"/>
              <w:bottom w:val="single" w:color="D5E0DF" w:sz="2"/>
              <w:right w:val="none"/>
            </w:tcBorders>
            <w:shd w:fill="FFFFFF" w:val="clear"/>
            <w:tcMar>
              <w:top w:type="dxa" w:w="110"/>
              <w:left w:type="dxa" w:w="70"/>
              <w:bottom w:type="dxa" w:w="110"/>
              <w:right w:type="dxa" w:w="7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color w:val="0E5C5B"/>
                <w:spacing w:val="36"/>
                <w:sz w:val="26"/>
                <w:szCs w:val="26"/>
              </w:rPr>
              <w:t xml:space="preserve">••</w:t>
            </w:r>
          </w:p>
        </w:tc>
        <w:tc>
          <w:tcPr>
            <w:tcW w:type="dxa" w:w="1157"/>
            <w:tcBorders>
              <w:top w:val="single" w:color="D5E0DF" w:sz="2"/>
              <w:left w:val="none"/>
              <w:bottom w:val="single" w:color="D5E0DF" w:sz="2"/>
              <w:right w:val="none"/>
            </w:tcBorders>
            <w:shd w:fill="FFFFFF" w:val="clear"/>
            <w:tcMar>
              <w:top w:type="dxa" w:w="110"/>
              <w:left w:type="dxa" w:w="70"/>
              <w:bottom w:type="dxa" w:w="110"/>
              <w:right w:type="dxa" w:w="7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color w:val="0E5C5B"/>
                <w:spacing w:val="36"/>
                <w:sz w:val="26"/>
                <w:szCs w:val="26"/>
              </w:rPr>
              <w:t xml:space="preserve">•</w:t>
            </w:r>
          </w:p>
        </w:tc>
        <w:tc>
          <w:tcPr>
            <w:tcW w:type="dxa" w:w="1157"/>
            <w:tcBorders>
              <w:top w:val="single" w:color="D5E0DF" w:sz="2"/>
              <w:left w:val="none"/>
              <w:bottom w:val="single" w:color="D5E0DF" w:sz="2"/>
              <w:right w:val="none"/>
            </w:tcBorders>
            <w:shd w:fill="FFFFFF" w:val="clear"/>
            <w:tcMar>
              <w:top w:type="dxa" w:w="110"/>
              <w:left w:type="dxa" w:w="70"/>
              <w:bottom w:type="dxa" w:w="110"/>
              <w:right w:type="dxa" w:w="7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color w:val="0E5C5B"/>
                <w:spacing w:val="36"/>
                <w:sz w:val="26"/>
                <w:szCs w:val="26"/>
              </w:rPr>
              <w:t xml:space="preserve">••</w:t>
            </w:r>
          </w:p>
        </w:tc>
        <w:tc>
          <w:tcPr>
            <w:tcW w:type="dxa" w:w="1161"/>
            <w:tcBorders>
              <w:top w:val="single" w:color="D5E0DF" w:sz="2"/>
              <w:left w:val="none"/>
              <w:bottom w:val="single" w:color="D5E0DF" w:sz="2"/>
              <w:right w:val="none"/>
            </w:tcBorders>
            <w:shd w:fill="FFFFFF" w:val="clear"/>
            <w:tcMar>
              <w:top w:type="dxa" w:w="110"/>
              <w:left w:type="dxa" w:w="70"/>
              <w:bottom w:type="dxa" w:w="110"/>
              <w:right w:type="dxa" w:w="7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color w:val="0E5C5B"/>
                <w:spacing w:val="36"/>
                <w:sz w:val="26"/>
                <w:szCs w:val="26"/>
              </w:rPr>
              <w:t xml:space="preserve">•••</w:t>
            </w:r>
          </w:p>
        </w:tc>
      </w:tr>
      <w:tr>
        <w:tc>
          <w:tcPr>
            <w:tcW w:type="dxa" w:w="2080"/>
            <w:tcBorders>
              <w:top w:val="single" w:color="D5E0DF" w:sz="2"/>
              <w:left w:val="none"/>
              <w:bottom w:val="single" w:color="D5E0DF" w:sz="2"/>
              <w:right w:val="none"/>
            </w:tcBorders>
            <w:shd w:fill="EEF4F3" w:val="clear"/>
            <w:tcMar>
              <w:top w:type="dxa" w:w="110"/>
              <w:left w:type="dxa" w:w="70"/>
              <w:bottom w:type="dxa" w:w="110"/>
              <w:right w:type="dxa" w:w="7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9302F"/>
                <w:sz w:val="21"/>
                <w:szCs w:val="21"/>
              </w:rPr>
              <w:t xml:space="preserve">Gout</w:t>
            </w:r>
          </w:p>
        </w:tc>
        <w:tc>
          <w:tcPr>
            <w:tcW w:type="dxa" w:w="1157"/>
            <w:tcBorders>
              <w:top w:val="single" w:color="D5E0DF" w:sz="2"/>
              <w:left w:val="none"/>
              <w:bottom w:val="single" w:color="D5E0DF" w:sz="2"/>
              <w:right w:val="none"/>
            </w:tcBorders>
            <w:shd w:fill="EEF4F3" w:val="clear"/>
            <w:tcMar>
              <w:top w:type="dxa" w:w="110"/>
              <w:left w:type="dxa" w:w="70"/>
              <w:bottom w:type="dxa" w:w="110"/>
              <w:right w:type="dxa" w:w="7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color w:val="0E5C5B"/>
                <w:spacing w:val="36"/>
                <w:sz w:val="26"/>
                <w:szCs w:val="26"/>
              </w:rPr>
              <w:t xml:space="preserve">•</w:t>
            </w:r>
          </w:p>
        </w:tc>
        <w:tc>
          <w:tcPr>
            <w:tcW w:type="dxa" w:w="1157"/>
            <w:tcBorders>
              <w:top w:val="single" w:color="D5E0DF" w:sz="2"/>
              <w:left w:val="none"/>
              <w:bottom w:val="single" w:color="D5E0DF" w:sz="2"/>
              <w:right w:val="none"/>
            </w:tcBorders>
            <w:shd w:fill="EEF4F3" w:val="clear"/>
            <w:tcMar>
              <w:top w:type="dxa" w:w="110"/>
              <w:left w:type="dxa" w:w="70"/>
              <w:bottom w:type="dxa" w:w="110"/>
              <w:right w:type="dxa" w:w="7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color w:val="0E5C5B"/>
                <w:spacing w:val="36"/>
                <w:sz w:val="26"/>
                <w:szCs w:val="26"/>
              </w:rPr>
              <w:t xml:space="preserve">••</w:t>
            </w:r>
          </w:p>
        </w:tc>
        <w:tc>
          <w:tcPr>
            <w:tcW w:type="dxa" w:w="1157"/>
            <w:tcBorders>
              <w:top w:val="single" w:color="D5E0DF" w:sz="2"/>
              <w:left w:val="none"/>
              <w:bottom w:val="single" w:color="D5E0DF" w:sz="2"/>
              <w:right w:val="none"/>
            </w:tcBorders>
            <w:shd w:fill="EEF4F3" w:val="clear"/>
            <w:tcMar>
              <w:top w:type="dxa" w:w="110"/>
              <w:left w:type="dxa" w:w="70"/>
              <w:bottom w:type="dxa" w:w="110"/>
              <w:right w:type="dxa" w:w="7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color w:val="0E5C5B"/>
                <w:spacing w:val="36"/>
                <w:sz w:val="26"/>
                <w:szCs w:val="26"/>
              </w:rPr>
              <w:t xml:space="preserve">•</w:t>
            </w:r>
          </w:p>
        </w:tc>
        <w:tc>
          <w:tcPr>
            <w:tcW w:type="dxa" w:w="1157"/>
            <w:tcBorders>
              <w:top w:val="single" w:color="D5E0DF" w:sz="2"/>
              <w:left w:val="none"/>
              <w:bottom w:val="single" w:color="D5E0DF" w:sz="2"/>
              <w:right w:val="none"/>
            </w:tcBorders>
            <w:shd w:fill="EEF4F3" w:val="clear"/>
            <w:tcMar>
              <w:top w:type="dxa" w:w="110"/>
              <w:left w:type="dxa" w:w="70"/>
              <w:bottom w:type="dxa" w:w="110"/>
              <w:right w:type="dxa" w:w="7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color w:val="5C6E6D"/>
                <w:sz w:val="22"/>
                <w:szCs w:val="22"/>
              </w:rPr>
              <w:t xml:space="preserve">–</w:t>
            </w:r>
          </w:p>
        </w:tc>
        <w:tc>
          <w:tcPr>
            <w:tcW w:type="dxa" w:w="1157"/>
            <w:tcBorders>
              <w:top w:val="single" w:color="D5E0DF" w:sz="2"/>
              <w:left w:val="none"/>
              <w:bottom w:val="single" w:color="D5E0DF" w:sz="2"/>
              <w:right w:val="none"/>
            </w:tcBorders>
            <w:shd w:fill="EEF4F3" w:val="clear"/>
            <w:tcMar>
              <w:top w:type="dxa" w:w="110"/>
              <w:left w:type="dxa" w:w="70"/>
              <w:bottom w:type="dxa" w:w="110"/>
              <w:right w:type="dxa" w:w="7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color w:val="0E5C5B"/>
                <w:spacing w:val="36"/>
                <w:sz w:val="26"/>
                <w:szCs w:val="26"/>
              </w:rPr>
              <w:t xml:space="preserve">•••</w:t>
            </w:r>
          </w:p>
        </w:tc>
        <w:tc>
          <w:tcPr>
            <w:tcW w:type="dxa" w:w="1161"/>
            <w:tcBorders>
              <w:top w:val="single" w:color="D5E0DF" w:sz="2"/>
              <w:left w:val="none"/>
              <w:bottom w:val="single" w:color="D5E0DF" w:sz="2"/>
              <w:right w:val="none"/>
            </w:tcBorders>
            <w:shd w:fill="EEF4F3" w:val="clear"/>
            <w:tcMar>
              <w:top w:type="dxa" w:w="110"/>
              <w:left w:type="dxa" w:w="70"/>
              <w:bottom w:type="dxa" w:w="110"/>
              <w:right w:type="dxa" w:w="7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color w:val="5C6E6D"/>
                <w:sz w:val="22"/>
                <w:szCs w:val="22"/>
              </w:rPr>
              <w:t xml:space="preserve">–</w:t>
            </w:r>
          </w:p>
        </w:tc>
      </w:tr>
      <w:tr>
        <w:tc>
          <w:tcPr>
            <w:tcW w:type="dxa" w:w="2080"/>
            <w:tcBorders>
              <w:top w:val="single" w:color="D5E0DF" w:sz="2"/>
              <w:left w:val="none"/>
              <w:bottom w:val="single" w:color="D5E0DF" w:sz="2"/>
              <w:right w:val="none"/>
            </w:tcBorders>
            <w:shd w:fill="FFFFFF" w:val="clear"/>
            <w:tcMar>
              <w:top w:type="dxa" w:w="110"/>
              <w:left w:type="dxa" w:w="70"/>
              <w:bottom w:type="dxa" w:w="110"/>
              <w:right w:type="dxa" w:w="7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9302F"/>
                <w:sz w:val="21"/>
                <w:szCs w:val="21"/>
              </w:rPr>
              <w:t xml:space="preserve">Septic arthritis</w:t>
            </w:r>
          </w:p>
        </w:tc>
        <w:tc>
          <w:tcPr>
            <w:tcW w:type="dxa" w:w="1157"/>
            <w:tcBorders>
              <w:top w:val="single" w:color="D5E0DF" w:sz="2"/>
              <w:left w:val="none"/>
              <w:bottom w:val="single" w:color="D5E0DF" w:sz="2"/>
              <w:right w:val="none"/>
            </w:tcBorders>
            <w:shd w:fill="FFFFFF" w:val="clear"/>
            <w:tcMar>
              <w:top w:type="dxa" w:w="110"/>
              <w:left w:type="dxa" w:w="70"/>
              <w:bottom w:type="dxa" w:w="110"/>
              <w:right w:type="dxa" w:w="7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color w:val="0E5C5B"/>
                <w:spacing w:val="36"/>
                <w:sz w:val="26"/>
                <w:szCs w:val="26"/>
              </w:rPr>
              <w:t xml:space="preserve">••</w:t>
            </w:r>
          </w:p>
        </w:tc>
        <w:tc>
          <w:tcPr>
            <w:tcW w:type="dxa" w:w="1157"/>
            <w:tcBorders>
              <w:top w:val="single" w:color="D5E0DF" w:sz="2"/>
              <w:left w:val="none"/>
              <w:bottom w:val="single" w:color="D5E0DF" w:sz="2"/>
              <w:right w:val="none"/>
            </w:tcBorders>
            <w:shd w:fill="FFFFFF" w:val="clear"/>
            <w:tcMar>
              <w:top w:type="dxa" w:w="110"/>
              <w:left w:type="dxa" w:w="70"/>
              <w:bottom w:type="dxa" w:w="110"/>
              <w:right w:type="dxa" w:w="7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color w:val="5C6E6D"/>
                <w:sz w:val="22"/>
                <w:szCs w:val="22"/>
              </w:rPr>
              <w:t xml:space="preserve">–</w:t>
            </w:r>
          </w:p>
        </w:tc>
        <w:tc>
          <w:tcPr>
            <w:tcW w:type="dxa" w:w="1157"/>
            <w:tcBorders>
              <w:top w:val="single" w:color="D5E0DF" w:sz="2"/>
              <w:left w:val="none"/>
              <w:bottom w:val="single" w:color="D5E0DF" w:sz="2"/>
              <w:right w:val="none"/>
            </w:tcBorders>
            <w:shd w:fill="FFFFFF" w:val="clear"/>
            <w:tcMar>
              <w:top w:type="dxa" w:w="110"/>
              <w:left w:type="dxa" w:w="70"/>
              <w:bottom w:type="dxa" w:w="110"/>
              <w:right w:type="dxa" w:w="7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color w:val="0E5C5B"/>
                <w:spacing w:val="36"/>
                <w:sz w:val="26"/>
                <w:szCs w:val="26"/>
              </w:rPr>
              <w:t xml:space="preserve">•••</w:t>
            </w:r>
          </w:p>
        </w:tc>
        <w:tc>
          <w:tcPr>
            <w:tcW w:type="dxa" w:w="1157"/>
            <w:tcBorders>
              <w:top w:val="single" w:color="D5E0DF" w:sz="2"/>
              <w:left w:val="none"/>
              <w:bottom w:val="single" w:color="D5E0DF" w:sz="2"/>
              <w:right w:val="none"/>
            </w:tcBorders>
            <w:shd w:fill="FFFFFF" w:val="clear"/>
            <w:tcMar>
              <w:top w:type="dxa" w:w="110"/>
              <w:left w:type="dxa" w:w="70"/>
              <w:bottom w:type="dxa" w:w="110"/>
              <w:right w:type="dxa" w:w="7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color w:val="0E5C5B"/>
                <w:spacing w:val="36"/>
                <w:sz w:val="26"/>
                <w:szCs w:val="26"/>
              </w:rPr>
              <w:t xml:space="preserve">••</w:t>
            </w:r>
          </w:p>
        </w:tc>
        <w:tc>
          <w:tcPr>
            <w:tcW w:type="dxa" w:w="1157"/>
            <w:tcBorders>
              <w:top w:val="single" w:color="D5E0DF" w:sz="2"/>
              <w:left w:val="none"/>
              <w:bottom w:val="single" w:color="D5E0DF" w:sz="2"/>
              <w:right w:val="none"/>
            </w:tcBorders>
            <w:shd w:fill="FFFFFF" w:val="clear"/>
            <w:tcMar>
              <w:top w:type="dxa" w:w="110"/>
              <w:left w:type="dxa" w:w="70"/>
              <w:bottom w:type="dxa" w:w="110"/>
              <w:right w:type="dxa" w:w="7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color w:val="0E5C5B"/>
                <w:spacing w:val="36"/>
                <w:sz w:val="26"/>
                <w:szCs w:val="26"/>
              </w:rPr>
              <w:t xml:space="preserve">•••</w:t>
            </w:r>
          </w:p>
        </w:tc>
        <w:tc>
          <w:tcPr>
            <w:tcW w:type="dxa" w:w="1161"/>
            <w:tcBorders>
              <w:top w:val="single" w:color="D5E0DF" w:sz="2"/>
              <w:left w:val="none"/>
              <w:bottom w:val="single" w:color="D5E0DF" w:sz="2"/>
              <w:right w:val="none"/>
            </w:tcBorders>
            <w:shd w:fill="FFFFFF" w:val="clear"/>
            <w:tcMar>
              <w:top w:type="dxa" w:w="110"/>
              <w:left w:type="dxa" w:w="70"/>
              <w:bottom w:type="dxa" w:w="110"/>
              <w:right w:type="dxa" w:w="7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color w:val="5C6E6D"/>
                <w:sz w:val="22"/>
                <w:szCs w:val="22"/>
              </w:rPr>
              <w:t xml:space="preserve">–</w:t>
            </w:r>
          </w:p>
        </w:tc>
      </w:tr>
    </w:tbl>
    <w:p>
      <w:pPr>
        <w:spacing w:after="80"/>
      </w:pPr>
      <w:r>
        <w:t xml:space="preserve"/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56"/>
        <w:gridCol w:w="2256"/>
        <w:gridCol w:w="2256"/>
        <w:gridCol w:w="2258"/>
      </w:tblGrid>
      <w:tr>
        <w:tc>
          <w:tcPr>
            <w:tcW w:type="dxa" w:w="2256"/>
            <w:tcBorders>
              <w:top w:val="none"/>
              <w:left w:val="none"/>
              <w:bottom w:val="none"/>
              <w:right w:val="none"/>
            </w:tcBorders>
            <w:shd w:fill="F4F6F6" w:val="clear"/>
            <w:tcMar>
              <w:top w:type="dxa" w:w="90"/>
              <w:left w:type="dxa" w:w="160"/>
              <w:bottom w:type="dxa" w:w="9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0E5C5B"/>
                <w:spacing w:val="30"/>
                <w:sz w:val="24"/>
                <w:szCs w:val="24"/>
              </w:rPr>
              <w:t xml:space="preserve">•••</w:t>
            </w:r>
            <w:r>
              <w:rPr>
                <w:rFonts w:ascii="Arial" w:cs="Arial" w:eastAsia="Arial" w:hAnsi="Arial"/>
                <w:color w:val="19302F"/>
                <w:sz w:val="20"/>
                <w:szCs w:val="20"/>
              </w:rPr>
              <w:t xml:space="preserve">  Major feature</w:t>
            </w:r>
          </w:p>
        </w:tc>
        <w:tc>
          <w:tcPr>
            <w:tcW w:type="dxa" w:w="2256"/>
            <w:tcBorders>
              <w:top w:val="none"/>
              <w:left w:val="none"/>
              <w:bottom w:val="none"/>
              <w:right w:val="none"/>
            </w:tcBorders>
            <w:shd w:fill="F4F6F6" w:val="clear"/>
            <w:tcMar>
              <w:top w:type="dxa" w:w="90"/>
              <w:left w:type="dxa" w:w="160"/>
              <w:bottom w:type="dxa" w:w="9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0E5C5B"/>
                <w:spacing w:val="30"/>
                <w:sz w:val="24"/>
                <w:szCs w:val="24"/>
              </w:rPr>
              <w:t xml:space="preserve">••</w:t>
            </w:r>
            <w:r>
              <w:rPr>
                <w:rFonts w:ascii="Arial" w:cs="Arial" w:eastAsia="Arial" w:hAnsi="Arial"/>
                <w:color w:val="19302F"/>
                <w:sz w:val="20"/>
                <w:szCs w:val="20"/>
              </w:rPr>
              <w:t xml:space="preserve">  Moderate feature</w:t>
            </w:r>
          </w:p>
        </w:tc>
        <w:tc>
          <w:tcPr>
            <w:tcW w:type="dxa" w:w="2256"/>
            <w:tcBorders>
              <w:top w:val="none"/>
              <w:left w:val="none"/>
              <w:bottom w:val="none"/>
              <w:right w:val="none"/>
            </w:tcBorders>
            <w:shd w:fill="F4F6F6" w:val="clear"/>
            <w:tcMar>
              <w:top w:type="dxa" w:w="90"/>
              <w:left w:type="dxa" w:w="160"/>
              <w:bottom w:type="dxa" w:w="9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0E5C5B"/>
                <w:spacing w:val="30"/>
                <w:sz w:val="24"/>
                <w:szCs w:val="24"/>
              </w:rPr>
              <w:t xml:space="preserve">•</w:t>
            </w:r>
            <w:r>
              <w:rPr>
                <w:rFonts w:ascii="Arial" w:cs="Arial" w:eastAsia="Arial" w:hAnsi="Arial"/>
                <w:color w:val="19302F"/>
                <w:sz w:val="20"/>
                <w:szCs w:val="20"/>
              </w:rPr>
              <w:t xml:space="preserve">  Minor feature</w:t>
            </w:r>
          </w:p>
        </w:tc>
        <w:tc>
          <w:tcPr>
            <w:tcW w:type="dxa" w:w="2258"/>
            <w:tcBorders>
              <w:top w:val="none"/>
              <w:left w:val="none"/>
              <w:bottom w:val="none"/>
              <w:right w:val="none"/>
            </w:tcBorders>
            <w:shd w:fill="F4F6F6" w:val="clear"/>
            <w:tcMar>
              <w:top w:type="dxa" w:w="90"/>
              <w:left w:type="dxa" w:w="160"/>
              <w:bottom w:type="dxa" w:w="9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5C6E6D"/>
                <w:spacing w:val="30"/>
                <w:sz w:val="22"/>
                <w:szCs w:val="22"/>
              </w:rPr>
              <w:t xml:space="preserve">–</w:t>
            </w:r>
            <w:r>
              <w:rPr>
                <w:rFonts w:ascii="Arial" w:cs="Arial" w:eastAsia="Arial" w:hAnsi="Arial"/>
                <w:color w:val="19302F"/>
                <w:sz w:val="20"/>
                <w:szCs w:val="20"/>
              </w:rPr>
              <w:t xml:space="preserve">  Unusual</w:t>
            </w:r>
          </w:p>
        </w:tc>
      </w:tr>
    </w:tbl>
    <w:p>
      <w:pPr>
        <w:pageBreakBefore/>
        <w:spacing w:after="40"/>
      </w:pPr>
      <w:r>
        <w:t xml:space="preserve"/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60"/>
        <w:gridCol w:w="8266"/>
      </w:tblGrid>
      <w:tr>
        <w:tc>
          <w:tcPr>
            <w:tcW w:type="dxa" w:w="760"/>
            <w:tcBorders>
              <w:top w:val="none"/>
              <w:left w:val="none"/>
              <w:bottom w:val="none"/>
              <w:right w:val="none"/>
            </w:tcBorders>
            <w:shd w:fill="B07410" w:val="clear"/>
            <w:tcMar>
              <w:top w:type="dxa" w:w="90"/>
              <w:left w:type="dxa" w:w="160"/>
              <w:bottom w:type="dxa" w:w="90"/>
              <w:right w:type="dxa" w:w="16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30"/>
                <w:szCs w:val="30"/>
              </w:rPr>
              <w:t xml:space="preserve">⚑</w:t>
            </w:r>
          </w:p>
        </w:tc>
        <w:tc>
          <w:tcPr>
            <w:tcW w:type="dxa" w:w="8266"/>
            <w:tcBorders>
              <w:top w:val="none"/>
              <w:left w:val="none"/>
              <w:bottom w:val="none"/>
              <w:right w:val="none"/>
            </w:tcBorders>
            <w:shd w:fill="0E5C5B" w:val="clear"/>
            <w:tcMar>
              <w:top w:type="dxa" w:w="90"/>
              <w:left w:type="dxa" w:w="160"/>
              <w:bottom w:type="dxa" w:w="90"/>
              <w:right w:type="dxa" w:w="16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pacing w:val="20"/>
                <w:sz w:val="26"/>
                <w:szCs w:val="26"/>
              </w:rPr>
              <w:t xml:space="preserve">Clinical Notes</w:t>
            </w:r>
          </w:p>
        </w:tc>
      </w:tr>
    </w:tbl>
    <w:p>
      <w:pPr>
        <w:spacing w:after="120"/>
      </w:pPr>
      <w:r>
        <w:t xml:space="preserve"/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rPr>
          <w:cantSplit/>
        </w:trPr>
        <w:tc>
          <w:tcPr>
            <w:tcW w:type="dxa" w:w="9026"/>
            <w:tcBorders>
              <w:top w:val="none"/>
              <w:left w:val="single" w:color="B07410" w:sz="30"/>
              <w:bottom w:val="none"/>
              <w:right w:val="none"/>
            </w:tcBorders>
            <w:shd w:fill="FBF0D9" w:val="clear"/>
            <w:tcMar>
              <w:top w:type="dxa" w:w="150"/>
              <w:left w:type="dxa" w:w="220"/>
              <w:bottom w:type="dxa" w:w="130"/>
              <w:right w:type="dxa" w:w="220"/>
            </w:tcMar>
          </w:tcPr>
          <w:p>
            <w:pPr>
              <w:spacing w:after="70"/>
            </w:pPr>
            <w:r>
              <w:rPr>
                <w:rFonts w:ascii="Arial" w:cs="Arial" w:eastAsia="Arial" w:hAnsi="Arial"/>
                <w:b/>
                <w:bCs/>
                <w:color w:val="B07410"/>
                <w:spacing w:val="50"/>
                <w:sz w:val="16"/>
                <w:szCs w:val="16"/>
              </w:rPr>
              <w:t xml:space="preserve">SAFETY FIRST — THE HOT, SWOLLEN JOINT</w:t>
            </w:r>
          </w:p>
          <w:p>
            <w:pPr>
              <w:spacing w:after="60" w:line="272"/>
            </w:pPr>
            <w:r>
              <w:rPr>
                <w:rFonts w:ascii="Arial" w:cs="Arial" w:eastAsia="Arial" w:hAnsi="Arial"/>
                <w:color w:val="19302F"/>
                <w:sz w:val="22"/>
                <w:szCs w:val="22"/>
              </w:rPr>
              <w:t xml:space="preserve">Septic arthritis classically presents as a </w:t>
            </w:r>
            <w:r>
              <w:rPr>
                <w:rFonts w:ascii="Arial" w:cs="Arial" w:eastAsia="Arial" w:hAnsi="Arial"/>
                <w:b/>
                <w:bCs/>
                <w:color w:val="19302F"/>
                <w:sz w:val="22"/>
                <w:szCs w:val="22"/>
              </w:rPr>
              <w:t xml:space="preserve">single, acutely hot, swollen and painful joint (monoarthritis)</w:t>
            </w:r>
            <w:r>
              <w:rPr>
                <w:rFonts w:ascii="Arial" w:cs="Arial" w:eastAsia="Arial" w:hAnsi="Arial"/>
                <w:color w:val="19302F"/>
                <w:sz w:val="22"/>
                <w:szCs w:val="22"/>
              </w:rPr>
              <w:t xml:space="preserve"> — most often the knee — not as a polyarthritis. Treat any hot, swollen joint without trauma as septic until proven otherwise.</w:t>
            </w:r>
          </w:p>
          <w:p>
            <w:pPr>
              <w:spacing w:after="60" w:line="270"/>
            </w:pPr>
            <w:r>
              <w:rPr>
                <w:rFonts w:ascii="Arial" w:cs="Arial" w:eastAsia="Arial" w:hAnsi="Arial"/>
                <w:b/>
                <w:bCs/>
                <w:color w:val="19302F"/>
                <w:sz w:val="22"/>
                <w:szCs w:val="22"/>
              </w:rPr>
              <w:t xml:space="preserve">It is a medical emergency. Refer urgently for assessment and joint aspiration; delay risks rapid, permanent joint destruction.</w:t>
            </w:r>
          </w:p>
          <w:p>
            <w:pPr>
              <w:spacing w:line="268"/>
            </w:pPr>
            <w:r>
              <w:rPr>
                <w:rFonts w:ascii="Arial" w:cs="Arial" w:eastAsia="Arial" w:hAnsi="Arial"/>
                <w:i/>
                <w:iCs/>
                <w:color w:val="5C6E6D"/>
                <w:sz w:val="19"/>
                <w:szCs w:val="19"/>
              </w:rPr>
              <w:t xml:space="preserve">Source: British Society for Rheumatology, Guidelines for management of the hot swollen joint in adults (2006, reviewed 2017).</w:t>
            </w:r>
          </w:p>
        </w:tc>
      </w:tr>
    </w:tbl>
    <w:p>
      <w:pPr>
        <w:spacing w:after="120"/>
      </w:pPr>
      <w:r>
        <w:t xml:space="preserve"/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rPr>
          <w:cantSplit/>
        </w:trPr>
        <w:tc>
          <w:tcPr>
            <w:tcW w:type="dxa" w:w="9026"/>
            <w:tcBorders>
              <w:top w:val="none"/>
              <w:left w:val="single" w:color="137E78" w:sz="30"/>
              <w:bottom w:val="none"/>
              <w:right w:val="none"/>
            </w:tcBorders>
            <w:shd w:fill="E4F1F0" w:val="clear"/>
            <w:tcMar>
              <w:top w:type="dxa" w:w="150"/>
              <w:left w:type="dxa" w:w="220"/>
              <w:bottom w:type="dxa" w:w="130"/>
              <w:right w:type="dxa" w:w="220"/>
            </w:tcMar>
          </w:tcPr>
          <w:p>
            <w:pPr>
              <w:spacing w:after="70"/>
            </w:pPr>
            <w:r>
              <w:rPr>
                <w:rFonts w:ascii="Arial" w:cs="Arial" w:eastAsia="Arial" w:hAnsi="Arial"/>
                <w:b/>
                <w:bCs/>
                <w:color w:val="137E78"/>
                <w:spacing w:val="50"/>
                <w:sz w:val="16"/>
                <w:szCs w:val="16"/>
              </w:rPr>
              <w:t xml:space="preserve">HOW TO READ THIS GUIDE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50" w:line="268"/>
            </w:pPr>
            <w:r>
              <w:rPr>
                <w:rFonts w:ascii="Arial" w:cs="Arial" w:eastAsia="Arial" w:hAnsi="Arial"/>
                <w:color w:val="19302F"/>
                <w:sz w:val="22"/>
                <w:szCs w:val="22"/>
              </w:rPr>
              <w:t xml:space="preserve">The dots show typical patterns, not fixed rules — any condition can present atypically.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50" w:line="268"/>
            </w:pPr>
            <w:r>
              <w:rPr>
                <w:rFonts w:ascii="Arial" w:cs="Arial" w:eastAsia="Arial" w:hAnsi="Arial"/>
                <w:color w:val="19302F"/>
                <w:sz w:val="22"/>
                <w:szCs w:val="22"/>
              </w:rPr>
              <w:t xml:space="preserve">Always combine the pattern with the history, examination and appropriate investigations.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line="268"/>
            </w:pPr>
            <w:r>
              <w:rPr>
                <w:rFonts w:ascii="Arial" w:cs="Arial" w:eastAsia="Arial" w:hAnsi="Arial"/>
                <w:color w:val="19302F"/>
                <w:sz w:val="22"/>
                <w:szCs w:val="22"/>
              </w:rPr>
              <w:t xml:space="preserve">Use it as a teaching prompt to discuss why each feature fits each diagnosis.</w:t>
            </w:r>
          </w:p>
        </w:tc>
      </w:tr>
    </w:tbl>
    <w:p>
      <w:pPr>
        <w:spacing w:after="120"/>
      </w:pPr>
      <w:r>
        <w:t xml:space="preserve"/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rPr>
          <w:cantSplit/>
        </w:trPr>
        <w:tc>
          <w:tcPr>
            <w:tcW w:type="dxa" w:w="9026"/>
            <w:tcBorders>
              <w:top w:val="none"/>
              <w:left w:val="single" w:color="0E5C5B" w:sz="30"/>
              <w:bottom w:val="none"/>
              <w:right w:val="none"/>
            </w:tcBorders>
            <w:shd w:fill="F4F6F6" w:val="clear"/>
            <w:tcMar>
              <w:top w:type="dxa" w:w="150"/>
              <w:left w:type="dxa" w:w="220"/>
              <w:bottom w:type="dxa" w:w="130"/>
              <w:right w:type="dxa" w:w="220"/>
            </w:tcMar>
          </w:tcPr>
          <w:p>
            <w:pPr>
              <w:spacing w:after="70"/>
            </w:pPr>
            <w:r>
              <w:rPr>
                <w:rFonts w:ascii="Arial" w:cs="Arial" w:eastAsia="Arial" w:hAnsi="Arial"/>
                <w:b/>
                <w:bCs/>
                <w:color w:val="0E5C5B"/>
                <w:spacing w:val="50"/>
                <w:sz w:val="16"/>
                <w:szCs w:val="16"/>
              </w:rPr>
              <w:t xml:space="preserve">A NOTE ON TERMINOLOGY</w:t>
            </w:r>
          </w:p>
          <w:p>
            <w:pPr>
              <w:spacing w:after="50" w:line="270"/>
            </w:pPr>
            <w:r>
              <w:rPr>
                <w:rFonts w:ascii="Arial" w:cs="Arial" w:eastAsia="Arial" w:hAnsi="Arial"/>
                <w:b/>
                <w:bCs/>
                <w:color w:val="19302F"/>
                <w:sz w:val="22"/>
                <w:szCs w:val="22"/>
              </w:rPr>
              <w:t xml:space="preserve">Seronegative arthritis</w:t>
            </w:r>
            <w:r>
              <w:rPr>
                <w:rFonts w:ascii="Arial" w:cs="Arial" w:eastAsia="Arial" w:hAnsi="Arial"/>
                <w:color w:val="19302F"/>
                <w:sz w:val="22"/>
                <w:szCs w:val="22"/>
              </w:rPr>
              <w:t xml:space="preserve"> is now usually called </w:t>
            </w:r>
            <w:r>
              <w:rPr>
                <w:rFonts w:ascii="Arial" w:cs="Arial" w:eastAsia="Arial" w:hAnsi="Arial"/>
                <w:b/>
                <w:bCs/>
                <w:color w:val="19302F"/>
                <w:sz w:val="22"/>
                <w:szCs w:val="22"/>
              </w:rPr>
              <w:t xml:space="preserve">seronegative spondyloarthritis</w:t>
            </w:r>
            <w:r>
              <w:rPr>
                <w:rFonts w:ascii="Arial" w:cs="Arial" w:eastAsia="Arial" w:hAnsi="Arial"/>
                <w:color w:val="19302F"/>
                <w:sz w:val="22"/>
                <w:szCs w:val="22"/>
              </w:rPr>
              <w:t xml:space="preserve"> (e.g. ankylosing spondylitis, psoriatic, reactive and IBD-associated arthritis).</w:t>
            </w:r>
          </w:p>
          <w:p>
            <w:pPr>
              <w:spacing w:line="270"/>
            </w:pPr>
            <w:r>
              <w:rPr>
                <w:rFonts w:ascii="Arial" w:cs="Arial" w:eastAsia="Arial" w:hAnsi="Arial"/>
                <w:b/>
                <w:bCs/>
                <w:color w:val="19302F"/>
                <w:sz w:val="22"/>
                <w:szCs w:val="22"/>
              </w:rPr>
              <w:t xml:space="preserve">Polymyalgia</w:t>
            </w:r>
            <w:r>
              <w:rPr>
                <w:rFonts w:ascii="Arial" w:cs="Arial" w:eastAsia="Arial" w:hAnsi="Arial"/>
                <w:color w:val="19302F"/>
                <w:sz w:val="22"/>
                <w:szCs w:val="22"/>
              </w:rPr>
              <w:t xml:space="preserve"> refers to </w:t>
            </w:r>
            <w:r>
              <w:rPr>
                <w:rFonts w:ascii="Arial" w:cs="Arial" w:eastAsia="Arial" w:hAnsi="Arial"/>
                <w:b/>
                <w:bCs/>
                <w:color w:val="19302F"/>
                <w:sz w:val="22"/>
                <w:szCs w:val="22"/>
              </w:rPr>
              <w:t xml:space="preserve">polymyalgia rheumatica</w:t>
            </w:r>
            <w:r>
              <w:rPr>
                <w:rFonts w:ascii="Arial" w:cs="Arial" w:eastAsia="Arial" w:hAnsi="Arial"/>
                <w:color w:val="19302F"/>
                <w:sz w:val="22"/>
                <w:szCs w:val="22"/>
              </w:rPr>
              <w:t xml:space="preserve">. It causes proximal pain and stiffness rather than a true arthritis, but is included here as an important mimic of polyarticular disease.</w:t>
            </w:r>
          </w:p>
        </w:tc>
      </w:tr>
    </w:tbl>
    <w:sectPr>
      <w:headerReference w:type="default" r:id="rId7"/>
      <w:headerReference w:type="first" r:id="rId8"/>
      <w:footerReference w:type="default" r:id="rId9"/>
      <w:footerReference w:type="first" r:id="rId10"/>
      <w:pgSz w:w="11906" w:h="16838" w:orient="portrait"/>
      <w:pgMar w:top="1180" w:right="1440" w:bottom="1180" w:left="1440" w:header="708" w:footer="708" w:gutter="0"/>
      <w:pgNumType/>
      <w:titlePg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D5E0DF" w:sz="6" w:space="6"/>
      </w:pBdr>
      <w:tabs>
        <w:tab w:val="right" w:pos="9026"/>
      </w:tabs>
    </w:pPr>
    <w:r>
      <w:rPr>
        <w:rFonts w:ascii="Arial" w:cs="Arial" w:eastAsia="Arial" w:hAnsi="Arial"/>
        <w:color w:val="5C6E6D"/>
        <w:sz w:val="15"/>
        <w:szCs w:val="15"/>
      </w:rPr>
      <w:t xml:space="preserve">Bradford VTS Teaching Aids</w:t>
    </w:r>
    <w:r>
      <w:rPr>
        <w:rFonts w:ascii="Arial" w:cs="Arial" w:eastAsia="Arial" w:hAnsi="Arial"/>
        <w:color w:val="5C6E6D"/>
        <w:sz w:val="15"/>
        <w:szCs w:val="15"/>
      </w:rPr>
      <w:t xml:space="preserve">	Page </w:t>
    </w:r>
    <w:r>
      <w:rPr>
        <w:rFonts w:ascii="Arial" w:cs="Arial" w:eastAsia="Arial" w:hAnsi="Arial"/>
        <w:color w:val="5C6E6D"/>
        <w:sz w:val="15"/>
        <w:szCs w:val="15"/>
      </w:rPr>
      <w:fldChar w:fldCharType="begin"/>
      <w:instrText xml:space="preserve">PAGE</w:instrText>
      <w:fldChar w:fldCharType="separate"/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D5E0DF" w:sz="6" w:space="6"/>
      </w:pBdr>
    </w:pPr>
    <w:r>
      <w:rPr>
        <w:rFonts w:ascii="Arial" w:cs="Arial" w:eastAsia="Arial" w:hAnsi="Arial"/>
        <w:color w:val="5C6E6D"/>
        <w:sz w:val="15"/>
        <w:szCs w:val="15"/>
      </w:rPr>
      <w:t xml:space="preserve">Bradford VTS Teaching Aids  ·  www.bradfordvts.co.uk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D5E0DF" w:sz="6" w:space="6"/>
      </w:pBdr>
      <w:tabs>
        <w:tab w:val="right" w:pos="9026"/>
      </w:tabs>
    </w:pPr>
    <w:r>
      <w:rPr>
        <w:rFonts w:ascii="Arial" w:cs="Arial" w:eastAsia="Arial" w:hAnsi="Arial"/>
        <w:b/>
        <w:bCs/>
        <w:color w:val="0E5C5B"/>
        <w:spacing w:val="50"/>
        <w:sz w:val="15"/>
        <w:szCs w:val="15"/>
      </w:rPr>
      <w:t xml:space="preserve">BRADFORD VTS TEACHING AIDS</w:t>
    </w:r>
    <w:r>
      <w:rPr>
        <w:rFonts w:ascii="Arial" w:cs="Arial" w:eastAsia="Arial" w:hAnsi="Arial"/>
        <w:color w:val="5C6E6D"/>
        <w:sz w:val="15"/>
        <w:szCs w:val="15"/>
      </w:rPr>
      <w:t xml:space="preserve">	Acute Arthritis — The Differential at a Glance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t xml:space="preserv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20"/>
      </w:pPr>
      <w:rPr>
        <w:color w:val="137E78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9302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er2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word/_rels/header2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Acute Arthritis — The Differential at a Glance</dc:title>
  <dc:creator>Bradford VTS</dc:creator>
  <cp:lastModifiedBy>Un-named</cp:lastModifiedBy>
  <cp:revision>1</cp:revision>
  <dcterms:created xsi:type="dcterms:W3CDTF">2026-06-17T16:47:50.914Z</dcterms:created>
  <dcterms:modified xsi:type="dcterms:W3CDTF">2026-06-17T16:47:50.914Z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