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9"/>
      </w:tblGrid>
      <w:tr>
        <w:tc>
          <w:tcPr>
            <w:tcW w:type="dxa" w:w="9029"/>
            <w:shd w:val="clear" w:color="auto" w:fill="E0651F"/>
          </w:tcPr>
          <w:p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0"/>
              </w:rPr>
              <w:t>BRADFORD VTS TEACHING AIDS</w:t>
            </w:r>
          </w:p>
        </w:tc>
      </w:tr>
      <w:tr>
        <w:tc>
          <w:tcPr>
            <w:tcW w:type="dxa" w:w="9029"/>
            <w:shd w:val="clear" w:color="auto" w:fill="E0651F"/>
          </w:tcPr>
          <w:p>
            <w:pPr>
              <w:spacing w:before="120" w:after="12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60"/>
              </w:rPr>
              <w:t>Hips, Knees, Ankles &amp; Feet for GPs</w:t>
            </w:r>
          </w:p>
        </w:tc>
      </w:tr>
      <w:tr>
        <w:tc>
          <w:tcPr>
            <w:tcW w:type="dxa" w:w="9029"/>
            <w:shd w:val="clear" w:color="auto" w:fill="E0651F"/>
          </w:tcPr>
          <w:p>
            <w:pPr>
              <w:spacing w:before="120" w:after="120"/>
              <w:jc w:val="center"/>
            </w:pPr>
            <w:r>
              <w:rPr>
                <w:rFonts w:ascii="Calibri" w:hAnsi="Calibri"/>
                <w:b w:val="0"/>
                <w:i/>
                <w:color w:val="FFFFFF"/>
                <w:sz w:val="24"/>
              </w:rPr>
              <w:t>A Practical Clinical Guide · Bradford VTS · June 2026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3352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ps_knees_hero_2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52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888888"/>
          <w:sz w:val="20"/>
        </w:rPr>
        <w:t>A systematic guide to lower limb problems in primary care, updated to current NICE guidance.</w:t>
      </w:r>
    </w:p>
    <w:p/>
    <w:p>
      <w:pPr>
        <w:spacing w:before="280" w:after="80"/>
      </w:pPr>
      <w:r>
        <w:rPr>
          <w:rFonts w:ascii="Calibri" w:hAnsi="Calibri"/>
          <w:b/>
          <w:color w:val="1A3A5C"/>
          <w:sz w:val="34"/>
        </w:rPr>
        <w:t>1. Greater Trochanteric Pain Syndrome (GTPS)</w:t>
      </w:r>
    </w:p>
    <w:p>
      <w:pPr>
        <w:spacing w:after="60"/>
      </w:pPr>
      <w:r>
        <w:rPr>
          <w:rFonts w:ascii="Calibri" w:hAnsi="Calibri"/>
          <w:sz w:val="22"/>
        </w:rPr>
        <w:t>Previously called 'trochanteric bursitis'. NICE CKS now uses GTPS — encompasses gluteal tendinopathy, IT band pathology and bursitis. Common in women aged 40–60 years. Also associated with leg length discrepancy and post-THR.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Presentation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Pain over lateral hip near greater trochanter — tender on palpation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May radiate down outer thigh — but NOT to foot (differentiates from sciatica)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Worse lying on affected side; aggravated by running, walking and crossing legs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Differentials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OA hip: passive internal rotation of hip (in flexion) → pain in OA, not in GTPS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Sciatica: pain radiates to foot + pain on SLR — not on hip flexion with knee flexed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Gluteus medius tendon tear: pain on resisted hip abduction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Management (NICE CKS)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Activity modification — avoid lying on affected side; avoid crossing legs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Physiotherapy — hip abductor stretching and load management programme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NSAIDs (topical first; oral if insufficient) — short course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Ultrasound-guided corticosteroid injection — best evidence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Surgery (IT band release/bursectomy) — rarely needed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9"/>
      </w:tblGrid>
      <w:tr>
        <w:tc>
          <w:tcPr>
            <w:tcW w:type="dxa" w:w="9029"/>
            <w:shd w:val="clear" w:color="auto" w:fill="E68A00"/>
          </w:tcPr>
          <w:p>
            <w:r>
              <w:rPr>
                <w:rFonts w:ascii="Calibri" w:hAnsi="Calibri"/>
                <w:b/>
                <w:color w:val="FFFFFF"/>
                <w:sz w:val="24"/>
              </w:rPr>
              <w:t>⚠ Pitfall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Don't diagnose GTPS as 'hip OA' — test passive internal rotation. If normal → GTPS. If restricted/painful → likely OA or serious hip pathology.</w:t>
            </w:r>
          </w:p>
        </w:tc>
      </w:tr>
    </w:tbl>
    <w:p/>
    <w:p/>
    <w:p>
      <w:pPr>
        <w:spacing w:before="280" w:after="80"/>
      </w:pPr>
      <w:r>
        <w:rPr>
          <w:rFonts w:ascii="Calibri" w:hAnsi="Calibri"/>
          <w:b/>
          <w:color w:val="1A3A5C"/>
          <w:sz w:val="34"/>
        </w:rPr>
        <w:t>2. Patellofemoral Pain Syndrome (PFPS)</w:t>
      </w:r>
    </w:p>
    <w:p>
      <w:pPr>
        <w:spacing w:after="60"/>
      </w:pPr>
      <w:r>
        <w:rPr>
          <w:rFonts w:ascii="Calibri" w:hAnsi="Calibri"/>
          <w:sz w:val="22"/>
        </w:rPr>
        <w:t>= Anterior knee pain. Caused by patellar maltracking — VMO weakness allows lateral drift. Very common (20% students). Women &gt; Men. Physically active people. No acute trauma.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Diagnosis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Sharp anterior/retropatellar knee pain on knee flexion activities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'Cinema sign': pain worsens sitting with knees flexed (cinema, driving)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Worse going DOWN stairs than up (eccentric quadriceps overload)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No effusion — if effusion present, rethink the diagnosis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Examination: patellar grind; lateral patellar glide at 20° reproduces pain; check foot pronation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Management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Activity modification — avoid squatting; aisle seat in cinema; raise bicycle saddle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VMO strengthening + physiotherapy (most effective intervention)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McConnell patellar taping — RCT evidence: 73% improvement vs 10% no-tape (Hinman, BMJ 2003)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Foot orthoses (arch supports) if foot overpronation present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Drugs play MINIMAL role — avoid NSAIDs long-term</w:t>
      </w:r>
    </w:p>
    <w:p/>
    <w:p>
      <w:pPr>
        <w:spacing w:before="280" w:after="80"/>
      </w:pPr>
      <w:r>
        <w:rPr>
          <w:rFonts w:ascii="Calibri" w:hAnsi="Calibri"/>
          <w:b/>
          <w:color w:val="1A3A5C"/>
          <w:sz w:val="34"/>
        </w:rPr>
        <w:t>3. Ankle Injuries — Lateral Ligament Sprain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Grade 1: pain + tenderness, no tear, stable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Grade 2: partial tear, pain ++, ± instability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Grade 3: complete tear, cannot weight-bear, gross instability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Ottawa Ankle Rules (NICE CKS, June 2025 — still current)</w:t>
      </w:r>
    </w:p>
    <w:p>
      <w:pPr>
        <w:spacing w:after="60"/>
      </w:pPr>
      <w:r>
        <w:rPr>
          <w:rFonts w:ascii="Calibri" w:hAnsi="Calibri"/>
          <w:sz w:val="22"/>
        </w:rPr>
        <w:t>X-ray ANKLE if pain in malleolar zone AND: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Bony tenderness at posterior tip/edge of lateral OR medial malleolus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Inability to weight-bear 4 steps immediately AND in clinic</w:t>
      </w:r>
    </w:p>
    <w:p>
      <w:pPr>
        <w:spacing w:after="60"/>
      </w:pPr>
      <w:r>
        <w:rPr>
          <w:rFonts w:ascii="Calibri" w:hAnsi="Calibri"/>
          <w:sz w:val="22"/>
        </w:rPr>
        <w:t>X-ray FOOT if pain in midfoot zone AND: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Bony tenderness at base of 5th metatarsal OR navicular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Inability to weight-bear 4 steps immediately AND in clinic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Management — POLICE (replaces RICE, NICE CKS June 2025)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Protection: functional brace/support 4–6 weeks (grade 3 until pain-free walking)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Optimal Loading: early mobilisation preferred over immobilisation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Ice: 15–20 min QDS in damp towel for first 48h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Compression: elastic bandage — snug, remove before sleep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Elevation: first 48h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Analgesia: paracetamol ± codeine; NSAIDs after first 48h only (early use may impair healing)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Physiotherapy: alphabet exercises, balance board, Achilles stretching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Grade 3: orthopaedic referral if no improvement after 6 weeks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9"/>
      </w:tblGrid>
      <w:tr>
        <w:tc>
          <w:tcPr>
            <w:tcW w:type="dxa" w:w="9029"/>
            <w:shd w:val="clear" w:color="auto" w:fill="C02020"/>
          </w:tcPr>
          <w:p>
            <w:r>
              <w:rPr>
                <w:rFonts w:ascii="Calibri" w:hAnsi="Calibri"/>
                <w:b/>
                <w:color w:val="FFFFFF"/>
                <w:sz w:val="24"/>
              </w:rPr>
              <w:t>⚠ Don't Miss Achilles Tendon Rupture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Thompson (Simmonds) test: squeeze calf — absent passive plantarflexion = rupture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May have near-normal active movement via other flexors — do NOT be falsely reassured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Refer immediately to orthopaedics</w:t>
            </w:r>
          </w:p>
        </w:tc>
      </w:tr>
    </w:tbl>
    <w:p/>
    <w:p/>
    <w:p>
      <w:pPr>
        <w:spacing w:before="280" w:after="80"/>
      </w:pPr>
      <w:r>
        <w:rPr>
          <w:rFonts w:ascii="Calibri" w:hAnsi="Calibri"/>
          <w:b/>
          <w:color w:val="1A3A5C"/>
          <w:sz w:val="34"/>
        </w:rPr>
        <w:t>4. Plantar Fasciitis (NICE CKS, December 2024)</w:t>
      </w:r>
    </w:p>
    <w:p>
      <w:pPr>
        <w:spacing w:after="60"/>
      </w:pPr>
      <w:r>
        <w:rPr>
          <w:rFonts w:ascii="Calibri" w:hAnsi="Calibri"/>
          <w:sz w:val="22"/>
        </w:rPr>
        <w:t>Inflammation/degeneration of plantar fascia at calcaneal insertion. Common (10% of population). Risk factors: overweight, standing occupations, overpronation, age 40–60. Often bilateral in 30%.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Diagnosis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'Start-up pain' — intense heel pain on first steps after waking or after rest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Tender at medial calcaneal tuberosity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Windlass test: passive dorsiflexion of toes reproduces pain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Tip-toe walk causes pain +++ (diagnostic)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Heel spurs on X-ray: common and INCIDENTAL — do not treat</w:t>
      </w:r>
    </w:p>
    <w:p>
      <w:pPr>
        <w:spacing w:before="160" w:after="60"/>
      </w:pPr>
      <w:r>
        <w:rPr>
          <w:rFonts w:ascii="Calibri" w:hAnsi="Calibri"/>
          <w:b/>
          <w:color w:val="007A87"/>
          <w:sz w:val="26"/>
        </w:rPr>
        <w:t>Management (NICE CKS December 2024)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Reassurance: 90% resolve within 12 months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Stretching exercises (first-line): plantar fascia + calf stretches before first step in morning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Footwear: cushioned heels; avoid barefoot on hard surfaces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Foot orthoses: arch supports for overpronation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Analgesia: paracetamol; topical NSAIDs; oral NSAIDs if needed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Corticosteroid injection: &gt;70% effective but risk of fascia rupture (~5–10%) + fat pad atrophy</w:t>
      </w:r>
    </w:p>
    <w:p>
      <w:pPr>
        <w:spacing w:after="40"/>
        <w:ind w:left="360"/>
      </w:pPr>
      <w:r>
        <w:rPr>
          <w:rFonts w:ascii="Calibri" w:hAnsi="Calibri"/>
          <w:sz w:val="22"/>
        </w:rPr>
        <w:t>• ESWT: for persistent cases (&gt;3–6 months); surgery rarely needed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9"/>
      </w:tblGrid>
      <w:tr>
        <w:tc>
          <w:tcPr>
            <w:tcW w:type="dxa" w:w="9029"/>
            <w:shd w:val="clear" w:color="auto" w:fill="5A189A"/>
          </w:tcPr>
          <w:p>
            <w:r>
              <w:rPr>
                <w:rFonts w:ascii="Calibri" w:hAnsi="Calibri"/>
                <w:b/>
                <w:color w:val="FFFFFF"/>
                <w:sz w:val="24"/>
              </w:rPr>
              <w:t>🟣 AKT Exam Focus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GTPS (not 'trochanteric bursitis') — correct NICE CKS terminology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Ottawa Ankle Rules: posterior tip malleolus tenderness OR unable WB → X-ray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POLICE has replaced RICE — NICE CKS June 2025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Plantar fasciitis: stretching first-line (NICE CKS Dec 2024); steroid injection → risk of rupture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NSAIDs: avoid in first 48h ankle injury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Heel spurs: incidental on X-ray — no treatment needed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9"/>
      </w:tblGrid>
      <w:tr>
        <w:tc>
          <w:tcPr>
            <w:tcW w:type="dxa" w:w="9029"/>
            <w:shd w:val="clear" w:color="auto" w:fill="207A30"/>
          </w:tcPr>
          <w:p>
            <w:r>
              <w:rPr>
                <w:rFonts w:ascii="Calibri" w:hAnsi="Calibri"/>
                <w:b/>
                <w:color w:val="FFFFFF"/>
                <w:sz w:val="24"/>
              </w:rPr>
              <w:t>🟢 SCA Exam Focus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ICE for ankle: 'What are you worried has happened — are you concerned about a fracture?'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Safety-netting plantar fasciitis: '90% get better within a year. Come back at 3 months if still bad.'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Shared decision-making steroid injection: 'Small risk of tendon tear — worth knowing before deciding.'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GTPS safety-net: 'If pain goes to your foot or you develop weakness, come back urgently.'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9"/>
      </w:tblGrid>
      <w:tr>
        <w:tc>
          <w:tcPr>
            <w:tcW w:type="dxa" w:w="9029"/>
            <w:shd w:val="clear" w:color="auto" w:fill="C02020"/>
          </w:tcPr>
          <w:p>
            <w:r>
              <w:rPr>
                <w:rFonts w:ascii="Calibri" w:hAnsi="Calibri"/>
                <w:b/>
                <w:color w:val="FFFFFF"/>
                <w:sz w:val="24"/>
              </w:rPr>
              <w:t>🔴 Red Flags — Immediate Action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Hot swollen joint + fever → septic arthritis (emergency admission)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Suspected Achilles tendon rupture → refer immediately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Neurovascular compromise → emergency</w:t>
            </w:r>
          </w:p>
          <w:p>
            <w:r>
              <w:rPr>
                <w:rFonts w:ascii="Calibri" w:hAnsi="Calibri"/>
                <w:color w:val="FFFFFF"/>
                <w:sz w:val="22"/>
              </w:rPr>
              <w:t xml:space="preserve">  • Child with hip pain + fever/non-WB → septic arthritis of hip (emergency)</w:t>
            </w:r>
          </w:p>
        </w:tc>
      </w:tr>
    </w:tbl>
    <w:p/>
    <w:p/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9"/>
      </w:tblGrid>
      <w:tr>
        <w:tc>
          <w:tcPr>
            <w:tcW w:type="dxa" w:w="9029"/>
            <w:shd w:val="clear" w:color="auto" w:fill="FFF3CD"/>
          </w:tcPr>
          <w:p>
            <w:pPr>
              <w:jc w:val="center"/>
            </w:pPr>
            <w:r>
              <w:rPr>
                <w:rFonts w:ascii="Calibri" w:hAnsi="Calibri"/>
                <w:b/>
                <w:color w:val="856004"/>
                <w:sz w:val="22"/>
              </w:rPr>
              <w:t>⚠ Always double check this advice and drug doses with the latest NICE/BNF guidance. This document is for educational purposes only.</w:t>
            </w:r>
          </w:p>
        </w:tc>
      </w:tr>
    </w:tbl>
    <w:sectPr w:rsidR="00FC693F" w:rsidRPr="0006063C" w:rsidSect="00034616">
      <w:footerReference w:type="default" r:id="rId10"/>
      <w:pgSz w:w="11909" w:h="16834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i/>
        <w:color w:val="888888"/>
        <w:sz w:val="18"/>
      </w:rPr>
      <w:t>A free resource provided by www.bradfordvts.co.uk, Dr Ramesh Mehay, revised June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