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65CF0" w14:textId="77777777" w:rsidR="00F960C2" w:rsidRDefault="00F960C2">
      <w:pPr>
        <w:spacing w:before="700"/>
      </w:pPr>
    </w:p>
    <w:p w14:paraId="4D782413" w14:textId="77777777" w:rsidR="00F960C2" w:rsidRPr="00B56A59" w:rsidRDefault="00000000">
      <w:pPr>
        <w:spacing w:after="40"/>
        <w:jc w:val="center"/>
        <w:rPr>
          <w:color w:val="E97132" w:themeColor="accent2"/>
        </w:rPr>
      </w:pPr>
      <w:r w:rsidRPr="00B56A59">
        <w:rPr>
          <w:b/>
          <w:bCs/>
          <w:color w:val="E97132" w:themeColor="accent2"/>
          <w:spacing w:val="60"/>
          <w:sz w:val="24"/>
          <w:szCs w:val="24"/>
        </w:rPr>
        <w:t>BRADFORD VTS TEACHING AIDS</w:t>
      </w:r>
    </w:p>
    <w:p w14:paraId="150CD249" w14:textId="77777777" w:rsidR="00F960C2" w:rsidRDefault="00000000">
      <w:pPr>
        <w:pBdr>
          <w:bottom w:val="single" w:sz="12" w:space="12" w:color="0E5C5B"/>
        </w:pBdr>
        <w:spacing w:after="360"/>
        <w:jc w:val="center"/>
      </w:pPr>
      <w:r>
        <w:rPr>
          <w:color w:val="5F5F5F"/>
          <w:sz w:val="20"/>
          <w:szCs w:val="20"/>
        </w:rPr>
        <w:t>Musculoskeletal Medicine for General Practice</w:t>
      </w:r>
    </w:p>
    <w:p w14:paraId="27EBE4C8" w14:textId="77777777" w:rsidR="00F960C2" w:rsidRDefault="00000000">
      <w:pPr>
        <w:spacing w:after="60"/>
        <w:jc w:val="center"/>
      </w:pPr>
      <w:r>
        <w:rPr>
          <w:b/>
          <w:bCs/>
          <w:color w:val="0E5C5B"/>
          <w:sz w:val="60"/>
          <w:szCs w:val="60"/>
        </w:rPr>
        <w:t>Assessment of</w:t>
      </w:r>
    </w:p>
    <w:p w14:paraId="1FB49138" w14:textId="77777777" w:rsidR="00F960C2" w:rsidRDefault="00000000">
      <w:pPr>
        <w:spacing w:after="220"/>
        <w:jc w:val="center"/>
      </w:pPr>
      <w:r>
        <w:rPr>
          <w:b/>
          <w:bCs/>
          <w:color w:val="0E5C5B"/>
          <w:sz w:val="60"/>
          <w:szCs w:val="60"/>
        </w:rPr>
        <w:t>Acute Knee Pain</w:t>
      </w:r>
    </w:p>
    <w:p w14:paraId="6D33CC89" w14:textId="77777777" w:rsidR="00F960C2" w:rsidRDefault="00000000">
      <w:pPr>
        <w:spacing w:after="420"/>
        <w:jc w:val="center"/>
      </w:pPr>
      <w:r>
        <w:rPr>
          <w:i/>
          <w:iCs/>
          <w:color w:val="8A5A0C"/>
          <w:sz w:val="26"/>
          <w:szCs w:val="26"/>
        </w:rPr>
        <w:t>A practical, evidence-based guide for GPs and GP registrars</w:t>
      </w:r>
    </w:p>
    <w:tbl>
      <w:tblPr>
        <w:tblW w:w="7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tblGrid>
      <w:tr w:rsidR="00F960C2" w14:paraId="68086CE9" w14:textId="77777777">
        <w:tblPrEx>
          <w:tblCellMar>
            <w:top w:w="0" w:type="dxa"/>
            <w:bottom w:w="0" w:type="dxa"/>
          </w:tblCellMar>
        </w:tblPrEx>
        <w:trPr>
          <w:jc w:val="center"/>
        </w:trPr>
        <w:tc>
          <w:tcPr>
            <w:tcW w:w="7000" w:type="dxa"/>
            <w:shd w:val="clear" w:color="auto" w:fill="0E5C5B"/>
            <w:tcMar>
              <w:top w:w="200" w:type="dxa"/>
              <w:left w:w="300" w:type="dxa"/>
              <w:bottom w:w="200" w:type="dxa"/>
              <w:right w:w="300" w:type="dxa"/>
            </w:tcMar>
          </w:tcPr>
          <w:p w14:paraId="773A90A3" w14:textId="77777777" w:rsidR="00F960C2" w:rsidRDefault="00000000">
            <w:pPr>
              <w:spacing w:after="60"/>
              <w:jc w:val="center"/>
            </w:pPr>
            <w:r>
              <w:rPr>
                <w:b/>
                <w:bCs/>
                <w:color w:val="C9E2E0"/>
                <w:spacing w:val="40"/>
                <w:sz w:val="18"/>
                <w:szCs w:val="18"/>
              </w:rPr>
              <w:t>THE ONE RULE TO REMEMBER</w:t>
            </w:r>
          </w:p>
          <w:p w14:paraId="1CCBBA93" w14:textId="77777777" w:rsidR="00F960C2" w:rsidRDefault="00000000">
            <w:pPr>
              <w:jc w:val="center"/>
            </w:pPr>
            <w:r>
              <w:rPr>
                <w:b/>
                <w:bCs/>
                <w:color w:val="FFFFFF"/>
                <w:sz w:val="30"/>
                <w:szCs w:val="30"/>
              </w:rPr>
              <w:t>The history makes the diagnosis.</w:t>
            </w:r>
          </w:p>
          <w:p w14:paraId="4EC14888" w14:textId="77777777" w:rsidR="00F960C2" w:rsidRDefault="00000000">
            <w:pPr>
              <w:spacing w:before="40"/>
              <w:jc w:val="center"/>
            </w:pPr>
            <w:r>
              <w:rPr>
                <w:i/>
                <w:iCs/>
                <w:color w:val="E3F0EF"/>
                <w:sz w:val="20"/>
                <w:szCs w:val="20"/>
              </w:rPr>
              <w:t>The examination only confirms it — it can never rule it out.</w:t>
            </w:r>
          </w:p>
        </w:tc>
      </w:tr>
    </w:tbl>
    <w:p w14:paraId="264708E1" w14:textId="77777777" w:rsidR="00F960C2" w:rsidRDefault="00000000">
      <w:pPr>
        <w:spacing w:before="700"/>
        <w:jc w:val="center"/>
      </w:pPr>
      <w:r>
        <w:rPr>
          <w:color w:val="5F5F5F"/>
          <w:sz w:val="20"/>
          <w:szCs w:val="20"/>
        </w:rPr>
        <w:t xml:space="preserve">Updated and verified against current UK </w:t>
      </w:r>
      <w:proofErr w:type="gramStart"/>
      <w:r>
        <w:rPr>
          <w:color w:val="5F5F5F"/>
          <w:sz w:val="20"/>
          <w:szCs w:val="20"/>
        </w:rPr>
        <w:t>guidance  •</w:t>
      </w:r>
      <w:proofErr w:type="gramEnd"/>
      <w:r>
        <w:rPr>
          <w:color w:val="5F5F5F"/>
          <w:sz w:val="20"/>
          <w:szCs w:val="20"/>
        </w:rPr>
        <w:t xml:space="preserve">  June 2026</w:t>
      </w:r>
    </w:p>
    <w:p w14:paraId="0E2C583D" w14:textId="77777777" w:rsidR="00F960C2" w:rsidRDefault="00000000">
      <w:pPr>
        <w:spacing w:before="30"/>
        <w:jc w:val="center"/>
      </w:pPr>
      <w:r>
        <w:rPr>
          <w:color w:val="B07410"/>
          <w:sz w:val="18"/>
          <w:szCs w:val="18"/>
        </w:rPr>
        <w:t>NICE CKS · Ottawa Knee Rules · NHS specialist guidance</w:t>
      </w:r>
    </w:p>
    <w:p w14:paraId="5641CDFD" w14:textId="77777777" w:rsidR="00F960C2" w:rsidRDefault="00000000">
      <w:r>
        <w:br w:type="page"/>
      </w:r>
    </w:p>
    <w:p w14:paraId="358834BC" w14:textId="77777777" w:rsidR="00F960C2" w:rsidRDefault="00F960C2">
      <w:pPr>
        <w:sectPr w:rsidR="00F960C2">
          <w:pgSz w:w="12240" w:h="15840"/>
          <w:pgMar w:top="1440" w:right="1440" w:bottom="1440" w:left="1440" w:header="708" w:footer="708" w:gutter="0"/>
          <w:cols w:space="720"/>
          <w:docGrid w:linePitch="360"/>
        </w:sectPr>
      </w:pPr>
    </w:p>
    <w:p w14:paraId="455BD142" w14:textId="77777777" w:rsidR="00F960C2" w:rsidRDefault="00000000">
      <w:pPr>
        <w:spacing w:after="120"/>
      </w:pPr>
      <w:r>
        <w:rPr>
          <w:b/>
          <w:bCs/>
          <w:color w:val="0E5C5B"/>
          <w:sz w:val="30"/>
          <w:szCs w:val="30"/>
        </w:rPr>
        <w:lastRenderedPageBreak/>
        <w:t>How to use this guide</w:t>
      </w:r>
    </w:p>
    <w:p w14:paraId="6E77BD52" w14:textId="77777777" w:rsidR="00F960C2" w:rsidRDefault="00000000">
      <w:pPr>
        <w:spacing w:after="160" w:line="288" w:lineRule="auto"/>
      </w:pPr>
      <w:r>
        <w:rPr>
          <w:i/>
          <w:iCs/>
          <w:color w:val="5F5F5F"/>
          <w:sz w:val="23"/>
          <w:szCs w:val="23"/>
        </w:rPr>
        <w:t xml:space="preserve">Most GP consultations last 10–15 minutes. That is not long enough to perform every special knee test — and even in expert hands, many of those tests are unreliable. </w:t>
      </w:r>
      <w:proofErr w:type="gramStart"/>
      <w:r>
        <w:rPr>
          <w:i/>
          <w:iCs/>
          <w:color w:val="5F5F5F"/>
          <w:sz w:val="23"/>
          <w:szCs w:val="23"/>
        </w:rPr>
        <w:t>So</w:t>
      </w:r>
      <w:proofErr w:type="gramEnd"/>
      <w:r>
        <w:rPr>
          <w:i/>
          <w:iCs/>
          <w:color w:val="5F5F5F"/>
          <w:sz w:val="23"/>
          <w:szCs w:val="23"/>
        </w:rPr>
        <w:t xml:space="preserve"> this guide does something different. It teaches you to reach a safe working diagnosis mainly from the story the patient tells you, and to know exactly who needs referring and how quickly.</w:t>
      </w:r>
    </w:p>
    <w:p w14:paraId="02A6E5A9" w14:textId="77777777" w:rsidR="00F960C2" w:rsidRDefault="00000000">
      <w:pPr>
        <w:spacing w:after="140" w:line="276" w:lineRule="auto"/>
      </w:pPr>
      <w:r>
        <w:rPr>
          <w:b/>
          <w:bCs/>
        </w:rPr>
        <w:t xml:space="preserve">It works in two layers. </w:t>
      </w:r>
      <w:r>
        <w:t xml:space="preserve">First, learn the </w:t>
      </w:r>
      <w:r>
        <w:rPr>
          <w:b/>
          <w:bCs/>
          <w:color w:val="8A5A0C"/>
        </w:rPr>
        <w:t>patterns</w:t>
      </w:r>
      <w:r>
        <w:t xml:space="preserve"> — three classic pictures that cover most acute knee problems you will meet. Then, when you need the detail, the later sections give you the deeper clinical picture for each condition, the cases to cement it, and a clear referral map.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00AF485F"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57C5230A" w14:textId="77777777" w:rsidR="00F960C2" w:rsidRDefault="00000000">
            <w:pPr>
              <w:spacing w:after="80"/>
            </w:pPr>
            <w:r>
              <w:rPr>
                <w:b/>
                <w:bCs/>
                <w:color w:val="0A4544"/>
              </w:rPr>
              <w:t>What you will be able to do after reading this</w:t>
            </w:r>
          </w:p>
          <w:p w14:paraId="40DE1BA4" w14:textId="77777777" w:rsidR="00F960C2" w:rsidRDefault="00000000">
            <w:pPr>
              <w:pStyle w:val="ListParagraph"/>
              <w:numPr>
                <w:ilvl w:val="0"/>
                <w:numId w:val="2"/>
              </w:numPr>
              <w:spacing w:after="50" w:line="260" w:lineRule="auto"/>
            </w:pPr>
            <w:r>
              <w:rPr>
                <w:sz w:val="21"/>
                <w:szCs w:val="21"/>
              </w:rPr>
              <w:t>Sort most acute knee injuries into one of a few clear patterns — fast.</w:t>
            </w:r>
          </w:p>
          <w:p w14:paraId="23D7275D" w14:textId="77777777" w:rsidR="00F960C2" w:rsidRDefault="00000000">
            <w:pPr>
              <w:pStyle w:val="ListParagraph"/>
              <w:numPr>
                <w:ilvl w:val="0"/>
                <w:numId w:val="2"/>
              </w:numPr>
              <w:spacing w:after="50" w:line="260" w:lineRule="auto"/>
            </w:pPr>
            <w:r>
              <w:rPr>
                <w:sz w:val="21"/>
                <w:szCs w:val="21"/>
              </w:rPr>
              <w:t xml:space="preserve">Ask the handful of history questions that </w:t>
            </w:r>
            <w:proofErr w:type="gramStart"/>
            <w:r>
              <w:rPr>
                <w:sz w:val="21"/>
                <w:szCs w:val="21"/>
              </w:rPr>
              <w:t>actually change</w:t>
            </w:r>
            <w:proofErr w:type="gramEnd"/>
            <w:r>
              <w:rPr>
                <w:sz w:val="21"/>
                <w:szCs w:val="21"/>
              </w:rPr>
              <w:t xml:space="preserve"> your diagnosis.</w:t>
            </w:r>
          </w:p>
          <w:p w14:paraId="100DEAE3" w14:textId="77777777" w:rsidR="00F960C2" w:rsidRDefault="00000000">
            <w:pPr>
              <w:pStyle w:val="ListParagraph"/>
              <w:numPr>
                <w:ilvl w:val="0"/>
                <w:numId w:val="2"/>
              </w:numPr>
              <w:spacing w:after="50" w:line="260" w:lineRule="auto"/>
            </w:pPr>
            <w:r>
              <w:rPr>
                <w:sz w:val="21"/>
                <w:szCs w:val="21"/>
              </w:rPr>
              <w:t>Decide confidently when a knee needs an X-ray, using the Ottawa Knee Rules.</w:t>
            </w:r>
          </w:p>
          <w:p w14:paraId="00F8C09D" w14:textId="77777777" w:rsidR="00F960C2" w:rsidRDefault="00000000">
            <w:pPr>
              <w:pStyle w:val="ListParagraph"/>
              <w:numPr>
                <w:ilvl w:val="0"/>
                <w:numId w:val="2"/>
              </w:numPr>
              <w:spacing w:after="50" w:line="260" w:lineRule="auto"/>
            </w:pPr>
            <w:r>
              <w:rPr>
                <w:sz w:val="21"/>
                <w:szCs w:val="21"/>
              </w:rPr>
              <w:t>Examine the knee in a simple, structured way — and know which signs to trust.</w:t>
            </w:r>
          </w:p>
          <w:p w14:paraId="6201F8B6" w14:textId="77777777" w:rsidR="00F960C2" w:rsidRDefault="00000000">
            <w:pPr>
              <w:pStyle w:val="ListParagraph"/>
              <w:numPr>
                <w:ilvl w:val="0"/>
                <w:numId w:val="2"/>
              </w:numPr>
              <w:spacing w:line="260" w:lineRule="auto"/>
            </w:pPr>
            <w:r>
              <w:rPr>
                <w:sz w:val="21"/>
                <w:szCs w:val="21"/>
              </w:rPr>
              <w:t>Refer the right patient, to the right place, at the right speed.</w:t>
            </w:r>
          </w:p>
        </w:tc>
      </w:tr>
    </w:tbl>
    <w:p w14:paraId="1C76BF82" w14:textId="37B96C51" w:rsidR="00F960C2" w:rsidRDefault="00F960C2" w:rsidP="00B56A59"/>
    <w:p w14:paraId="2E09F625" w14:textId="77777777" w:rsidR="00B56A59" w:rsidRDefault="00B56A59" w:rsidP="00B56A59"/>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8600"/>
      </w:tblGrid>
      <w:tr w:rsidR="00F960C2" w14:paraId="37E1EC0F" w14:textId="77777777">
        <w:tblPrEx>
          <w:tblCellMar>
            <w:top w:w="0" w:type="dxa"/>
            <w:bottom w:w="0" w:type="dxa"/>
          </w:tblCellMar>
        </w:tblPrEx>
        <w:tc>
          <w:tcPr>
            <w:tcW w:w="760" w:type="dxa"/>
            <w:tcBorders>
              <w:top w:val="none" w:sz="0" w:space="0" w:color="FFFFFF"/>
              <w:left w:val="none" w:sz="0" w:space="0" w:color="FFFFFF"/>
              <w:bottom w:val="none" w:sz="0" w:space="0" w:color="FFFFFF"/>
              <w:right w:val="none" w:sz="0" w:space="0" w:color="FFFFFF"/>
            </w:tcBorders>
            <w:shd w:val="clear" w:color="auto" w:fill="B07410"/>
            <w:tcMar>
              <w:top w:w="60" w:type="dxa"/>
              <w:left w:w="40" w:type="dxa"/>
              <w:bottom w:w="60" w:type="dxa"/>
              <w:right w:w="40" w:type="dxa"/>
            </w:tcMar>
            <w:vAlign w:val="center"/>
          </w:tcPr>
          <w:p w14:paraId="129DAC88" w14:textId="77777777" w:rsidR="00F960C2" w:rsidRDefault="00000000">
            <w:pPr>
              <w:jc w:val="center"/>
            </w:pPr>
            <w:r>
              <w:rPr>
                <w:b/>
                <w:bCs/>
                <w:color w:val="FFFFFF"/>
                <w:sz w:val="30"/>
                <w:szCs w:val="30"/>
              </w:rPr>
              <w:t>1</w:t>
            </w:r>
          </w:p>
        </w:tc>
        <w:tc>
          <w:tcPr>
            <w:tcW w:w="8600" w:type="dxa"/>
            <w:tcBorders>
              <w:top w:val="none" w:sz="0" w:space="0" w:color="FFFFFF"/>
              <w:left w:val="none" w:sz="0" w:space="0" w:color="FFFFFF"/>
              <w:bottom w:val="none" w:sz="0" w:space="0" w:color="FFFFFF"/>
              <w:right w:val="none" w:sz="0" w:space="0" w:color="FFFFFF"/>
            </w:tcBorders>
            <w:shd w:val="clear" w:color="auto" w:fill="0E5C5B"/>
            <w:tcMar>
              <w:top w:w="60" w:type="dxa"/>
              <w:left w:w="220" w:type="dxa"/>
              <w:bottom w:w="60" w:type="dxa"/>
              <w:right w:w="160" w:type="dxa"/>
            </w:tcMar>
            <w:vAlign w:val="center"/>
          </w:tcPr>
          <w:p w14:paraId="45F089C4" w14:textId="77777777" w:rsidR="00F960C2" w:rsidRDefault="00000000">
            <w:r>
              <w:rPr>
                <w:b/>
                <w:bCs/>
                <w:color w:val="FFFFFF"/>
                <w:sz w:val="26"/>
                <w:szCs w:val="26"/>
              </w:rPr>
              <w:t>Start Here — The Big Picture</w:t>
            </w:r>
          </w:p>
        </w:tc>
      </w:tr>
    </w:tbl>
    <w:p w14:paraId="7129DCB4" w14:textId="77777777" w:rsidR="00F960C2" w:rsidRDefault="00F960C2">
      <w:pPr>
        <w:spacing w:after="120"/>
      </w:pPr>
    </w:p>
    <w:p w14:paraId="6E04DCC0" w14:textId="77777777" w:rsidR="00F960C2" w:rsidRDefault="00000000">
      <w:pPr>
        <w:spacing w:after="160" w:line="288" w:lineRule="auto"/>
      </w:pPr>
      <w:r>
        <w:rPr>
          <w:i/>
          <w:iCs/>
          <w:color w:val="5F5F5F"/>
          <w:sz w:val="23"/>
          <w:szCs w:val="23"/>
        </w:rPr>
        <w:t>Before any tests or special manoeuvres, hold three simple ideas in your head. They shape everything that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209A7356"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4B95993A" w14:textId="77777777" w:rsidR="00F960C2" w:rsidRDefault="00000000">
            <w:pPr>
              <w:spacing w:after="80"/>
            </w:pPr>
            <w:r>
              <w:rPr>
                <w:b/>
                <w:bCs/>
                <w:color w:val="0A4544"/>
              </w:rPr>
              <w:t>Three facts about the knee</w:t>
            </w:r>
          </w:p>
          <w:p w14:paraId="45241A11" w14:textId="77777777" w:rsidR="00F960C2" w:rsidRDefault="00000000">
            <w:pPr>
              <w:pStyle w:val="ListParagraph"/>
              <w:numPr>
                <w:ilvl w:val="0"/>
                <w:numId w:val="2"/>
              </w:numPr>
              <w:spacing w:after="50" w:line="260" w:lineRule="auto"/>
            </w:pPr>
            <w:r>
              <w:rPr>
                <w:sz w:val="21"/>
                <w:szCs w:val="21"/>
              </w:rPr>
              <w:t xml:space="preserve">It is the largest joint in the body — and one of the </w:t>
            </w:r>
            <w:proofErr w:type="gramStart"/>
            <w:r>
              <w:rPr>
                <w:sz w:val="21"/>
                <w:szCs w:val="21"/>
              </w:rPr>
              <w:t>most commonly injured</w:t>
            </w:r>
            <w:proofErr w:type="gramEnd"/>
            <w:r>
              <w:rPr>
                <w:sz w:val="21"/>
                <w:szCs w:val="21"/>
              </w:rPr>
              <w:t>, especially in sport.</w:t>
            </w:r>
          </w:p>
          <w:p w14:paraId="1508C968" w14:textId="77777777" w:rsidR="00F960C2" w:rsidRDefault="00000000">
            <w:pPr>
              <w:pStyle w:val="ListParagraph"/>
              <w:numPr>
                <w:ilvl w:val="0"/>
                <w:numId w:val="2"/>
              </w:numPr>
              <w:spacing w:after="50" w:line="260" w:lineRule="auto"/>
            </w:pPr>
            <w:r>
              <w:rPr>
                <w:sz w:val="21"/>
                <w:szCs w:val="21"/>
              </w:rPr>
              <w:t>It has almost no bony stability. The bones barely lock together, so the ligaments and menisci do nearly all the work of holding it together.</w:t>
            </w:r>
          </w:p>
          <w:p w14:paraId="0D235C59" w14:textId="77777777" w:rsidR="00F960C2" w:rsidRDefault="00000000">
            <w:pPr>
              <w:pStyle w:val="ListParagraph"/>
              <w:numPr>
                <w:ilvl w:val="0"/>
                <w:numId w:val="2"/>
              </w:numPr>
              <w:spacing w:line="260" w:lineRule="auto"/>
            </w:pPr>
            <w:r>
              <w:rPr>
                <w:sz w:val="21"/>
                <w:szCs w:val="21"/>
              </w:rPr>
              <w:t>Because soft tissue does the work, the most important injuries are soft-tissue injuries — and these often do not show up on an X-ray.</w:t>
            </w:r>
          </w:p>
        </w:tc>
      </w:tr>
    </w:tbl>
    <w:p w14:paraId="0316B98D" w14:textId="40083AE4" w:rsidR="00B56A59" w:rsidRDefault="00B56A59" w:rsidP="00B56A59">
      <w:pPr>
        <w:pBdr>
          <w:bottom w:val="single" w:sz="6" w:space="3" w:color="0E5C5B"/>
        </w:pBdr>
        <w:spacing w:before="200" w:after="90"/>
      </w:pPr>
      <w:r>
        <w:rPr>
          <w:b/>
          <w:bCs/>
          <w:color w:val="0E5C5B"/>
          <w:sz w:val="24"/>
          <w:szCs w:val="24"/>
        </w:rPr>
        <w:t>The golden rule: listen first</w:t>
      </w:r>
    </w:p>
    <w:p w14:paraId="19D90428" w14:textId="77777777" w:rsidR="00B56A59" w:rsidRDefault="00B56A59" w:rsidP="00B56A59">
      <w:pPr>
        <w:spacing w:after="140" w:line="276" w:lineRule="auto"/>
      </w:pPr>
      <w:r>
        <w:t xml:space="preserve">A good history gives you most of the diagnosis. As a rough guide, the story tells you roughly 70–80% of what you need to know. The examination usually adds only the final 10–20% — it confirms your </w:t>
      </w:r>
      <w:proofErr w:type="gramStart"/>
      <w:r>
        <w:t>idea, but</w:t>
      </w:r>
      <w:proofErr w:type="gramEnd"/>
      <w:r>
        <w:t xml:space="preserve"> rarely overturns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56A59" w14:paraId="393EF9F7" w14:textId="77777777" w:rsidTr="0034363F">
        <w:tblPrEx>
          <w:tblCellMar>
            <w:top w:w="0" w:type="dxa"/>
            <w:bottom w:w="0" w:type="dxa"/>
          </w:tblCellMar>
        </w:tblPrEx>
        <w:trPr>
          <w:cantSplit/>
        </w:trPr>
        <w:tc>
          <w:tcPr>
            <w:tcW w:w="9360" w:type="dxa"/>
            <w:tcBorders>
              <w:top w:val="single" w:sz="2" w:space="0" w:color="B07410"/>
              <w:left w:val="single" w:sz="28" w:space="0" w:color="B07410"/>
              <w:bottom w:val="single" w:sz="2" w:space="0" w:color="B07410"/>
              <w:right w:val="single" w:sz="2" w:space="0" w:color="B07410"/>
            </w:tcBorders>
            <w:shd w:val="clear" w:color="auto" w:fill="F5E9D6"/>
            <w:tcMar>
              <w:top w:w="130" w:type="dxa"/>
              <w:left w:w="240" w:type="dxa"/>
              <w:bottom w:w="130" w:type="dxa"/>
              <w:right w:w="220" w:type="dxa"/>
            </w:tcMar>
          </w:tcPr>
          <w:p w14:paraId="35813346" w14:textId="77777777" w:rsidR="00B56A59" w:rsidRDefault="00B56A59" w:rsidP="0034363F">
            <w:pPr>
              <w:spacing w:after="80"/>
            </w:pPr>
            <w:r>
              <w:rPr>
                <w:b/>
                <w:bCs/>
                <w:color w:val="8A5A0C"/>
              </w:rPr>
              <w:t>Why this matters so much</w:t>
            </w:r>
          </w:p>
          <w:p w14:paraId="3898CC83" w14:textId="77777777" w:rsidR="00B56A59" w:rsidRDefault="00B56A59" w:rsidP="0034363F">
            <w:pPr>
              <w:spacing w:after="70" w:line="264" w:lineRule="auto"/>
            </w:pPr>
            <w:r>
              <w:rPr>
                <w:sz w:val="21"/>
                <w:szCs w:val="21"/>
              </w:rPr>
              <w:t>In a swollen, painful, freshly injured knee, the muscles guard the joint and will not relax. This makes many examination tests impossible to perform — and easy to misread.</w:t>
            </w:r>
          </w:p>
          <w:p w14:paraId="58EA8D63" w14:textId="77777777" w:rsidR="00B56A59" w:rsidRDefault="00B56A59" w:rsidP="0034363F">
            <w:pPr>
              <w:spacing w:line="264" w:lineRule="auto"/>
            </w:pPr>
            <w:proofErr w:type="gramStart"/>
            <w:r>
              <w:rPr>
                <w:sz w:val="21"/>
                <w:szCs w:val="21"/>
              </w:rPr>
              <w:t>So</w:t>
            </w:r>
            <w:proofErr w:type="gramEnd"/>
            <w:r>
              <w:rPr>
                <w:sz w:val="21"/>
                <w:szCs w:val="21"/>
              </w:rPr>
              <w:t xml:space="preserve"> if the examination is unhelpful, that is normal. Trust the history.</w:t>
            </w:r>
          </w:p>
        </w:tc>
      </w:tr>
    </w:tbl>
    <w:p w14:paraId="60477C23" w14:textId="77777777" w:rsidR="00F960C2" w:rsidRDefault="00F960C2">
      <w:pPr>
        <w:spacing w:after="40"/>
      </w:pPr>
    </w:p>
    <w:p w14:paraId="31723903" w14:textId="77777777" w:rsidR="00F960C2" w:rsidRDefault="00000000">
      <w:pPr>
        <w:spacing w:before="60" w:after="40"/>
        <w:jc w:val="center"/>
      </w:pPr>
      <w:r>
        <w:rPr>
          <w:noProof/>
        </w:rPr>
        <w:lastRenderedPageBreak/>
        <w:drawing>
          <wp:inline distT="0" distB="0" distL="0" distR="0" wp14:anchorId="657EC9C4" wp14:editId="04DEA3F9">
            <wp:extent cx="5845230" cy="3633788"/>
            <wp:effectExtent l="0" t="0" r="3175" b="5080"/>
            <wp:docPr id="1" name="anatomy.png" descr="The key stabilising structures of the knee. With little bony support, the ligaments and menisci are what keep the joint stable." title="The key stabilising structures of the knee. With little bony support, the ligaments and menisci are what keep the joint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897801" cy="3666470"/>
                    </a:xfrm>
                    <a:prstGeom prst="rect">
                      <a:avLst/>
                    </a:prstGeom>
                  </pic:spPr>
                </pic:pic>
              </a:graphicData>
            </a:graphic>
          </wp:inline>
        </w:drawing>
      </w:r>
    </w:p>
    <w:p w14:paraId="0601E9F5" w14:textId="77777777" w:rsidR="00F960C2" w:rsidRDefault="00000000">
      <w:pPr>
        <w:spacing w:after="160"/>
        <w:jc w:val="center"/>
      </w:pPr>
      <w:r>
        <w:rPr>
          <w:i/>
          <w:iCs/>
          <w:color w:val="5F5F5F"/>
          <w:sz w:val="18"/>
          <w:szCs w:val="18"/>
        </w:rPr>
        <w:t>Figure — The key stabilising structures of the knee. With little bony support, the ligaments and menisci are what keep the joint stable.</w:t>
      </w:r>
    </w:p>
    <w:p w14:paraId="37968D20" w14:textId="77777777" w:rsidR="00B56A59" w:rsidRDefault="00B56A59">
      <w:pPr>
        <w:pBdr>
          <w:bottom w:val="single" w:sz="6" w:space="3" w:color="0E5C5B"/>
        </w:pBdr>
        <w:spacing w:before="200" w:after="90"/>
        <w:rPr>
          <w:b/>
          <w:bCs/>
          <w:color w:val="0E5C5B"/>
          <w:sz w:val="24"/>
          <w:szCs w:val="24"/>
        </w:rPr>
      </w:pPr>
    </w:p>
    <w:p w14:paraId="381AA089" w14:textId="6C453F34" w:rsidR="00F960C2" w:rsidRDefault="00000000">
      <w:pPr>
        <w:pBdr>
          <w:bottom w:val="single" w:sz="6" w:space="3" w:color="0E5C5B"/>
        </w:pBdr>
        <w:spacing w:before="200" w:after="90"/>
      </w:pPr>
      <w:r>
        <w:rPr>
          <w:b/>
          <w:bCs/>
          <w:color w:val="0E5C5B"/>
          <w:sz w:val="24"/>
          <w:szCs w:val="24"/>
        </w:rPr>
        <w:t>A cautionary tale you must not repeat</w:t>
      </w:r>
    </w:p>
    <w:p w14:paraId="708D8BCC" w14:textId="77777777" w:rsidR="00F960C2" w:rsidRDefault="00000000">
      <w:pPr>
        <w:spacing w:after="140" w:line="276" w:lineRule="auto"/>
      </w:pPr>
      <w:r>
        <w:t xml:space="preserve">Some serious knee injuries — the anterior cruciate ligament (ACL) rupture above all — are </w:t>
      </w:r>
      <w:r>
        <w:rPr>
          <w:b/>
          <w:bCs/>
          <w:color w:val="C0392B"/>
        </w:rPr>
        <w:t xml:space="preserve">missed </w:t>
      </w:r>
      <w:proofErr w:type="gramStart"/>
      <w:r>
        <w:rPr>
          <w:b/>
          <w:bCs/>
          <w:color w:val="C0392B"/>
        </w:rPr>
        <w:t>again and again</w:t>
      </w:r>
      <w:proofErr w:type="gramEnd"/>
      <w:r>
        <w:t xml:space="preserve">. Studies have shown that ACL injuries are often diagnosed many months after they happen, and frequently </w:t>
      </w:r>
      <w:r>
        <w:rPr>
          <w:i/>
          <w:iCs/>
        </w:rPr>
        <w:t>not</w:t>
      </w:r>
      <w:r>
        <w:t xml:space="preserve"> by the first clinician the patient sees. The usual reason is simple: the knee looked normal on examination, so the worrying history was ignored.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7A56FEF6" w14:textId="77777777">
        <w:tblPrEx>
          <w:tblCellMar>
            <w:top w:w="0" w:type="dxa"/>
            <w:bottom w:w="0" w:type="dxa"/>
          </w:tblCellMar>
        </w:tblPrEx>
        <w:trPr>
          <w:cantSplit/>
        </w:trPr>
        <w:tc>
          <w:tcPr>
            <w:tcW w:w="9360" w:type="dxa"/>
            <w:tcBorders>
              <w:top w:val="single" w:sz="2" w:space="0" w:color="C0392B"/>
              <w:left w:val="single" w:sz="28" w:space="0" w:color="C0392B"/>
              <w:bottom w:val="single" w:sz="2" w:space="0" w:color="C0392B"/>
              <w:right w:val="single" w:sz="2" w:space="0" w:color="C0392B"/>
            </w:tcBorders>
            <w:shd w:val="clear" w:color="auto" w:fill="FBE5E2"/>
            <w:tcMar>
              <w:top w:w="130" w:type="dxa"/>
              <w:left w:w="240" w:type="dxa"/>
              <w:bottom w:w="130" w:type="dxa"/>
              <w:right w:w="220" w:type="dxa"/>
            </w:tcMar>
          </w:tcPr>
          <w:p w14:paraId="0138FDC2" w14:textId="77777777" w:rsidR="00F960C2" w:rsidRDefault="00000000">
            <w:pPr>
              <w:spacing w:after="80"/>
            </w:pPr>
            <w:r>
              <w:rPr>
                <w:b/>
                <w:bCs/>
                <w:color w:val="C0392B"/>
              </w:rPr>
              <w:t>The mistake to avoid</w:t>
            </w:r>
          </w:p>
          <w:p w14:paraId="026BBDA4" w14:textId="77777777" w:rsidR="00F960C2" w:rsidRDefault="00000000">
            <w:pPr>
              <w:spacing w:line="264" w:lineRule="auto"/>
            </w:pPr>
            <w:r>
              <w:rPr>
                <w:sz w:val="21"/>
                <w:szCs w:val="21"/>
              </w:rPr>
              <w:t>A normal-looking knee does NOT cancel a worrying story. If the history sounds serious, act on the history — even when you can find nothing on examination.</w:t>
            </w:r>
          </w:p>
        </w:tc>
      </w:tr>
    </w:tbl>
    <w:p w14:paraId="76802C85" w14:textId="77777777" w:rsidR="00F960C2" w:rsidRDefault="00000000">
      <w:r>
        <w:br w:type="page"/>
      </w:r>
    </w:p>
    <w:p w14:paraId="2E38D34B" w14:textId="77777777" w:rsidR="00F960C2" w:rsidRDefault="00F960C2">
      <w:pPr>
        <w:pStyle w:val="Heading1"/>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8600"/>
      </w:tblGrid>
      <w:tr w:rsidR="00F960C2" w14:paraId="2BFE033B" w14:textId="77777777">
        <w:tblPrEx>
          <w:tblCellMar>
            <w:top w:w="0" w:type="dxa"/>
            <w:bottom w:w="0" w:type="dxa"/>
          </w:tblCellMar>
        </w:tblPrEx>
        <w:tc>
          <w:tcPr>
            <w:tcW w:w="760" w:type="dxa"/>
            <w:tcBorders>
              <w:top w:val="none" w:sz="0" w:space="0" w:color="FFFFFF"/>
              <w:left w:val="none" w:sz="0" w:space="0" w:color="FFFFFF"/>
              <w:bottom w:val="none" w:sz="0" w:space="0" w:color="FFFFFF"/>
              <w:right w:val="none" w:sz="0" w:space="0" w:color="FFFFFF"/>
            </w:tcBorders>
            <w:shd w:val="clear" w:color="auto" w:fill="B07410"/>
            <w:tcMar>
              <w:top w:w="60" w:type="dxa"/>
              <w:left w:w="40" w:type="dxa"/>
              <w:bottom w:w="60" w:type="dxa"/>
              <w:right w:w="40" w:type="dxa"/>
            </w:tcMar>
            <w:vAlign w:val="center"/>
          </w:tcPr>
          <w:p w14:paraId="550EAA27" w14:textId="77777777" w:rsidR="00F960C2" w:rsidRDefault="00000000">
            <w:pPr>
              <w:jc w:val="center"/>
            </w:pPr>
            <w:r>
              <w:rPr>
                <w:b/>
                <w:bCs/>
                <w:color w:val="FFFFFF"/>
                <w:sz w:val="30"/>
                <w:szCs w:val="30"/>
              </w:rPr>
              <w:t>2</w:t>
            </w:r>
          </w:p>
        </w:tc>
        <w:tc>
          <w:tcPr>
            <w:tcW w:w="8600" w:type="dxa"/>
            <w:tcBorders>
              <w:top w:val="none" w:sz="0" w:space="0" w:color="FFFFFF"/>
              <w:left w:val="none" w:sz="0" w:space="0" w:color="FFFFFF"/>
              <w:bottom w:val="none" w:sz="0" w:space="0" w:color="FFFFFF"/>
              <w:right w:val="none" w:sz="0" w:space="0" w:color="FFFFFF"/>
            </w:tcBorders>
            <w:shd w:val="clear" w:color="auto" w:fill="0E5C5B"/>
            <w:tcMar>
              <w:top w:w="60" w:type="dxa"/>
              <w:left w:w="220" w:type="dxa"/>
              <w:bottom w:w="60" w:type="dxa"/>
              <w:right w:w="160" w:type="dxa"/>
            </w:tcMar>
            <w:vAlign w:val="center"/>
          </w:tcPr>
          <w:p w14:paraId="2EA28611" w14:textId="77777777" w:rsidR="00F960C2" w:rsidRDefault="00000000">
            <w:r>
              <w:rPr>
                <w:b/>
                <w:bCs/>
                <w:color w:val="FFFFFF"/>
                <w:sz w:val="26"/>
                <w:szCs w:val="26"/>
              </w:rPr>
              <w:t>The Common Problems — Learn the Patterns</w:t>
            </w:r>
          </w:p>
        </w:tc>
      </w:tr>
    </w:tbl>
    <w:p w14:paraId="4ACECC18" w14:textId="77777777" w:rsidR="00F960C2" w:rsidRDefault="00F960C2">
      <w:pPr>
        <w:spacing w:after="120"/>
      </w:pPr>
    </w:p>
    <w:p w14:paraId="7A789081" w14:textId="77777777" w:rsidR="00F960C2" w:rsidRDefault="00000000">
      <w:pPr>
        <w:spacing w:after="160" w:line="288" w:lineRule="auto"/>
      </w:pPr>
      <w:r>
        <w:rPr>
          <w:i/>
          <w:iCs/>
          <w:color w:val="5F5F5F"/>
          <w:sz w:val="23"/>
          <w:szCs w:val="23"/>
        </w:rPr>
        <w:t xml:space="preserve">Four problems make up most acute and sub-acute knee presentations in general practice: ACL rupture, meniscal tears, patellofemoral pain, and osteoarthritis. This guide focuses on the first three — the ones </w:t>
      </w:r>
      <w:proofErr w:type="gramStart"/>
      <w:r>
        <w:rPr>
          <w:i/>
          <w:iCs/>
          <w:color w:val="5F5F5F"/>
          <w:sz w:val="23"/>
          <w:szCs w:val="23"/>
        </w:rPr>
        <w:t>where</w:t>
      </w:r>
      <w:proofErr w:type="gramEnd"/>
      <w:r>
        <w:rPr>
          <w:i/>
          <w:iCs/>
          <w:color w:val="5F5F5F"/>
          <w:sz w:val="23"/>
          <w:szCs w:val="23"/>
        </w:rPr>
        <w:t xml:space="preserve"> getting the assessment right early really changes outcomes.</w:t>
      </w:r>
    </w:p>
    <w:p w14:paraId="7E4C9241" w14:textId="77777777" w:rsidR="00F960C2" w:rsidRDefault="00000000">
      <w:pPr>
        <w:spacing w:after="140" w:line="276" w:lineRule="auto"/>
      </w:pPr>
      <w:r>
        <w:rPr>
          <w:b/>
          <w:bCs/>
        </w:rPr>
        <w:t xml:space="preserve">Here is the trick that makes them easy to remember. </w:t>
      </w:r>
      <w:r>
        <w:t>Picture each one as a road traffic accident of a different size. The bigger the “crash”, the more dramatic the symptoms — and the more obvious the signs.</w:t>
      </w:r>
    </w:p>
    <w:p w14:paraId="5A93CF4F" w14:textId="77777777" w:rsidR="00F960C2" w:rsidRDefault="00F960C2">
      <w:pPr>
        <w:spacing w:after="40"/>
      </w:pPr>
    </w:p>
    <w:p w14:paraId="7384E1BD" w14:textId="77777777" w:rsidR="00F960C2" w:rsidRDefault="00000000">
      <w:pPr>
        <w:spacing w:before="60" w:after="40"/>
        <w:jc w:val="center"/>
      </w:pPr>
      <w:r>
        <w:rPr>
          <w:noProof/>
        </w:rPr>
        <w:drawing>
          <wp:inline distT="0" distB="0" distL="0" distR="0" wp14:anchorId="0169EB0D" wp14:editId="576AF2C4">
            <wp:extent cx="5715000" cy="3429000"/>
            <wp:effectExtent l="0" t="0" r="0" b="0"/>
            <wp:docPr id="1883037282" name="spectrum.png" descr="The car-crash analogy: match the size of the story to the size of the injury." title="The car-crash analogy: match the size of the story to the size of the inj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0" cy="3429000"/>
                    </a:xfrm>
                    <a:prstGeom prst="rect">
                      <a:avLst/>
                    </a:prstGeom>
                  </pic:spPr>
                </pic:pic>
              </a:graphicData>
            </a:graphic>
          </wp:inline>
        </w:drawing>
      </w:r>
    </w:p>
    <w:p w14:paraId="4BD4F9E8" w14:textId="77777777" w:rsidR="00F960C2" w:rsidRDefault="00000000">
      <w:pPr>
        <w:spacing w:after="160"/>
        <w:jc w:val="center"/>
        <w:rPr>
          <w:i/>
          <w:iCs/>
          <w:color w:val="5F5F5F"/>
          <w:sz w:val="18"/>
          <w:szCs w:val="18"/>
        </w:rPr>
      </w:pPr>
      <w:r>
        <w:rPr>
          <w:i/>
          <w:iCs/>
          <w:color w:val="5F5F5F"/>
          <w:sz w:val="18"/>
          <w:szCs w:val="18"/>
        </w:rPr>
        <w:t>Figure — The car-crash analogy: match the size of the story to the size of the injury.</w:t>
      </w:r>
    </w:p>
    <w:p w14:paraId="56318789" w14:textId="77777777" w:rsidR="00B56A59" w:rsidRDefault="00B56A59">
      <w:pPr>
        <w:spacing w:after="160"/>
        <w:jc w:val="center"/>
        <w:rPr>
          <w:i/>
          <w:iCs/>
          <w:color w:val="5F5F5F"/>
          <w:sz w:val="18"/>
          <w:szCs w:val="18"/>
        </w:rPr>
      </w:pPr>
    </w:p>
    <w:p w14:paraId="6074F723" w14:textId="77777777" w:rsidR="00B56A59" w:rsidRDefault="00B56A59">
      <w:pPr>
        <w:spacing w:after="160"/>
        <w:jc w:val="cente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4B173B49"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44842900" w14:textId="77777777" w:rsidR="00F960C2" w:rsidRDefault="00000000">
            <w:pPr>
              <w:spacing w:after="80"/>
            </w:pPr>
            <w:r>
              <w:rPr>
                <w:b/>
                <w:bCs/>
                <w:color w:val="0A4544"/>
              </w:rPr>
              <w:t xml:space="preserve">Read the </w:t>
            </w:r>
            <w:proofErr w:type="gramStart"/>
            <w:r>
              <w:rPr>
                <w:b/>
                <w:bCs/>
                <w:color w:val="0A4544"/>
              </w:rPr>
              <w:t>patterns as a whole, not</w:t>
            </w:r>
            <w:proofErr w:type="gramEnd"/>
            <w:r>
              <w:rPr>
                <w:b/>
                <w:bCs/>
                <w:color w:val="0A4544"/>
              </w:rPr>
              <w:t xml:space="preserve"> piece by piece</w:t>
            </w:r>
          </w:p>
          <w:p w14:paraId="1D25B82C" w14:textId="77777777" w:rsidR="00F960C2" w:rsidRDefault="00000000">
            <w:pPr>
              <w:spacing w:line="264" w:lineRule="auto"/>
            </w:pPr>
            <w:r>
              <w:rPr>
                <w:sz w:val="21"/>
                <w:szCs w:val="21"/>
              </w:rPr>
              <w:t>No single symptom proves a diagnosis. It is the combination — speed of swelling, the sound, the pain site, what they could do afterwards — that points you to the answer.</w:t>
            </w:r>
          </w:p>
        </w:tc>
      </w:tr>
    </w:tbl>
    <w:p w14:paraId="0C8FD5B3" w14:textId="77777777" w:rsidR="00B56A59" w:rsidRDefault="00B56A59">
      <w:pPr>
        <w:pBdr>
          <w:bottom w:val="single" w:sz="6" w:space="3" w:color="0E5C5B"/>
        </w:pBdr>
        <w:spacing w:before="200" w:after="90"/>
        <w:rPr>
          <w:b/>
          <w:bCs/>
          <w:color w:val="0E5C5B"/>
          <w:sz w:val="24"/>
          <w:szCs w:val="24"/>
        </w:rPr>
      </w:pPr>
    </w:p>
    <w:p w14:paraId="0124ECDD" w14:textId="77777777" w:rsidR="00B56A59" w:rsidRDefault="00B56A59">
      <w:pPr>
        <w:pBdr>
          <w:bottom w:val="single" w:sz="6" w:space="3" w:color="0E5C5B"/>
        </w:pBdr>
        <w:spacing w:before="200" w:after="90"/>
        <w:rPr>
          <w:b/>
          <w:bCs/>
          <w:color w:val="0E5C5B"/>
          <w:sz w:val="24"/>
          <w:szCs w:val="24"/>
        </w:rPr>
      </w:pPr>
    </w:p>
    <w:p w14:paraId="503E3E23" w14:textId="77777777" w:rsidR="00B56A59" w:rsidRDefault="00B56A59">
      <w:pPr>
        <w:rPr>
          <w:b/>
          <w:bCs/>
          <w:color w:val="0E5C5B"/>
          <w:sz w:val="24"/>
          <w:szCs w:val="24"/>
        </w:rPr>
      </w:pPr>
      <w:r>
        <w:rPr>
          <w:b/>
          <w:bCs/>
          <w:color w:val="0E5C5B"/>
          <w:sz w:val="24"/>
          <w:szCs w:val="24"/>
        </w:rPr>
        <w:br w:type="page"/>
      </w:r>
    </w:p>
    <w:p w14:paraId="554A4E6A" w14:textId="0505F2BF" w:rsidR="00F960C2" w:rsidRDefault="00000000">
      <w:pPr>
        <w:pBdr>
          <w:bottom w:val="single" w:sz="6" w:space="3" w:color="0E5C5B"/>
        </w:pBdr>
        <w:spacing w:before="200" w:after="90"/>
      </w:pPr>
      <w:r>
        <w:rPr>
          <w:b/>
          <w:bCs/>
          <w:color w:val="0E5C5B"/>
          <w:sz w:val="24"/>
          <w:szCs w:val="24"/>
        </w:rPr>
        <w:lastRenderedPageBreak/>
        <w:t xml:space="preserve">The three patterns </w:t>
      </w:r>
      <w:proofErr w:type="gramStart"/>
      <w:r>
        <w:rPr>
          <w:b/>
          <w:bCs/>
          <w:color w:val="0E5C5B"/>
          <w:sz w:val="24"/>
          <w:szCs w:val="24"/>
        </w:rPr>
        <w:t>at a glance</w:t>
      </w:r>
      <w:proofErr w:type="gram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560"/>
        <w:gridCol w:w="2400"/>
        <w:gridCol w:w="2400"/>
      </w:tblGrid>
      <w:tr w:rsidR="00F960C2" w14:paraId="25FA0FE3" w14:textId="77777777">
        <w:tblPrEx>
          <w:tblCellMar>
            <w:top w:w="0" w:type="dxa"/>
            <w:bottom w:w="0" w:type="dxa"/>
          </w:tblCellMar>
        </w:tblPrEx>
        <w:trPr>
          <w:tblHeader/>
        </w:trPr>
        <w:tc>
          <w:tcPr>
            <w:tcW w:w="200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1EAF0BC1" w14:textId="77777777" w:rsidR="00F960C2" w:rsidRDefault="00F960C2"/>
        </w:tc>
        <w:tc>
          <w:tcPr>
            <w:tcW w:w="256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3C62BD63" w14:textId="77777777" w:rsidR="00F960C2" w:rsidRDefault="00000000">
            <w:r>
              <w:rPr>
                <w:b/>
                <w:bCs/>
                <w:color w:val="FFFFFF"/>
                <w:sz w:val="21"/>
                <w:szCs w:val="21"/>
              </w:rPr>
              <w:t>ACL rupture</w:t>
            </w:r>
          </w:p>
        </w:tc>
        <w:tc>
          <w:tcPr>
            <w:tcW w:w="240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33084360" w14:textId="77777777" w:rsidR="00F960C2" w:rsidRDefault="00000000">
            <w:r>
              <w:rPr>
                <w:b/>
                <w:bCs/>
                <w:color w:val="FFFFFF"/>
                <w:sz w:val="21"/>
                <w:szCs w:val="21"/>
              </w:rPr>
              <w:t>Meniscal tear</w:t>
            </w:r>
          </w:p>
        </w:tc>
        <w:tc>
          <w:tcPr>
            <w:tcW w:w="240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5F0D8D7E" w14:textId="77777777" w:rsidR="00F960C2" w:rsidRDefault="00000000">
            <w:r>
              <w:rPr>
                <w:b/>
                <w:bCs/>
                <w:color w:val="FFFFFF"/>
                <w:sz w:val="21"/>
                <w:szCs w:val="21"/>
              </w:rPr>
              <w:t>Patellofemoral pain</w:t>
            </w:r>
          </w:p>
        </w:tc>
      </w:tr>
      <w:tr w:rsidR="00F960C2" w14:paraId="2683D84C" w14:textId="77777777">
        <w:tblPrEx>
          <w:tblCellMar>
            <w:top w:w="0" w:type="dxa"/>
            <w:bottom w:w="0" w:type="dxa"/>
          </w:tblCellMar>
        </w:tblPrEx>
        <w:tc>
          <w:tcPr>
            <w:tcW w:w="20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05404DA3" w14:textId="77777777" w:rsidR="00F960C2" w:rsidRDefault="00000000">
            <w:pPr>
              <w:spacing w:line="256" w:lineRule="auto"/>
            </w:pPr>
            <w:r>
              <w:rPr>
                <w:sz w:val="21"/>
                <w:szCs w:val="21"/>
              </w:rPr>
              <w:t>Size of “crash”</w:t>
            </w:r>
          </w:p>
        </w:tc>
        <w:tc>
          <w:tcPr>
            <w:tcW w:w="25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0EEF1559" w14:textId="77777777" w:rsidR="00F960C2" w:rsidRDefault="00000000">
            <w:pPr>
              <w:spacing w:line="256" w:lineRule="auto"/>
            </w:pPr>
            <w:r>
              <w:rPr>
                <w:b/>
                <w:bCs/>
                <w:color w:val="C0392B"/>
                <w:sz w:val="21"/>
                <w:szCs w:val="21"/>
              </w:rPr>
              <w:t>Major</w:t>
            </w:r>
          </w:p>
        </w:tc>
        <w:tc>
          <w:tcPr>
            <w:tcW w:w="24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0512B47A" w14:textId="77777777" w:rsidR="00F960C2" w:rsidRDefault="00000000">
            <w:pPr>
              <w:spacing w:line="256" w:lineRule="auto"/>
            </w:pPr>
            <w:r>
              <w:rPr>
                <w:b/>
                <w:bCs/>
                <w:color w:val="8A5A0C"/>
                <w:sz w:val="21"/>
                <w:szCs w:val="21"/>
              </w:rPr>
              <w:t>Moderate</w:t>
            </w:r>
          </w:p>
        </w:tc>
        <w:tc>
          <w:tcPr>
            <w:tcW w:w="24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39A26830" w14:textId="77777777" w:rsidR="00F960C2" w:rsidRDefault="00000000">
            <w:pPr>
              <w:spacing w:line="256" w:lineRule="auto"/>
            </w:pPr>
            <w:r>
              <w:rPr>
                <w:b/>
                <w:bCs/>
                <w:color w:val="1E5E22"/>
                <w:sz w:val="21"/>
                <w:szCs w:val="21"/>
              </w:rPr>
              <w:t>Minor / near-miss</w:t>
            </w:r>
          </w:p>
        </w:tc>
      </w:tr>
      <w:tr w:rsidR="00F960C2" w14:paraId="68943477" w14:textId="77777777">
        <w:tblPrEx>
          <w:tblCellMar>
            <w:top w:w="0" w:type="dxa"/>
            <w:bottom w:w="0" w:type="dxa"/>
          </w:tblCellMar>
        </w:tblPrEx>
        <w:tc>
          <w:tcPr>
            <w:tcW w:w="20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2B0DB3CD" w14:textId="77777777" w:rsidR="00F960C2" w:rsidRDefault="00000000">
            <w:pPr>
              <w:spacing w:line="256" w:lineRule="auto"/>
            </w:pPr>
            <w:r>
              <w:rPr>
                <w:sz w:val="21"/>
                <w:szCs w:val="21"/>
              </w:rPr>
              <w:t>Onset</w:t>
            </w:r>
          </w:p>
        </w:tc>
        <w:tc>
          <w:tcPr>
            <w:tcW w:w="25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47B7914B" w14:textId="77777777" w:rsidR="00F960C2" w:rsidRDefault="00000000">
            <w:pPr>
              <w:spacing w:line="256" w:lineRule="auto"/>
            </w:pPr>
            <w:r>
              <w:rPr>
                <w:sz w:val="21"/>
                <w:szCs w:val="21"/>
              </w:rPr>
              <w:t>Seconds — dramatic</w:t>
            </w:r>
          </w:p>
        </w:tc>
        <w:tc>
          <w:tcPr>
            <w:tcW w:w="24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684DD192" w14:textId="77777777" w:rsidR="00F960C2" w:rsidRDefault="00000000">
            <w:pPr>
              <w:spacing w:line="256" w:lineRule="auto"/>
            </w:pPr>
            <w:r>
              <w:rPr>
                <w:sz w:val="21"/>
                <w:szCs w:val="21"/>
              </w:rPr>
              <w:t>Sudden, with a twist</w:t>
            </w:r>
          </w:p>
        </w:tc>
        <w:tc>
          <w:tcPr>
            <w:tcW w:w="24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0C6DBA64" w14:textId="77777777" w:rsidR="00F960C2" w:rsidRDefault="00000000">
            <w:pPr>
              <w:spacing w:line="256" w:lineRule="auto"/>
            </w:pPr>
            <w:r>
              <w:rPr>
                <w:sz w:val="21"/>
                <w:szCs w:val="21"/>
              </w:rPr>
              <w:t>Gradual, over days–weeks</w:t>
            </w:r>
          </w:p>
        </w:tc>
      </w:tr>
      <w:tr w:rsidR="00F960C2" w14:paraId="3FD9A35F" w14:textId="77777777">
        <w:tblPrEx>
          <w:tblCellMar>
            <w:top w:w="0" w:type="dxa"/>
            <w:bottom w:w="0" w:type="dxa"/>
          </w:tblCellMar>
        </w:tblPrEx>
        <w:tc>
          <w:tcPr>
            <w:tcW w:w="20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18ADA488" w14:textId="77777777" w:rsidR="00F960C2" w:rsidRDefault="00000000">
            <w:pPr>
              <w:spacing w:line="256" w:lineRule="auto"/>
            </w:pPr>
            <w:r>
              <w:rPr>
                <w:sz w:val="21"/>
                <w:szCs w:val="21"/>
              </w:rPr>
              <w:t>Swelling</w:t>
            </w:r>
          </w:p>
        </w:tc>
        <w:tc>
          <w:tcPr>
            <w:tcW w:w="25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588DAD14" w14:textId="77777777" w:rsidR="00F960C2" w:rsidRDefault="00000000">
            <w:pPr>
              <w:spacing w:line="256" w:lineRule="auto"/>
            </w:pPr>
            <w:r>
              <w:rPr>
                <w:sz w:val="21"/>
                <w:szCs w:val="21"/>
              </w:rPr>
              <w:t>Fast (0–2 h), large, tense</w:t>
            </w:r>
          </w:p>
        </w:tc>
        <w:tc>
          <w:tcPr>
            <w:tcW w:w="24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4E35B088" w14:textId="77777777" w:rsidR="00F960C2" w:rsidRDefault="00000000">
            <w:pPr>
              <w:spacing w:line="256" w:lineRule="auto"/>
            </w:pPr>
            <w:r>
              <w:rPr>
                <w:sz w:val="21"/>
                <w:szCs w:val="21"/>
              </w:rPr>
              <w:t>Slower (6–24 h), moderate</w:t>
            </w:r>
          </w:p>
        </w:tc>
        <w:tc>
          <w:tcPr>
            <w:tcW w:w="24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7CC22A31" w14:textId="77777777" w:rsidR="00F960C2" w:rsidRDefault="00000000">
            <w:pPr>
              <w:spacing w:line="256" w:lineRule="auto"/>
            </w:pPr>
            <w:r>
              <w:rPr>
                <w:sz w:val="21"/>
                <w:szCs w:val="21"/>
              </w:rPr>
              <w:t>Little or none</w:t>
            </w:r>
          </w:p>
        </w:tc>
      </w:tr>
      <w:tr w:rsidR="00F960C2" w14:paraId="0E84EF3D" w14:textId="77777777">
        <w:tblPrEx>
          <w:tblCellMar>
            <w:top w:w="0" w:type="dxa"/>
            <w:bottom w:w="0" w:type="dxa"/>
          </w:tblCellMar>
        </w:tblPrEx>
        <w:tc>
          <w:tcPr>
            <w:tcW w:w="20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1B5D39DF" w14:textId="77777777" w:rsidR="00F960C2" w:rsidRDefault="00000000">
            <w:pPr>
              <w:spacing w:line="256" w:lineRule="auto"/>
            </w:pPr>
            <w:r>
              <w:rPr>
                <w:sz w:val="21"/>
                <w:szCs w:val="21"/>
              </w:rPr>
              <w:t>Tell-tale sound</w:t>
            </w:r>
          </w:p>
        </w:tc>
        <w:tc>
          <w:tcPr>
            <w:tcW w:w="25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6281E8FD" w14:textId="77777777" w:rsidR="00F960C2" w:rsidRDefault="00000000">
            <w:pPr>
              <w:spacing w:line="256" w:lineRule="auto"/>
            </w:pPr>
            <w:r>
              <w:rPr>
                <w:sz w:val="21"/>
                <w:szCs w:val="21"/>
              </w:rPr>
              <w:t>“Pop / snap / crack”</w:t>
            </w:r>
          </w:p>
        </w:tc>
        <w:tc>
          <w:tcPr>
            <w:tcW w:w="24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2CD42EF8" w14:textId="77777777" w:rsidR="00F960C2" w:rsidRDefault="00000000">
            <w:pPr>
              <w:spacing w:line="256" w:lineRule="auto"/>
            </w:pPr>
            <w:r>
              <w:rPr>
                <w:sz w:val="21"/>
                <w:szCs w:val="21"/>
              </w:rPr>
              <w:t>Sometimes a click</w:t>
            </w:r>
          </w:p>
        </w:tc>
        <w:tc>
          <w:tcPr>
            <w:tcW w:w="24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631A99A3" w14:textId="77777777" w:rsidR="00F960C2" w:rsidRDefault="00000000">
            <w:pPr>
              <w:spacing w:line="256" w:lineRule="auto"/>
            </w:pPr>
            <w:r>
              <w:rPr>
                <w:sz w:val="21"/>
                <w:szCs w:val="21"/>
              </w:rPr>
              <w:t>None</w:t>
            </w:r>
          </w:p>
        </w:tc>
      </w:tr>
      <w:tr w:rsidR="00F960C2" w14:paraId="65BCDE03" w14:textId="77777777">
        <w:tblPrEx>
          <w:tblCellMar>
            <w:top w:w="0" w:type="dxa"/>
            <w:bottom w:w="0" w:type="dxa"/>
          </w:tblCellMar>
        </w:tblPrEx>
        <w:tc>
          <w:tcPr>
            <w:tcW w:w="20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1CDAB5A7" w14:textId="77777777" w:rsidR="00F960C2" w:rsidRDefault="00000000">
            <w:pPr>
              <w:spacing w:line="256" w:lineRule="auto"/>
            </w:pPr>
            <w:r>
              <w:rPr>
                <w:sz w:val="21"/>
                <w:szCs w:val="21"/>
              </w:rPr>
              <w:t>Pain site</w:t>
            </w:r>
          </w:p>
        </w:tc>
        <w:tc>
          <w:tcPr>
            <w:tcW w:w="25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0D778DE1" w14:textId="77777777" w:rsidR="00F960C2" w:rsidRDefault="00000000">
            <w:pPr>
              <w:spacing w:line="256" w:lineRule="auto"/>
            </w:pPr>
            <w:r>
              <w:rPr>
                <w:sz w:val="21"/>
                <w:szCs w:val="21"/>
              </w:rPr>
              <w:t>All over the knee</w:t>
            </w:r>
          </w:p>
        </w:tc>
        <w:tc>
          <w:tcPr>
            <w:tcW w:w="24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3E8AABC8" w14:textId="77777777" w:rsidR="00F960C2" w:rsidRDefault="00000000">
            <w:pPr>
              <w:spacing w:line="256" w:lineRule="auto"/>
            </w:pPr>
            <w:r>
              <w:rPr>
                <w:sz w:val="21"/>
                <w:szCs w:val="21"/>
              </w:rPr>
              <w:t>Medial joint line</w:t>
            </w:r>
          </w:p>
        </w:tc>
        <w:tc>
          <w:tcPr>
            <w:tcW w:w="24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68ECF697" w14:textId="77777777" w:rsidR="00F960C2" w:rsidRDefault="00000000">
            <w:pPr>
              <w:spacing w:line="256" w:lineRule="auto"/>
            </w:pPr>
            <w:r>
              <w:rPr>
                <w:sz w:val="21"/>
                <w:szCs w:val="21"/>
              </w:rPr>
              <w:t>Front of the knee</w:t>
            </w:r>
          </w:p>
        </w:tc>
      </w:tr>
      <w:tr w:rsidR="00F960C2" w14:paraId="4BABD827" w14:textId="77777777">
        <w:tblPrEx>
          <w:tblCellMar>
            <w:top w:w="0" w:type="dxa"/>
            <w:bottom w:w="0" w:type="dxa"/>
          </w:tblCellMar>
        </w:tblPrEx>
        <w:tc>
          <w:tcPr>
            <w:tcW w:w="20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199E0D28" w14:textId="77777777" w:rsidR="00F960C2" w:rsidRDefault="00000000">
            <w:pPr>
              <w:spacing w:line="256" w:lineRule="auto"/>
            </w:pPr>
            <w:r>
              <w:rPr>
                <w:sz w:val="21"/>
                <w:szCs w:val="21"/>
              </w:rPr>
              <w:t>Could they continue?</w:t>
            </w:r>
          </w:p>
        </w:tc>
        <w:tc>
          <w:tcPr>
            <w:tcW w:w="25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5F6B78DE" w14:textId="77777777" w:rsidR="00F960C2" w:rsidRDefault="00000000">
            <w:pPr>
              <w:spacing w:line="256" w:lineRule="auto"/>
            </w:pPr>
            <w:r>
              <w:rPr>
                <w:sz w:val="21"/>
                <w:szCs w:val="21"/>
              </w:rPr>
              <w:t>No — had to stop</w:t>
            </w:r>
          </w:p>
        </w:tc>
        <w:tc>
          <w:tcPr>
            <w:tcW w:w="24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3908C579" w14:textId="77777777" w:rsidR="00F960C2" w:rsidRDefault="00000000">
            <w:pPr>
              <w:spacing w:line="256" w:lineRule="auto"/>
            </w:pPr>
            <w:r>
              <w:rPr>
                <w:sz w:val="21"/>
                <w:szCs w:val="21"/>
              </w:rPr>
              <w:t>Hobbled on</w:t>
            </w:r>
          </w:p>
        </w:tc>
        <w:tc>
          <w:tcPr>
            <w:tcW w:w="24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208C9138" w14:textId="77777777" w:rsidR="00F960C2" w:rsidRDefault="00000000">
            <w:pPr>
              <w:spacing w:line="256" w:lineRule="auto"/>
            </w:pPr>
            <w:r>
              <w:rPr>
                <w:sz w:val="21"/>
                <w:szCs w:val="21"/>
              </w:rPr>
              <w:t>Yes, but it aches</w:t>
            </w:r>
          </w:p>
        </w:tc>
      </w:tr>
      <w:tr w:rsidR="00F960C2" w14:paraId="1FB6D148" w14:textId="77777777">
        <w:tblPrEx>
          <w:tblCellMar>
            <w:top w:w="0" w:type="dxa"/>
            <w:bottom w:w="0" w:type="dxa"/>
          </w:tblCellMar>
        </w:tblPrEx>
        <w:tc>
          <w:tcPr>
            <w:tcW w:w="20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1A901C99" w14:textId="77777777" w:rsidR="00F960C2" w:rsidRDefault="00000000">
            <w:pPr>
              <w:spacing w:line="256" w:lineRule="auto"/>
            </w:pPr>
            <w:r>
              <w:rPr>
                <w:sz w:val="21"/>
                <w:szCs w:val="21"/>
              </w:rPr>
              <w:t>Classic extra clue</w:t>
            </w:r>
          </w:p>
        </w:tc>
        <w:tc>
          <w:tcPr>
            <w:tcW w:w="25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25A5D78D" w14:textId="77777777" w:rsidR="00F960C2" w:rsidRDefault="00000000">
            <w:pPr>
              <w:spacing w:line="256" w:lineRule="auto"/>
            </w:pPr>
            <w:r>
              <w:rPr>
                <w:sz w:val="21"/>
                <w:szCs w:val="21"/>
              </w:rPr>
              <w:t>Gives way on turning</w:t>
            </w:r>
          </w:p>
        </w:tc>
        <w:tc>
          <w:tcPr>
            <w:tcW w:w="24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664AF803" w14:textId="77777777" w:rsidR="00F960C2" w:rsidRDefault="00000000">
            <w:pPr>
              <w:spacing w:line="256" w:lineRule="auto"/>
            </w:pPr>
            <w:r>
              <w:rPr>
                <w:sz w:val="21"/>
                <w:szCs w:val="21"/>
              </w:rPr>
              <w:t>Locking / catching</w:t>
            </w:r>
          </w:p>
        </w:tc>
        <w:tc>
          <w:tcPr>
            <w:tcW w:w="24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65198958" w14:textId="77777777" w:rsidR="00F960C2" w:rsidRDefault="00000000">
            <w:pPr>
              <w:spacing w:line="256" w:lineRule="auto"/>
            </w:pPr>
            <w:r>
              <w:rPr>
                <w:sz w:val="21"/>
                <w:szCs w:val="21"/>
              </w:rPr>
              <w:t>Worse downstairs &amp; after sitting</w:t>
            </w:r>
          </w:p>
        </w:tc>
      </w:tr>
    </w:tbl>
    <w:p w14:paraId="4387889A" w14:textId="77777777" w:rsidR="00F960C2" w:rsidRDefault="00000000">
      <w:r>
        <w:br w:type="page"/>
      </w:r>
    </w:p>
    <w:p w14:paraId="419066CB" w14:textId="77777777" w:rsidR="00F960C2" w:rsidRDefault="00F960C2">
      <w:pPr>
        <w:pStyle w:val="Heading1"/>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8600"/>
      </w:tblGrid>
      <w:tr w:rsidR="00F960C2" w14:paraId="6E5A0E8D" w14:textId="77777777">
        <w:tblPrEx>
          <w:tblCellMar>
            <w:top w:w="0" w:type="dxa"/>
            <w:bottom w:w="0" w:type="dxa"/>
          </w:tblCellMar>
        </w:tblPrEx>
        <w:tc>
          <w:tcPr>
            <w:tcW w:w="760" w:type="dxa"/>
            <w:tcBorders>
              <w:top w:val="none" w:sz="0" w:space="0" w:color="FFFFFF"/>
              <w:left w:val="none" w:sz="0" w:space="0" w:color="FFFFFF"/>
              <w:bottom w:val="none" w:sz="0" w:space="0" w:color="FFFFFF"/>
              <w:right w:val="none" w:sz="0" w:space="0" w:color="FFFFFF"/>
            </w:tcBorders>
            <w:shd w:val="clear" w:color="auto" w:fill="B07410"/>
            <w:tcMar>
              <w:top w:w="60" w:type="dxa"/>
              <w:left w:w="40" w:type="dxa"/>
              <w:bottom w:w="60" w:type="dxa"/>
              <w:right w:w="40" w:type="dxa"/>
            </w:tcMar>
            <w:vAlign w:val="center"/>
          </w:tcPr>
          <w:p w14:paraId="5BC45455" w14:textId="77777777" w:rsidR="00F960C2" w:rsidRDefault="00000000">
            <w:pPr>
              <w:jc w:val="center"/>
            </w:pPr>
            <w:r>
              <w:rPr>
                <w:b/>
                <w:bCs/>
                <w:color w:val="FFFFFF"/>
                <w:sz w:val="30"/>
                <w:szCs w:val="30"/>
              </w:rPr>
              <w:t>3</w:t>
            </w:r>
          </w:p>
        </w:tc>
        <w:tc>
          <w:tcPr>
            <w:tcW w:w="8600" w:type="dxa"/>
            <w:tcBorders>
              <w:top w:val="none" w:sz="0" w:space="0" w:color="FFFFFF"/>
              <w:left w:val="none" w:sz="0" w:space="0" w:color="FFFFFF"/>
              <w:bottom w:val="none" w:sz="0" w:space="0" w:color="FFFFFF"/>
              <w:right w:val="none" w:sz="0" w:space="0" w:color="FFFFFF"/>
            </w:tcBorders>
            <w:shd w:val="clear" w:color="auto" w:fill="0E5C5B"/>
            <w:tcMar>
              <w:top w:w="60" w:type="dxa"/>
              <w:left w:w="220" w:type="dxa"/>
              <w:bottom w:w="60" w:type="dxa"/>
              <w:right w:w="160" w:type="dxa"/>
            </w:tcMar>
            <w:vAlign w:val="center"/>
          </w:tcPr>
          <w:p w14:paraId="15E431E0" w14:textId="77777777" w:rsidR="00F960C2" w:rsidRDefault="00000000">
            <w:r>
              <w:rPr>
                <w:b/>
                <w:bCs/>
                <w:color w:val="FFFFFF"/>
                <w:sz w:val="26"/>
                <w:szCs w:val="26"/>
              </w:rPr>
              <w:t>The 10-Minute History — Your Most Powerful Tool</w:t>
            </w:r>
          </w:p>
        </w:tc>
      </w:tr>
    </w:tbl>
    <w:p w14:paraId="0FED2F90" w14:textId="77777777" w:rsidR="00F960C2" w:rsidRDefault="00F960C2">
      <w:pPr>
        <w:spacing w:after="120"/>
      </w:pPr>
    </w:p>
    <w:p w14:paraId="19465000" w14:textId="77777777" w:rsidR="00F960C2" w:rsidRDefault="00000000">
      <w:pPr>
        <w:spacing w:after="160" w:line="288" w:lineRule="auto"/>
      </w:pPr>
      <w:r>
        <w:rPr>
          <w:i/>
          <w:iCs/>
          <w:color w:val="5F5F5F"/>
          <w:sz w:val="23"/>
          <w:szCs w:val="23"/>
        </w:rPr>
        <w:t>This is the engine room of the whole assessment. Ask these questions well and the diagnosis usually falls into your lap.</w:t>
      </w:r>
    </w:p>
    <w:p w14:paraId="3977DBAE" w14:textId="77777777" w:rsidR="00F960C2" w:rsidRDefault="00000000">
      <w:pPr>
        <w:pBdr>
          <w:bottom w:val="single" w:sz="6" w:space="3" w:color="0E5C5B"/>
        </w:pBdr>
        <w:spacing w:before="200" w:after="90"/>
      </w:pPr>
      <w:r>
        <w:rPr>
          <w:b/>
          <w:bCs/>
          <w:color w:val="0E5C5B"/>
          <w:sz w:val="24"/>
          <w:szCs w:val="24"/>
        </w:rPr>
        <w:t>Start with the mechanism — but do not rely on it</w:t>
      </w:r>
    </w:p>
    <w:p w14:paraId="46336738" w14:textId="77777777" w:rsidR="00F960C2" w:rsidRDefault="00000000">
      <w:pPr>
        <w:spacing w:after="140" w:line="276" w:lineRule="auto"/>
      </w:pPr>
      <w:r>
        <w:t>Common settings are football, rugby, hockey and skiing, plus road traffic accidents. It is worth asking how the injury happened. But be realistic: in the heat of a game, most people genuinely cannot recall the exact movement. Do not waste the consultation chasing it.</w:t>
      </w:r>
    </w:p>
    <w:p w14:paraId="3D0BB459" w14:textId="77777777" w:rsidR="00F960C2" w:rsidRDefault="00000000">
      <w:pPr>
        <w:spacing w:after="140" w:line="276" w:lineRule="auto"/>
      </w:pPr>
      <w:r>
        <w:t xml:space="preserve">Instead, ask about a few specific things that patients </w:t>
      </w:r>
      <w:r>
        <w:rPr>
          <w:b/>
          <w:bCs/>
          <w:i/>
          <w:iCs/>
        </w:rPr>
        <w:t>can</w:t>
      </w:r>
      <w:r>
        <w:t xml:space="preserve"> usually remember. These are the questions that move the diagnosis.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5988A9DC" w14:textId="77777777">
        <w:tblPrEx>
          <w:tblCellMar>
            <w:top w:w="0" w:type="dxa"/>
            <w:bottom w:w="0" w:type="dxa"/>
          </w:tblCellMar>
        </w:tblPrEx>
        <w:trPr>
          <w:cantSplit/>
        </w:trPr>
        <w:tc>
          <w:tcPr>
            <w:tcW w:w="9360" w:type="dxa"/>
            <w:tcBorders>
              <w:top w:val="single" w:sz="2" w:space="0" w:color="B07410"/>
              <w:left w:val="single" w:sz="28" w:space="0" w:color="B07410"/>
              <w:bottom w:val="single" w:sz="2" w:space="0" w:color="B07410"/>
              <w:right w:val="single" w:sz="2" w:space="0" w:color="B07410"/>
            </w:tcBorders>
            <w:shd w:val="clear" w:color="auto" w:fill="F5E9D6"/>
            <w:tcMar>
              <w:top w:w="130" w:type="dxa"/>
              <w:left w:w="240" w:type="dxa"/>
              <w:bottom w:w="130" w:type="dxa"/>
              <w:right w:w="220" w:type="dxa"/>
            </w:tcMar>
          </w:tcPr>
          <w:p w14:paraId="05128E7B" w14:textId="77777777" w:rsidR="00F960C2" w:rsidRDefault="00000000">
            <w:pPr>
              <w:spacing w:after="80"/>
            </w:pPr>
            <w:r>
              <w:rPr>
                <w:b/>
                <w:bCs/>
                <w:color w:val="8A5A0C"/>
              </w:rPr>
              <w:t xml:space="preserve">The 6 </w:t>
            </w:r>
            <w:proofErr w:type="gramStart"/>
            <w:r>
              <w:rPr>
                <w:b/>
                <w:bCs/>
                <w:color w:val="8A5A0C"/>
              </w:rPr>
              <w:t>S’s</w:t>
            </w:r>
            <w:proofErr w:type="gramEnd"/>
            <w:r>
              <w:rPr>
                <w:b/>
                <w:bCs/>
                <w:color w:val="8A5A0C"/>
              </w:rPr>
              <w:t xml:space="preserve"> of the acute knee history</w:t>
            </w:r>
          </w:p>
          <w:p w14:paraId="33F0B77C" w14:textId="77777777" w:rsidR="00F960C2" w:rsidRDefault="00000000">
            <w:pPr>
              <w:spacing w:after="70" w:line="264" w:lineRule="auto"/>
            </w:pPr>
            <w:r>
              <w:rPr>
                <w:b/>
                <w:bCs/>
                <w:color w:val="8A5A0C"/>
              </w:rPr>
              <w:t>Sound</w:t>
            </w:r>
            <w:r>
              <w:t xml:space="preserve"> — a “pop”, “snap” or “crack” as it went? → think ACL.</w:t>
            </w:r>
          </w:p>
          <w:p w14:paraId="34BBEFBB" w14:textId="77777777" w:rsidR="00F960C2" w:rsidRDefault="00000000">
            <w:pPr>
              <w:spacing w:after="70" w:line="264" w:lineRule="auto"/>
            </w:pPr>
            <w:r>
              <w:rPr>
                <w:b/>
                <w:bCs/>
                <w:color w:val="8A5A0C"/>
              </w:rPr>
              <w:t>Swelling</w:t>
            </w:r>
            <w:r>
              <w:t xml:space="preserve"> — how fast did it swell? (the single most useful clue — see below)</w:t>
            </w:r>
          </w:p>
          <w:p w14:paraId="28E8B10D" w14:textId="77777777" w:rsidR="00F960C2" w:rsidRDefault="00000000">
            <w:pPr>
              <w:spacing w:after="70" w:line="264" w:lineRule="auto"/>
            </w:pPr>
            <w:r>
              <w:rPr>
                <w:b/>
                <w:bCs/>
                <w:color w:val="8A5A0C"/>
              </w:rPr>
              <w:t>Stop or stay on</w:t>
            </w:r>
            <w:r>
              <w:t xml:space="preserve"> — could they carry on, hobble, or not move at all?</w:t>
            </w:r>
          </w:p>
          <w:p w14:paraId="01DD0A95" w14:textId="77777777" w:rsidR="00F960C2" w:rsidRDefault="00000000">
            <w:pPr>
              <w:spacing w:after="70" w:line="264" w:lineRule="auto"/>
            </w:pPr>
            <w:r>
              <w:rPr>
                <w:b/>
                <w:bCs/>
                <w:color w:val="8A5A0C"/>
              </w:rPr>
              <w:t>Stability</w:t>
            </w:r>
            <w:r>
              <w:t xml:space="preserve"> — does it give way? On turning especially → think ACL.</w:t>
            </w:r>
          </w:p>
          <w:p w14:paraId="17EB94DA" w14:textId="77777777" w:rsidR="00F960C2" w:rsidRDefault="00000000">
            <w:pPr>
              <w:spacing w:after="70" w:line="264" w:lineRule="auto"/>
            </w:pPr>
            <w:r>
              <w:rPr>
                <w:b/>
                <w:bCs/>
                <w:color w:val="8A5A0C"/>
              </w:rPr>
              <w:t>Stuck</w:t>
            </w:r>
            <w:r>
              <w:t xml:space="preserve"> — does it lock or catch? → think meniscus.</w:t>
            </w:r>
          </w:p>
          <w:p w14:paraId="43BA34CE" w14:textId="77777777" w:rsidR="00F960C2" w:rsidRDefault="00000000">
            <w:pPr>
              <w:spacing w:line="264" w:lineRule="auto"/>
            </w:pPr>
            <w:r>
              <w:rPr>
                <w:b/>
                <w:bCs/>
                <w:color w:val="8A5A0C"/>
              </w:rPr>
              <w:t>Site</w:t>
            </w:r>
            <w:r>
              <w:t xml:space="preserve"> — where exactly is the pain? (medial, lateral, or front)</w:t>
            </w:r>
          </w:p>
        </w:tc>
      </w:tr>
    </w:tbl>
    <w:p w14:paraId="6AE953C1" w14:textId="77777777" w:rsidR="00F960C2" w:rsidRDefault="00000000">
      <w:pPr>
        <w:pBdr>
          <w:bottom w:val="single" w:sz="6" w:space="3" w:color="0E5C5B"/>
        </w:pBdr>
        <w:spacing w:before="200" w:after="90"/>
      </w:pPr>
      <w:r>
        <w:rPr>
          <w:b/>
          <w:bCs/>
          <w:color w:val="0E5C5B"/>
          <w:sz w:val="24"/>
          <w:szCs w:val="24"/>
        </w:rPr>
        <w:t>Swelling: the clock tells the story</w:t>
      </w:r>
    </w:p>
    <w:p w14:paraId="143F1677" w14:textId="77777777" w:rsidR="00F960C2" w:rsidRDefault="00000000">
      <w:pPr>
        <w:spacing w:after="140" w:line="276" w:lineRule="auto"/>
      </w:pPr>
      <w:r>
        <w:t>How quickly the knee swelled is one of your most powerful clues. The speed points to what is inside the joint.</w:t>
      </w:r>
    </w:p>
    <w:p w14:paraId="534D96BD" w14:textId="77777777" w:rsidR="00F960C2" w:rsidRDefault="00000000">
      <w:pPr>
        <w:spacing w:before="60" w:after="40"/>
        <w:jc w:val="center"/>
      </w:pPr>
      <w:r>
        <w:rPr>
          <w:noProof/>
        </w:rPr>
        <w:drawing>
          <wp:inline distT="0" distB="0" distL="0" distR="0" wp14:anchorId="3CF02704" wp14:editId="64159347">
            <wp:extent cx="5715000" cy="2409825"/>
            <wp:effectExtent l="0" t="0" r="0" b="0"/>
            <wp:docPr id="1202177372" name="timeline.png" descr="Speed of swelling. Fast = blood (serious); overnight = fluid; slow or none = an overuse problem." title="Speed of swelling. Fast = blood (serious); overnight = fluid; slow or none = an overuse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715000" cy="2409825"/>
                    </a:xfrm>
                    <a:prstGeom prst="rect">
                      <a:avLst/>
                    </a:prstGeom>
                  </pic:spPr>
                </pic:pic>
              </a:graphicData>
            </a:graphic>
          </wp:inline>
        </w:drawing>
      </w:r>
    </w:p>
    <w:p w14:paraId="629CC3C0" w14:textId="77777777" w:rsidR="00F960C2" w:rsidRDefault="00000000">
      <w:pPr>
        <w:spacing w:after="160"/>
        <w:jc w:val="center"/>
      </w:pPr>
      <w:r>
        <w:rPr>
          <w:i/>
          <w:iCs/>
          <w:color w:val="5F5F5F"/>
          <w:sz w:val="18"/>
          <w:szCs w:val="18"/>
        </w:rPr>
        <w:t>Figure — Speed of swelling. Fast = blood (serious); overnight = fluid; slow or none = an overuse problem.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6739E0F9"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330E7697" w14:textId="77777777" w:rsidR="00F960C2" w:rsidRDefault="00000000">
            <w:pPr>
              <w:spacing w:after="80"/>
            </w:pPr>
            <w:r>
              <w:rPr>
                <w:b/>
                <w:bCs/>
                <w:color w:val="0A4544"/>
              </w:rPr>
              <w:lastRenderedPageBreak/>
              <w:t>In plain terms</w:t>
            </w:r>
          </w:p>
          <w:p w14:paraId="4CE85087" w14:textId="77777777" w:rsidR="00F960C2" w:rsidRDefault="00000000">
            <w:pPr>
              <w:pStyle w:val="ListParagraph"/>
              <w:numPr>
                <w:ilvl w:val="0"/>
                <w:numId w:val="2"/>
              </w:numPr>
              <w:spacing w:after="50" w:line="260" w:lineRule="auto"/>
            </w:pPr>
            <w:r>
              <w:rPr>
                <w:sz w:val="21"/>
                <w:szCs w:val="21"/>
              </w:rPr>
              <w:t>Swells within 0–2 hours, large and tense → blood in the joint (</w:t>
            </w:r>
            <w:proofErr w:type="spellStart"/>
            <w:r>
              <w:rPr>
                <w:sz w:val="21"/>
                <w:szCs w:val="21"/>
              </w:rPr>
              <w:t>haemarthrosis</w:t>
            </w:r>
            <w:proofErr w:type="spellEnd"/>
            <w:r>
              <w:rPr>
                <w:sz w:val="21"/>
                <w:szCs w:val="21"/>
              </w:rPr>
              <w:t>). Around 70% of these are an ACL rupture; also think fracture, patellar dislocation or PCL rupture.</w:t>
            </w:r>
          </w:p>
          <w:p w14:paraId="07662470" w14:textId="77777777" w:rsidR="00F960C2" w:rsidRDefault="00000000">
            <w:pPr>
              <w:pStyle w:val="ListParagraph"/>
              <w:numPr>
                <w:ilvl w:val="0"/>
                <w:numId w:val="2"/>
              </w:numPr>
              <w:spacing w:after="50" w:line="260" w:lineRule="auto"/>
            </w:pPr>
            <w:r>
              <w:rPr>
                <w:sz w:val="21"/>
                <w:szCs w:val="21"/>
              </w:rPr>
              <w:t>Swells overnight (about 6–24 hours), moderate → joint fluid (an effusion). Classic for a meniscal tear.</w:t>
            </w:r>
          </w:p>
          <w:p w14:paraId="7490848C" w14:textId="77777777" w:rsidR="00F960C2" w:rsidRDefault="00000000">
            <w:pPr>
              <w:pStyle w:val="ListParagraph"/>
              <w:numPr>
                <w:ilvl w:val="0"/>
                <w:numId w:val="2"/>
              </w:numPr>
              <w:spacing w:line="260" w:lineRule="auto"/>
            </w:pPr>
            <w:r>
              <w:rPr>
                <w:sz w:val="21"/>
                <w:szCs w:val="21"/>
              </w:rPr>
              <w:t>Little or no swelling, coming on over days → think patellofemoral or overuse pain.</w:t>
            </w:r>
          </w:p>
        </w:tc>
      </w:tr>
    </w:tbl>
    <w:p w14:paraId="3278A2E0" w14:textId="77777777" w:rsidR="00F960C2" w:rsidRDefault="00000000">
      <w:pPr>
        <w:pBdr>
          <w:bottom w:val="single" w:sz="6" w:space="3" w:color="0E5C5B"/>
        </w:pBdr>
        <w:spacing w:before="200" w:after="90"/>
      </w:pPr>
      <w:r>
        <w:rPr>
          <w:b/>
          <w:bCs/>
          <w:color w:val="0E5C5B"/>
          <w:sz w:val="24"/>
          <w:szCs w:val="24"/>
        </w:rPr>
        <w:t>Pain site — a quick map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F960C2" w14:paraId="44FE1198" w14:textId="77777777">
        <w:tblPrEx>
          <w:tblCellMar>
            <w:top w:w="0" w:type="dxa"/>
            <w:bottom w:w="0" w:type="dxa"/>
          </w:tblCellMar>
        </w:tblPrEx>
        <w:trPr>
          <w:tblHeader/>
        </w:trPr>
        <w:tc>
          <w:tcPr>
            <w:tcW w:w="360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590D2CDC" w14:textId="77777777" w:rsidR="00F960C2" w:rsidRDefault="00000000">
            <w:r>
              <w:rPr>
                <w:b/>
                <w:bCs/>
                <w:color w:val="FFFFFF"/>
                <w:sz w:val="21"/>
                <w:szCs w:val="21"/>
              </w:rPr>
              <w:t>Where is the pain?</w:t>
            </w:r>
          </w:p>
        </w:tc>
        <w:tc>
          <w:tcPr>
            <w:tcW w:w="576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697EEAAE" w14:textId="77777777" w:rsidR="00F960C2" w:rsidRDefault="00000000">
            <w:r>
              <w:rPr>
                <w:b/>
                <w:bCs/>
                <w:color w:val="FFFFFF"/>
                <w:sz w:val="21"/>
                <w:szCs w:val="21"/>
              </w:rPr>
              <w:t>What it suggests</w:t>
            </w:r>
          </w:p>
        </w:tc>
      </w:tr>
      <w:tr w:rsidR="00F960C2" w14:paraId="26087C55" w14:textId="77777777">
        <w:tblPrEx>
          <w:tblCellMar>
            <w:top w:w="0" w:type="dxa"/>
            <w:bottom w:w="0" w:type="dxa"/>
          </w:tblCellMar>
        </w:tblPrEx>
        <w:tc>
          <w:tcPr>
            <w:tcW w:w="36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61F5BBC6" w14:textId="77777777" w:rsidR="00F960C2" w:rsidRDefault="00000000">
            <w:pPr>
              <w:spacing w:line="256" w:lineRule="auto"/>
            </w:pPr>
            <w:r>
              <w:rPr>
                <w:sz w:val="21"/>
                <w:szCs w:val="21"/>
              </w:rPr>
              <w:t>Medial or lateral (the joint line)</w:t>
            </w:r>
          </w:p>
        </w:tc>
        <w:tc>
          <w:tcPr>
            <w:tcW w:w="57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2B3186AE" w14:textId="77777777" w:rsidR="00F960C2" w:rsidRDefault="00000000">
            <w:pPr>
              <w:spacing w:line="256" w:lineRule="auto"/>
            </w:pPr>
            <w:r>
              <w:rPr>
                <w:sz w:val="21"/>
                <w:szCs w:val="21"/>
              </w:rPr>
              <w:t>Ligament or meniscus injury</w:t>
            </w:r>
          </w:p>
        </w:tc>
      </w:tr>
      <w:tr w:rsidR="00F960C2" w14:paraId="6CF8F7B8" w14:textId="77777777">
        <w:tblPrEx>
          <w:tblCellMar>
            <w:top w:w="0" w:type="dxa"/>
            <w:bottom w:w="0" w:type="dxa"/>
          </w:tblCellMar>
        </w:tblPrEx>
        <w:tc>
          <w:tcPr>
            <w:tcW w:w="36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2E96886B" w14:textId="77777777" w:rsidR="00F960C2" w:rsidRDefault="00000000">
            <w:pPr>
              <w:spacing w:line="256" w:lineRule="auto"/>
            </w:pPr>
            <w:r>
              <w:rPr>
                <w:sz w:val="21"/>
                <w:szCs w:val="21"/>
              </w:rPr>
              <w:t>Front of the knee (anterior)</w:t>
            </w:r>
          </w:p>
        </w:tc>
        <w:tc>
          <w:tcPr>
            <w:tcW w:w="57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5FFC4BE8" w14:textId="77777777" w:rsidR="00F960C2" w:rsidRDefault="00000000">
            <w:pPr>
              <w:spacing w:line="256" w:lineRule="auto"/>
            </w:pPr>
            <w:r>
              <w:rPr>
                <w:sz w:val="21"/>
                <w:szCs w:val="21"/>
              </w:rPr>
              <w:t>Patellofemoral pain</w:t>
            </w:r>
          </w:p>
        </w:tc>
      </w:tr>
      <w:tr w:rsidR="00F960C2" w14:paraId="2B2CDD0F" w14:textId="77777777">
        <w:tblPrEx>
          <w:tblCellMar>
            <w:top w:w="0" w:type="dxa"/>
            <w:bottom w:w="0" w:type="dxa"/>
          </w:tblCellMar>
        </w:tblPrEx>
        <w:tc>
          <w:tcPr>
            <w:tcW w:w="36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26443206" w14:textId="77777777" w:rsidR="00F960C2" w:rsidRDefault="00000000">
            <w:pPr>
              <w:spacing w:line="256" w:lineRule="auto"/>
            </w:pPr>
            <w:r>
              <w:rPr>
                <w:sz w:val="21"/>
                <w:szCs w:val="21"/>
              </w:rPr>
              <w:t>All over the knee</w:t>
            </w:r>
          </w:p>
        </w:tc>
        <w:tc>
          <w:tcPr>
            <w:tcW w:w="57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213FE47A" w14:textId="77777777" w:rsidR="00F960C2" w:rsidRDefault="00000000">
            <w:pPr>
              <w:spacing w:line="256" w:lineRule="auto"/>
            </w:pPr>
            <w:r>
              <w:rPr>
                <w:sz w:val="21"/>
                <w:szCs w:val="21"/>
              </w:rPr>
              <w:t>Usually a large, tense effusion (e.g. after ACL rupture)</w:t>
            </w:r>
          </w:p>
        </w:tc>
      </w:tr>
    </w:tbl>
    <w:p w14:paraId="73295FE3" w14:textId="77777777" w:rsidR="00F960C2" w:rsidRDefault="00000000">
      <w:pPr>
        <w:pBdr>
          <w:bottom w:val="single" w:sz="6" w:space="3" w:color="0E5C5B"/>
        </w:pBdr>
        <w:spacing w:before="200" w:after="90"/>
      </w:pPr>
      <w:r>
        <w:rPr>
          <w:b/>
          <w:bCs/>
          <w:color w:val="0E5C5B"/>
          <w:sz w:val="24"/>
          <w:szCs w:val="24"/>
        </w:rPr>
        <w:t>Two pairs of words worth getting right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325B3B16" w14:textId="77777777">
        <w:tblPrEx>
          <w:tblCellMar>
            <w:top w:w="0" w:type="dxa"/>
            <w:bottom w:w="0" w:type="dxa"/>
          </w:tblCellMar>
        </w:tblPrEx>
        <w:trPr>
          <w:cantSplit/>
        </w:trPr>
        <w:tc>
          <w:tcPr>
            <w:tcW w:w="9360" w:type="dxa"/>
            <w:tcBorders>
              <w:top w:val="single" w:sz="2" w:space="0" w:color="B07410"/>
              <w:left w:val="single" w:sz="28" w:space="0" w:color="B07410"/>
              <w:bottom w:val="single" w:sz="2" w:space="0" w:color="B07410"/>
              <w:right w:val="single" w:sz="2" w:space="0" w:color="B07410"/>
            </w:tcBorders>
            <w:shd w:val="clear" w:color="auto" w:fill="F5E9D6"/>
            <w:tcMar>
              <w:top w:w="130" w:type="dxa"/>
              <w:left w:w="240" w:type="dxa"/>
              <w:bottom w:w="130" w:type="dxa"/>
              <w:right w:w="220" w:type="dxa"/>
            </w:tcMar>
          </w:tcPr>
          <w:p w14:paraId="155086B2" w14:textId="77777777" w:rsidR="00F960C2" w:rsidRDefault="00000000">
            <w:pPr>
              <w:spacing w:after="80"/>
            </w:pPr>
            <w:r>
              <w:rPr>
                <w:b/>
                <w:bCs/>
                <w:color w:val="8A5A0C"/>
              </w:rPr>
              <w:t>Locking vs pseudo-locking</w:t>
            </w:r>
          </w:p>
          <w:p w14:paraId="4D4C1EA0" w14:textId="77777777" w:rsidR="00F960C2" w:rsidRDefault="00000000">
            <w:pPr>
              <w:spacing w:after="70" w:line="264" w:lineRule="auto"/>
            </w:pPr>
            <w:r>
              <w:rPr>
                <w:b/>
                <w:bCs/>
                <w:color w:val="8A5A0C"/>
              </w:rPr>
              <w:t>True locking</w:t>
            </w:r>
            <w:r>
              <w:t xml:space="preserve"> — the knee gets stuck and cannot be straightened. Suggests a loose body, often a torn piece of meniscus. Needs a look inside.</w:t>
            </w:r>
          </w:p>
          <w:p w14:paraId="7C3FB04C" w14:textId="77777777" w:rsidR="00F960C2" w:rsidRDefault="00000000">
            <w:pPr>
              <w:spacing w:line="264" w:lineRule="auto"/>
            </w:pPr>
            <w:r>
              <w:rPr>
                <w:b/>
                <w:bCs/>
                <w:color w:val="8A5A0C"/>
              </w:rPr>
              <w:t>Pseudo-locking</w:t>
            </w:r>
            <w:r>
              <w:t xml:space="preserve"> — the knee cannot be bent comfortably because of anterior pain. Points to a patellofemoral problem, not a loose body.</w:t>
            </w:r>
          </w:p>
        </w:tc>
      </w:tr>
      <w:tr w:rsidR="00F960C2" w14:paraId="55931BF2" w14:textId="77777777">
        <w:tblPrEx>
          <w:tblCellMar>
            <w:top w:w="0" w:type="dxa"/>
            <w:bottom w:w="0" w:type="dxa"/>
          </w:tblCellMar>
        </w:tblPrEx>
        <w:trPr>
          <w:cantSplit/>
        </w:trPr>
        <w:tc>
          <w:tcPr>
            <w:tcW w:w="9360" w:type="dxa"/>
            <w:tcBorders>
              <w:top w:val="single" w:sz="2" w:space="0" w:color="B07410"/>
              <w:left w:val="single" w:sz="28" w:space="0" w:color="B07410"/>
              <w:bottom w:val="single" w:sz="2" w:space="0" w:color="B07410"/>
              <w:right w:val="single" w:sz="2" w:space="0" w:color="B07410"/>
            </w:tcBorders>
            <w:shd w:val="clear" w:color="auto" w:fill="F5E9D6"/>
            <w:tcMar>
              <w:top w:w="130" w:type="dxa"/>
              <w:left w:w="240" w:type="dxa"/>
              <w:bottom w:w="130" w:type="dxa"/>
              <w:right w:w="220" w:type="dxa"/>
            </w:tcMar>
          </w:tcPr>
          <w:p w14:paraId="70F68EFC" w14:textId="77777777" w:rsidR="00F960C2" w:rsidRDefault="00000000">
            <w:pPr>
              <w:spacing w:after="80"/>
            </w:pPr>
            <w:r>
              <w:rPr>
                <w:b/>
                <w:bCs/>
                <w:color w:val="8A5A0C"/>
              </w:rPr>
              <w:t>Giving way — two kinds</w:t>
            </w:r>
          </w:p>
          <w:p w14:paraId="3DD84B23" w14:textId="77777777" w:rsidR="00F960C2" w:rsidRDefault="00000000">
            <w:pPr>
              <w:spacing w:after="70" w:line="264" w:lineRule="auto"/>
            </w:pPr>
            <w:r>
              <w:rPr>
                <w:b/>
                <w:bCs/>
                <w:color w:val="8A5A0C"/>
              </w:rPr>
              <w:t>Partial / reflex</w:t>
            </w:r>
            <w:r>
              <w:t xml:space="preserve"> — anterior pain switches off the quadriceps for a moment, so the knee dips. Common and less worrying.</w:t>
            </w:r>
          </w:p>
          <w:p w14:paraId="2DC765A4" w14:textId="77777777" w:rsidR="00F960C2" w:rsidRDefault="00000000">
            <w:pPr>
              <w:spacing w:line="264" w:lineRule="auto"/>
            </w:pPr>
            <w:r>
              <w:rPr>
                <w:b/>
                <w:bCs/>
                <w:color w:val="8A5A0C"/>
              </w:rPr>
              <w:t>Complete collapse</w:t>
            </w:r>
            <w:r>
              <w:t xml:space="preserve"> — especially when turning. This is an unstable </w:t>
            </w:r>
            <w:proofErr w:type="gramStart"/>
            <w:r>
              <w:t>knee, and</w:t>
            </w:r>
            <w:proofErr w:type="gramEnd"/>
            <w:r>
              <w:t xml:space="preserve"> means ACL injury until proven otherwise.</w:t>
            </w:r>
          </w:p>
        </w:tc>
      </w:tr>
    </w:tbl>
    <w:p w14:paraId="07A3E4D0" w14:textId="77777777" w:rsidR="00F960C2" w:rsidRDefault="00000000">
      <w:pPr>
        <w:pBdr>
          <w:bottom w:val="single" w:sz="6" w:space="3" w:color="C0392B"/>
        </w:pBdr>
        <w:spacing w:before="200" w:after="90"/>
      </w:pPr>
      <w:r>
        <w:rPr>
          <w:b/>
          <w:bCs/>
          <w:color w:val="C0392B"/>
          <w:sz w:val="24"/>
          <w:szCs w:val="24"/>
        </w:rPr>
        <w:t>Do not forget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43D22B99" w14:textId="77777777">
        <w:tblPrEx>
          <w:tblCellMar>
            <w:top w:w="0" w:type="dxa"/>
            <w:bottom w:w="0" w:type="dxa"/>
          </w:tblCellMar>
        </w:tblPrEx>
        <w:trPr>
          <w:cantSplit/>
        </w:trPr>
        <w:tc>
          <w:tcPr>
            <w:tcW w:w="9360" w:type="dxa"/>
            <w:tcBorders>
              <w:top w:val="single" w:sz="2" w:space="0" w:color="C0392B"/>
              <w:left w:val="single" w:sz="28" w:space="0" w:color="C0392B"/>
              <w:bottom w:val="single" w:sz="2" w:space="0" w:color="C0392B"/>
              <w:right w:val="single" w:sz="2" w:space="0" w:color="C0392B"/>
            </w:tcBorders>
            <w:shd w:val="clear" w:color="auto" w:fill="FBE5E2"/>
            <w:tcMar>
              <w:top w:w="130" w:type="dxa"/>
              <w:left w:w="240" w:type="dxa"/>
              <w:bottom w:w="130" w:type="dxa"/>
              <w:right w:w="220" w:type="dxa"/>
            </w:tcMar>
          </w:tcPr>
          <w:p w14:paraId="358DC77F" w14:textId="77777777" w:rsidR="00F960C2" w:rsidRDefault="00000000">
            <w:pPr>
              <w:spacing w:after="80"/>
            </w:pPr>
            <w:r>
              <w:rPr>
                <w:b/>
                <w:bCs/>
                <w:color w:val="C0392B"/>
              </w:rPr>
              <w:t>Always keep these in mind</w:t>
            </w:r>
          </w:p>
          <w:p w14:paraId="1B2B1500" w14:textId="77777777" w:rsidR="00F960C2" w:rsidRDefault="00000000">
            <w:pPr>
              <w:pStyle w:val="ListParagraph"/>
              <w:numPr>
                <w:ilvl w:val="0"/>
                <w:numId w:val="2"/>
              </w:numPr>
              <w:spacing w:after="50" w:line="260" w:lineRule="auto"/>
            </w:pPr>
            <w:r>
              <w:rPr>
                <w:sz w:val="21"/>
                <w:szCs w:val="21"/>
              </w:rPr>
              <w:t>Referred pain from the hip can present as knee pain — examine the hip if the knee seems normal. This is especially true in children.</w:t>
            </w:r>
          </w:p>
          <w:p w14:paraId="5ED16DE0" w14:textId="77777777" w:rsidR="00F960C2" w:rsidRDefault="00000000">
            <w:pPr>
              <w:pStyle w:val="ListParagraph"/>
              <w:numPr>
                <w:ilvl w:val="0"/>
                <w:numId w:val="2"/>
              </w:numPr>
              <w:spacing w:after="50" w:line="260" w:lineRule="auto"/>
            </w:pPr>
            <w:r>
              <w:rPr>
                <w:sz w:val="21"/>
                <w:szCs w:val="21"/>
              </w:rPr>
              <w:t>A hot, red, swollen knee with no clear injury, or someone who is systemically unwell, may have septic or inflammatory arthritis — a different, urgent pathway.</w:t>
            </w:r>
          </w:p>
          <w:p w14:paraId="23711227" w14:textId="77777777" w:rsidR="00F960C2" w:rsidRDefault="00000000">
            <w:pPr>
              <w:pStyle w:val="ListParagraph"/>
              <w:numPr>
                <w:ilvl w:val="0"/>
                <w:numId w:val="2"/>
              </w:numPr>
              <w:spacing w:line="260" w:lineRule="auto"/>
            </w:pPr>
            <w:r>
              <w:rPr>
                <w:sz w:val="21"/>
                <w:szCs w:val="21"/>
              </w:rPr>
              <w:t>Night pain, rest pain or weight loss are red flags that need separate thought.</w:t>
            </w:r>
          </w:p>
        </w:tc>
      </w:tr>
    </w:tbl>
    <w:p w14:paraId="70DF66B8" w14:textId="77777777" w:rsidR="00F960C2" w:rsidRDefault="00000000">
      <w:r>
        <w:br w:type="page"/>
      </w:r>
    </w:p>
    <w:p w14:paraId="45748E64" w14:textId="77777777" w:rsidR="00F960C2" w:rsidRDefault="00F960C2">
      <w:pPr>
        <w:pStyle w:val="Heading1"/>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8600"/>
      </w:tblGrid>
      <w:tr w:rsidR="00F960C2" w14:paraId="437C9221" w14:textId="77777777">
        <w:tblPrEx>
          <w:tblCellMar>
            <w:top w:w="0" w:type="dxa"/>
            <w:bottom w:w="0" w:type="dxa"/>
          </w:tblCellMar>
        </w:tblPrEx>
        <w:tc>
          <w:tcPr>
            <w:tcW w:w="760" w:type="dxa"/>
            <w:tcBorders>
              <w:top w:val="none" w:sz="0" w:space="0" w:color="FFFFFF"/>
              <w:left w:val="none" w:sz="0" w:space="0" w:color="FFFFFF"/>
              <w:bottom w:val="none" w:sz="0" w:space="0" w:color="FFFFFF"/>
              <w:right w:val="none" w:sz="0" w:space="0" w:color="FFFFFF"/>
            </w:tcBorders>
            <w:shd w:val="clear" w:color="auto" w:fill="B07410"/>
            <w:tcMar>
              <w:top w:w="60" w:type="dxa"/>
              <w:left w:w="40" w:type="dxa"/>
              <w:bottom w:w="60" w:type="dxa"/>
              <w:right w:w="40" w:type="dxa"/>
            </w:tcMar>
            <w:vAlign w:val="center"/>
          </w:tcPr>
          <w:p w14:paraId="23875B63" w14:textId="77777777" w:rsidR="00F960C2" w:rsidRDefault="00000000">
            <w:pPr>
              <w:jc w:val="center"/>
            </w:pPr>
            <w:r>
              <w:rPr>
                <w:b/>
                <w:bCs/>
                <w:color w:val="FFFFFF"/>
                <w:sz w:val="30"/>
                <w:szCs w:val="30"/>
              </w:rPr>
              <w:t>4</w:t>
            </w:r>
          </w:p>
        </w:tc>
        <w:tc>
          <w:tcPr>
            <w:tcW w:w="8600" w:type="dxa"/>
            <w:tcBorders>
              <w:top w:val="none" w:sz="0" w:space="0" w:color="FFFFFF"/>
              <w:left w:val="none" w:sz="0" w:space="0" w:color="FFFFFF"/>
              <w:bottom w:val="none" w:sz="0" w:space="0" w:color="FFFFFF"/>
              <w:right w:val="none" w:sz="0" w:space="0" w:color="FFFFFF"/>
            </w:tcBorders>
            <w:shd w:val="clear" w:color="auto" w:fill="0E5C5B"/>
            <w:tcMar>
              <w:top w:w="60" w:type="dxa"/>
              <w:left w:w="220" w:type="dxa"/>
              <w:bottom w:w="60" w:type="dxa"/>
              <w:right w:w="160" w:type="dxa"/>
            </w:tcMar>
            <w:vAlign w:val="center"/>
          </w:tcPr>
          <w:p w14:paraId="1AC99C44" w14:textId="77777777" w:rsidR="00F960C2" w:rsidRDefault="00000000">
            <w:r>
              <w:rPr>
                <w:b/>
                <w:bCs/>
                <w:color w:val="FFFFFF"/>
                <w:sz w:val="26"/>
                <w:szCs w:val="26"/>
              </w:rPr>
              <w:t>When to X-ray — The Ottawa Knee Rules</w:t>
            </w:r>
          </w:p>
        </w:tc>
      </w:tr>
    </w:tbl>
    <w:p w14:paraId="1CFEC306" w14:textId="77777777" w:rsidR="00F960C2" w:rsidRDefault="00F960C2">
      <w:pPr>
        <w:spacing w:after="120"/>
      </w:pPr>
    </w:p>
    <w:p w14:paraId="748C7825" w14:textId="77777777" w:rsidR="00F960C2" w:rsidRDefault="00000000">
      <w:pPr>
        <w:spacing w:after="160" w:line="288" w:lineRule="auto"/>
      </w:pPr>
      <w:r>
        <w:rPr>
          <w:i/>
          <w:iCs/>
          <w:color w:val="5F5F5F"/>
          <w:sz w:val="23"/>
          <w:szCs w:val="23"/>
        </w:rPr>
        <w:t xml:space="preserve">Not every injured knee needs an X-ray. The Ottawa Knee Rules are a simple, well-validated way to decide who does — sparing </w:t>
      </w:r>
      <w:proofErr w:type="gramStart"/>
      <w:r>
        <w:rPr>
          <w:i/>
          <w:iCs/>
          <w:color w:val="5F5F5F"/>
          <w:sz w:val="23"/>
          <w:szCs w:val="23"/>
        </w:rPr>
        <w:t>patients</w:t>
      </w:r>
      <w:proofErr w:type="gramEnd"/>
      <w:r>
        <w:rPr>
          <w:i/>
          <w:iCs/>
          <w:color w:val="5F5F5F"/>
          <w:sz w:val="23"/>
          <w:szCs w:val="23"/>
        </w:rPr>
        <w:t xml:space="preserve"> unnecessary radiation and keeping imaging for those who need it.</w:t>
      </w:r>
    </w:p>
    <w:p w14:paraId="4BEA21C5" w14:textId="77777777" w:rsidR="00F960C2" w:rsidRDefault="00000000">
      <w:pPr>
        <w:spacing w:before="60" w:after="40"/>
        <w:jc w:val="center"/>
      </w:pPr>
      <w:r>
        <w:rPr>
          <w:noProof/>
        </w:rPr>
        <w:drawing>
          <wp:inline distT="0" distB="0" distL="0" distR="0" wp14:anchorId="2ABFE7EE" wp14:editId="1F3166D6">
            <wp:extent cx="5715000" cy="3552825"/>
            <wp:effectExtent l="0" t="0" r="0" b="0"/>
            <wp:docPr id="850705672" name="ottawa.png" descr="The Ottawa Knee Rules: X-ray if any one criterion is present." title="The Ottawa Knee Rules: X-ray if any one criterion is pre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15000" cy="3552825"/>
                    </a:xfrm>
                    <a:prstGeom prst="rect">
                      <a:avLst/>
                    </a:prstGeom>
                  </pic:spPr>
                </pic:pic>
              </a:graphicData>
            </a:graphic>
          </wp:inline>
        </w:drawing>
      </w:r>
    </w:p>
    <w:p w14:paraId="701E65FE" w14:textId="77777777" w:rsidR="00F960C2" w:rsidRDefault="00000000">
      <w:pPr>
        <w:spacing w:after="160"/>
        <w:jc w:val="center"/>
      </w:pPr>
      <w:r>
        <w:rPr>
          <w:i/>
          <w:iCs/>
          <w:color w:val="5F5F5F"/>
          <w:sz w:val="18"/>
          <w:szCs w:val="18"/>
        </w:rPr>
        <w:t>Figure — The Ottawa Knee Rules: X-ray if any one criterion is present.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0E441A9F"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593BC2E6" w14:textId="77777777" w:rsidR="00F960C2" w:rsidRDefault="00000000">
            <w:pPr>
              <w:spacing w:after="80"/>
            </w:pPr>
            <w:r>
              <w:rPr>
                <w:b/>
                <w:bCs/>
                <w:color w:val="0A4544"/>
              </w:rPr>
              <w:t>How to use them</w:t>
            </w:r>
          </w:p>
          <w:p w14:paraId="64B0D4AF" w14:textId="77777777" w:rsidR="00F960C2" w:rsidRDefault="00000000">
            <w:pPr>
              <w:spacing w:after="70" w:line="264" w:lineRule="auto"/>
            </w:pPr>
            <w:r>
              <w:rPr>
                <w:sz w:val="21"/>
                <w:szCs w:val="21"/>
              </w:rPr>
              <w:t xml:space="preserve">In an adult with an acute knee injury, request an X-ray if ANY ONE of the five criteria is present. If none is present, a fracture is very </w:t>
            </w:r>
            <w:proofErr w:type="gramStart"/>
            <w:r>
              <w:rPr>
                <w:sz w:val="21"/>
                <w:szCs w:val="21"/>
              </w:rPr>
              <w:t>unlikely</w:t>
            </w:r>
            <w:proofErr w:type="gramEnd"/>
            <w:r>
              <w:rPr>
                <w:sz w:val="21"/>
                <w:szCs w:val="21"/>
              </w:rPr>
              <w:t xml:space="preserve"> and you can focus on the soft-tissue diagnosis.</w:t>
            </w:r>
          </w:p>
          <w:p w14:paraId="6EDC2353" w14:textId="77777777" w:rsidR="00F960C2" w:rsidRDefault="00000000">
            <w:pPr>
              <w:spacing w:line="264" w:lineRule="auto"/>
            </w:pPr>
            <w:r>
              <w:rPr>
                <w:sz w:val="21"/>
                <w:szCs w:val="21"/>
              </w:rPr>
              <w:t>The rules are very good at not missing fractures. They are designed to be safe, not precise — so some people who meet the rules will have a normal X-ray, and that is expected.</w:t>
            </w:r>
          </w:p>
        </w:tc>
      </w:tr>
      <w:tr w:rsidR="00F960C2" w14:paraId="6F2B5876" w14:textId="77777777">
        <w:tblPrEx>
          <w:tblCellMar>
            <w:top w:w="0" w:type="dxa"/>
            <w:bottom w:w="0" w:type="dxa"/>
          </w:tblCellMar>
        </w:tblPrEx>
        <w:trPr>
          <w:cantSplit/>
        </w:trPr>
        <w:tc>
          <w:tcPr>
            <w:tcW w:w="9360" w:type="dxa"/>
            <w:tcBorders>
              <w:top w:val="single" w:sz="2" w:space="0" w:color="C0392B"/>
              <w:left w:val="single" w:sz="28" w:space="0" w:color="C0392B"/>
              <w:bottom w:val="single" w:sz="2" w:space="0" w:color="C0392B"/>
              <w:right w:val="single" w:sz="2" w:space="0" w:color="C0392B"/>
            </w:tcBorders>
            <w:shd w:val="clear" w:color="auto" w:fill="FBE5E2"/>
            <w:tcMar>
              <w:top w:w="130" w:type="dxa"/>
              <w:left w:w="240" w:type="dxa"/>
              <w:bottom w:w="130" w:type="dxa"/>
              <w:right w:w="220" w:type="dxa"/>
            </w:tcMar>
          </w:tcPr>
          <w:p w14:paraId="65BDF5CA" w14:textId="77777777" w:rsidR="00F960C2" w:rsidRDefault="00000000">
            <w:pPr>
              <w:spacing w:after="80"/>
            </w:pPr>
            <w:r>
              <w:rPr>
                <w:b/>
                <w:bCs/>
                <w:color w:val="C0392B"/>
              </w:rPr>
              <w:t>Two cautions</w:t>
            </w:r>
          </w:p>
          <w:p w14:paraId="438B30C8" w14:textId="77777777" w:rsidR="00F960C2" w:rsidRDefault="00000000">
            <w:pPr>
              <w:pStyle w:val="ListParagraph"/>
              <w:numPr>
                <w:ilvl w:val="0"/>
                <w:numId w:val="2"/>
              </w:numPr>
              <w:spacing w:after="50" w:line="260" w:lineRule="auto"/>
            </w:pPr>
            <w:r>
              <w:rPr>
                <w:sz w:val="21"/>
                <w:szCs w:val="21"/>
              </w:rPr>
              <w:t>The rules are validated in adults. Use extra care and clinical judgement in under-18s.</w:t>
            </w:r>
          </w:p>
          <w:p w14:paraId="4DDB3FCC" w14:textId="77777777" w:rsidR="00F960C2" w:rsidRDefault="00000000">
            <w:pPr>
              <w:pStyle w:val="ListParagraph"/>
              <w:numPr>
                <w:ilvl w:val="0"/>
                <w:numId w:val="2"/>
              </w:numPr>
              <w:spacing w:line="260" w:lineRule="auto"/>
            </w:pPr>
            <w:r>
              <w:rPr>
                <w:sz w:val="21"/>
                <w:szCs w:val="21"/>
              </w:rPr>
              <w:t>A normal X-ray does NOT rule out an ACL, meniscal or other soft-tissue injury. Keep trusting the history.</w:t>
            </w:r>
          </w:p>
        </w:tc>
      </w:tr>
    </w:tbl>
    <w:p w14:paraId="6CEDA186" w14:textId="77777777" w:rsidR="00F960C2" w:rsidRDefault="00000000">
      <w:r>
        <w:br w:type="page"/>
      </w:r>
    </w:p>
    <w:p w14:paraId="735A78DA" w14:textId="77777777" w:rsidR="00F960C2" w:rsidRDefault="00F960C2">
      <w:pPr>
        <w:pStyle w:val="Heading1"/>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8600"/>
      </w:tblGrid>
      <w:tr w:rsidR="00F960C2" w14:paraId="4EE94B20" w14:textId="77777777">
        <w:tblPrEx>
          <w:tblCellMar>
            <w:top w:w="0" w:type="dxa"/>
            <w:bottom w:w="0" w:type="dxa"/>
          </w:tblCellMar>
        </w:tblPrEx>
        <w:tc>
          <w:tcPr>
            <w:tcW w:w="760" w:type="dxa"/>
            <w:tcBorders>
              <w:top w:val="none" w:sz="0" w:space="0" w:color="FFFFFF"/>
              <w:left w:val="none" w:sz="0" w:space="0" w:color="FFFFFF"/>
              <w:bottom w:val="none" w:sz="0" w:space="0" w:color="FFFFFF"/>
              <w:right w:val="none" w:sz="0" w:space="0" w:color="FFFFFF"/>
            </w:tcBorders>
            <w:shd w:val="clear" w:color="auto" w:fill="B07410"/>
            <w:tcMar>
              <w:top w:w="60" w:type="dxa"/>
              <w:left w:w="40" w:type="dxa"/>
              <w:bottom w:w="60" w:type="dxa"/>
              <w:right w:w="40" w:type="dxa"/>
            </w:tcMar>
            <w:vAlign w:val="center"/>
          </w:tcPr>
          <w:p w14:paraId="70DB480A" w14:textId="77777777" w:rsidR="00F960C2" w:rsidRDefault="00000000">
            <w:pPr>
              <w:jc w:val="center"/>
            </w:pPr>
            <w:r>
              <w:rPr>
                <w:b/>
                <w:bCs/>
                <w:color w:val="FFFFFF"/>
                <w:sz w:val="30"/>
                <w:szCs w:val="30"/>
              </w:rPr>
              <w:t>5</w:t>
            </w:r>
          </w:p>
        </w:tc>
        <w:tc>
          <w:tcPr>
            <w:tcW w:w="8600" w:type="dxa"/>
            <w:tcBorders>
              <w:top w:val="none" w:sz="0" w:space="0" w:color="FFFFFF"/>
              <w:left w:val="none" w:sz="0" w:space="0" w:color="FFFFFF"/>
              <w:bottom w:val="none" w:sz="0" w:space="0" w:color="FFFFFF"/>
              <w:right w:val="none" w:sz="0" w:space="0" w:color="FFFFFF"/>
            </w:tcBorders>
            <w:shd w:val="clear" w:color="auto" w:fill="0E5C5B"/>
            <w:tcMar>
              <w:top w:w="60" w:type="dxa"/>
              <w:left w:w="220" w:type="dxa"/>
              <w:bottom w:w="60" w:type="dxa"/>
              <w:right w:w="160" w:type="dxa"/>
            </w:tcMar>
            <w:vAlign w:val="center"/>
          </w:tcPr>
          <w:p w14:paraId="2767A9C9" w14:textId="77777777" w:rsidR="00F960C2" w:rsidRDefault="00000000">
            <w:r>
              <w:rPr>
                <w:b/>
                <w:bCs/>
                <w:color w:val="FFFFFF"/>
                <w:sz w:val="26"/>
                <w:szCs w:val="26"/>
              </w:rPr>
              <w:t>The Focused Examination — Look, Feel, Move</w:t>
            </w:r>
          </w:p>
        </w:tc>
      </w:tr>
    </w:tbl>
    <w:p w14:paraId="66F3F2EC" w14:textId="77777777" w:rsidR="00F960C2" w:rsidRDefault="00F960C2">
      <w:pPr>
        <w:spacing w:after="120"/>
      </w:pPr>
    </w:p>
    <w:p w14:paraId="37BB41F1" w14:textId="77777777" w:rsidR="00F960C2" w:rsidRDefault="00000000">
      <w:pPr>
        <w:spacing w:after="160" w:line="288" w:lineRule="auto"/>
      </w:pPr>
      <w:r>
        <w:rPr>
          <w:i/>
          <w:iCs/>
          <w:color w:val="5F5F5F"/>
          <w:sz w:val="23"/>
          <w:szCs w:val="23"/>
        </w:rPr>
        <w:t xml:space="preserve">Keep the examination simple and structured. Start the moment the patient walks </w:t>
      </w:r>
      <w:proofErr w:type="gramStart"/>
      <w:r>
        <w:rPr>
          <w:i/>
          <w:iCs/>
          <w:color w:val="5F5F5F"/>
          <w:sz w:val="23"/>
          <w:szCs w:val="23"/>
        </w:rPr>
        <w:t>in, and</w:t>
      </w:r>
      <w:proofErr w:type="gramEnd"/>
      <w:r>
        <w:rPr>
          <w:i/>
          <w:iCs/>
          <w:color w:val="5F5F5F"/>
          <w:sz w:val="23"/>
          <w:szCs w:val="23"/>
        </w:rPr>
        <w:t xml:space="preserve"> always compare the injured knee with the good one.</w:t>
      </w:r>
    </w:p>
    <w:p w14:paraId="25DD9E35" w14:textId="77777777" w:rsidR="00F960C2" w:rsidRDefault="00000000">
      <w:pPr>
        <w:spacing w:before="60" w:after="40"/>
        <w:jc w:val="center"/>
      </w:pPr>
      <w:r>
        <w:rPr>
          <w:noProof/>
        </w:rPr>
        <w:drawing>
          <wp:inline distT="0" distB="0" distL="0" distR="0" wp14:anchorId="4542DD42" wp14:editId="312F0BB0">
            <wp:extent cx="5715000" cy="2667000"/>
            <wp:effectExtent l="0" t="0" r="0" b="0"/>
            <wp:docPr id="1259424277" name="exam.png" descr="A simple, repeatable structure: Look, then Feel, then Move." title="A simple, repeatable structure: Look, then Feel, then 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715000" cy="2667000"/>
                    </a:xfrm>
                    <a:prstGeom prst="rect">
                      <a:avLst/>
                    </a:prstGeom>
                  </pic:spPr>
                </pic:pic>
              </a:graphicData>
            </a:graphic>
          </wp:inline>
        </w:drawing>
      </w:r>
    </w:p>
    <w:p w14:paraId="420B210F" w14:textId="77777777" w:rsidR="00F960C2" w:rsidRDefault="00000000">
      <w:pPr>
        <w:spacing w:after="160"/>
        <w:jc w:val="center"/>
      </w:pPr>
      <w:r>
        <w:rPr>
          <w:i/>
          <w:iCs/>
          <w:color w:val="5F5F5F"/>
          <w:sz w:val="18"/>
          <w:szCs w:val="18"/>
        </w:rPr>
        <w:t>Figure — A simple, repeatable structure: Look, then Feel, then Move.</w:t>
      </w:r>
    </w:p>
    <w:p w14:paraId="40001311" w14:textId="77777777" w:rsidR="00F960C2" w:rsidRDefault="00000000">
      <w:pPr>
        <w:pBdr>
          <w:bottom w:val="single" w:sz="6" w:space="3" w:color="0E5C5B"/>
        </w:pBdr>
        <w:spacing w:before="200" w:after="90"/>
      </w:pPr>
      <w:r>
        <w:rPr>
          <w:b/>
          <w:bCs/>
          <w:color w:val="0E5C5B"/>
          <w:sz w:val="24"/>
          <w:szCs w:val="24"/>
        </w:rPr>
        <w:t>Be honest about what the tests can and cannot do</w:t>
      </w:r>
    </w:p>
    <w:p w14:paraId="5DE84C1D" w14:textId="77777777" w:rsidR="00F960C2" w:rsidRDefault="00000000">
      <w:pPr>
        <w:spacing w:after="140" w:line="276" w:lineRule="auto"/>
      </w:pPr>
      <w:r>
        <w:t xml:space="preserve">The special ligament tests — </w:t>
      </w:r>
      <w:r>
        <w:rPr>
          <w:b/>
          <w:bCs/>
        </w:rPr>
        <w:t>Lachman’s test</w:t>
      </w:r>
      <w:r>
        <w:t xml:space="preserve"> and the </w:t>
      </w:r>
      <w:r>
        <w:rPr>
          <w:b/>
          <w:bCs/>
        </w:rPr>
        <w:t>pivot-shift test</w:t>
      </w:r>
      <w:r>
        <w:t xml:space="preserve"> for the ACL, and the </w:t>
      </w:r>
      <w:r>
        <w:rPr>
          <w:b/>
          <w:bCs/>
        </w:rPr>
        <w:t>drawer</w:t>
      </w:r>
      <w:r>
        <w:t xml:space="preserve"> tests — are genuinely difficult. They need an experienced examiner and a relaxed patient. In a sore, swollen, freshly injured knee the muscles will not relax enough for a reliable result.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74EDB288" w14:textId="77777777">
        <w:tblPrEx>
          <w:tblCellMar>
            <w:top w:w="0" w:type="dxa"/>
            <w:bottom w:w="0" w:type="dxa"/>
          </w:tblCellMar>
        </w:tblPrEx>
        <w:trPr>
          <w:cantSplit/>
        </w:trPr>
        <w:tc>
          <w:tcPr>
            <w:tcW w:w="9360" w:type="dxa"/>
            <w:tcBorders>
              <w:top w:val="single" w:sz="2" w:space="0" w:color="B07410"/>
              <w:left w:val="single" w:sz="28" w:space="0" w:color="B07410"/>
              <w:bottom w:val="single" w:sz="2" w:space="0" w:color="B07410"/>
              <w:right w:val="single" w:sz="2" w:space="0" w:color="B07410"/>
            </w:tcBorders>
            <w:shd w:val="clear" w:color="auto" w:fill="F5E9D6"/>
            <w:tcMar>
              <w:top w:w="130" w:type="dxa"/>
              <w:left w:w="240" w:type="dxa"/>
              <w:bottom w:w="130" w:type="dxa"/>
              <w:right w:w="220" w:type="dxa"/>
            </w:tcMar>
          </w:tcPr>
          <w:p w14:paraId="33BCE5AE" w14:textId="77777777" w:rsidR="00F960C2" w:rsidRDefault="00000000">
            <w:pPr>
              <w:spacing w:after="80"/>
            </w:pPr>
            <w:r>
              <w:rPr>
                <w:b/>
                <w:bCs/>
                <w:color w:val="8A5A0C"/>
              </w:rPr>
              <w:t>Most GPs — and most A&amp;E doctors — do not perform these reliably</w:t>
            </w:r>
          </w:p>
          <w:p w14:paraId="70C40253" w14:textId="77777777" w:rsidR="00F960C2" w:rsidRDefault="00000000">
            <w:pPr>
              <w:spacing w:after="70" w:line="264" w:lineRule="auto"/>
            </w:pPr>
            <w:r>
              <w:rPr>
                <w:sz w:val="21"/>
                <w:szCs w:val="21"/>
              </w:rPr>
              <w:t xml:space="preserve">That is not a criticism. You need to use these tests almost daily to develop the feel for them. </w:t>
            </w:r>
            <w:proofErr w:type="gramStart"/>
            <w:r>
              <w:rPr>
                <w:sz w:val="21"/>
                <w:szCs w:val="21"/>
              </w:rPr>
              <w:t>So</w:t>
            </w:r>
            <w:proofErr w:type="gramEnd"/>
            <w:r>
              <w:rPr>
                <w:sz w:val="21"/>
                <w:szCs w:val="21"/>
              </w:rPr>
              <w:t xml:space="preserve"> expect to find either a few soft signs or nothing at all — and let the history lead.</w:t>
            </w:r>
          </w:p>
          <w:p w14:paraId="2A9A1A3F" w14:textId="77777777" w:rsidR="00F960C2" w:rsidRDefault="00000000">
            <w:pPr>
              <w:spacing w:line="264" w:lineRule="auto"/>
            </w:pPr>
            <w:r>
              <w:rPr>
                <w:b/>
                <w:bCs/>
              </w:rPr>
              <w:t xml:space="preserve">Note: </w:t>
            </w:r>
            <w:r>
              <w:t>McMurray’s test for the meniscus is no longer recommended in UK practice because its diagnostic accuracy is poor. Medial joint-line tenderness plus a good history is far more useful.</w:t>
            </w:r>
          </w:p>
        </w:tc>
      </w:tr>
    </w:tbl>
    <w:p w14:paraId="5DE70ED4" w14:textId="77777777" w:rsidR="00F960C2" w:rsidRDefault="00000000">
      <w:pPr>
        <w:pBdr>
          <w:bottom w:val="single" w:sz="6" w:space="3" w:color="0E5C5B"/>
        </w:pBdr>
        <w:spacing w:before="200" w:after="90"/>
      </w:pPr>
      <w:r>
        <w:rPr>
          <w:b/>
          <w:bCs/>
          <w:color w:val="0E5C5B"/>
          <w:sz w:val="24"/>
          <w:szCs w:val="24"/>
        </w:rPr>
        <w:t>The one sign you must never ignore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78B4A225" w14:textId="77777777">
        <w:tblPrEx>
          <w:tblCellMar>
            <w:top w:w="0" w:type="dxa"/>
            <w:bottom w:w="0" w:type="dxa"/>
          </w:tblCellMar>
        </w:tblPrEx>
        <w:trPr>
          <w:cantSplit/>
        </w:trPr>
        <w:tc>
          <w:tcPr>
            <w:tcW w:w="9360" w:type="dxa"/>
            <w:tcBorders>
              <w:top w:val="single" w:sz="2" w:space="0" w:color="C0392B"/>
              <w:left w:val="single" w:sz="28" w:space="0" w:color="C0392B"/>
              <w:bottom w:val="single" w:sz="2" w:space="0" w:color="C0392B"/>
              <w:right w:val="single" w:sz="2" w:space="0" w:color="C0392B"/>
            </w:tcBorders>
            <w:shd w:val="clear" w:color="auto" w:fill="FBE5E2"/>
            <w:tcMar>
              <w:top w:w="130" w:type="dxa"/>
              <w:left w:w="240" w:type="dxa"/>
              <w:bottom w:w="130" w:type="dxa"/>
              <w:right w:w="220" w:type="dxa"/>
            </w:tcMar>
          </w:tcPr>
          <w:p w14:paraId="0430CBF0" w14:textId="77777777" w:rsidR="00F960C2" w:rsidRDefault="00000000">
            <w:pPr>
              <w:spacing w:after="80"/>
            </w:pPr>
            <w:r>
              <w:rPr>
                <w:b/>
                <w:bCs/>
                <w:color w:val="C0392B"/>
              </w:rPr>
              <w:t>An effusion always means joint disease</w:t>
            </w:r>
          </w:p>
          <w:p w14:paraId="5F0C5F66" w14:textId="77777777" w:rsidR="00F960C2" w:rsidRDefault="00000000">
            <w:pPr>
              <w:spacing w:line="264" w:lineRule="auto"/>
            </w:pPr>
            <w:r>
              <w:rPr>
                <w:sz w:val="21"/>
                <w:szCs w:val="21"/>
              </w:rPr>
              <w:t>A genuine effusion is never normal. Even if you can find nothing else, a swollen joint tells you something real has happened inside the knee — take it seriously and follow the history.</w:t>
            </w:r>
          </w:p>
        </w:tc>
      </w:tr>
    </w:tbl>
    <w:p w14:paraId="035662CA" w14:textId="77777777" w:rsidR="00B56A59" w:rsidRDefault="00B56A59">
      <w:pPr>
        <w:pBdr>
          <w:bottom w:val="single" w:sz="6" w:space="3" w:color="0E5C5B"/>
        </w:pBdr>
        <w:spacing w:before="200" w:after="90"/>
        <w:rPr>
          <w:b/>
          <w:bCs/>
          <w:color w:val="0E5C5B"/>
          <w:sz w:val="24"/>
          <w:szCs w:val="24"/>
        </w:rPr>
      </w:pPr>
    </w:p>
    <w:p w14:paraId="5E83D317" w14:textId="77777777" w:rsidR="00B56A59" w:rsidRDefault="00B56A59">
      <w:pPr>
        <w:rPr>
          <w:b/>
          <w:bCs/>
          <w:color w:val="0E5C5B"/>
          <w:sz w:val="24"/>
          <w:szCs w:val="24"/>
        </w:rPr>
      </w:pPr>
      <w:r>
        <w:rPr>
          <w:b/>
          <w:bCs/>
          <w:color w:val="0E5C5B"/>
          <w:sz w:val="24"/>
          <w:szCs w:val="24"/>
        </w:rPr>
        <w:br w:type="page"/>
      </w:r>
    </w:p>
    <w:p w14:paraId="44BD5A54" w14:textId="241897CA" w:rsidR="00F960C2" w:rsidRDefault="00000000">
      <w:pPr>
        <w:pBdr>
          <w:bottom w:val="single" w:sz="6" w:space="3" w:color="0E5C5B"/>
        </w:pBdr>
        <w:spacing w:before="200" w:after="90"/>
      </w:pPr>
      <w:r>
        <w:rPr>
          <w:b/>
          <w:bCs/>
          <w:color w:val="0E5C5B"/>
          <w:sz w:val="24"/>
          <w:szCs w:val="24"/>
        </w:rPr>
        <w:lastRenderedPageBreak/>
        <w:t>What each step looks for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
        <w:gridCol w:w="1562"/>
        <w:gridCol w:w="7730"/>
        <w:gridCol w:w="34"/>
      </w:tblGrid>
      <w:tr w:rsidR="00F960C2" w14:paraId="3644D135" w14:textId="77777777">
        <w:tblPrEx>
          <w:tblCellMar>
            <w:top w:w="0" w:type="dxa"/>
            <w:bottom w:w="0" w:type="dxa"/>
          </w:tblCellMar>
        </w:tblPrEx>
        <w:trPr>
          <w:gridAfter w:val="1"/>
          <w:wAfter w:w="34" w:type="dxa"/>
          <w:tblHeader/>
        </w:trPr>
        <w:tc>
          <w:tcPr>
            <w:tcW w:w="1600" w:type="dxa"/>
            <w:gridSpan w:val="2"/>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2F3F3025" w14:textId="77777777" w:rsidR="00F960C2" w:rsidRDefault="00000000">
            <w:r>
              <w:rPr>
                <w:b/>
                <w:bCs/>
                <w:color w:val="FFFFFF"/>
                <w:sz w:val="21"/>
                <w:szCs w:val="21"/>
              </w:rPr>
              <w:t>Step</w:t>
            </w:r>
          </w:p>
        </w:tc>
        <w:tc>
          <w:tcPr>
            <w:tcW w:w="776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2626B6F0" w14:textId="77777777" w:rsidR="00F960C2" w:rsidRDefault="00000000">
            <w:r>
              <w:rPr>
                <w:b/>
                <w:bCs/>
                <w:color w:val="FFFFFF"/>
                <w:sz w:val="21"/>
                <w:szCs w:val="21"/>
              </w:rPr>
              <w:t>Look / feel / test for</w:t>
            </w:r>
          </w:p>
        </w:tc>
      </w:tr>
      <w:tr w:rsidR="00F960C2" w14:paraId="7663AE08" w14:textId="77777777">
        <w:tblPrEx>
          <w:tblCellMar>
            <w:top w:w="0" w:type="dxa"/>
            <w:bottom w:w="0" w:type="dxa"/>
          </w:tblCellMar>
        </w:tblPrEx>
        <w:trPr>
          <w:gridAfter w:val="1"/>
          <w:wAfter w:w="34" w:type="dxa"/>
        </w:trPr>
        <w:tc>
          <w:tcPr>
            <w:tcW w:w="1600" w:type="dxa"/>
            <w:gridSpan w:val="2"/>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091AA4B1" w14:textId="77777777" w:rsidR="00F960C2" w:rsidRDefault="00000000">
            <w:pPr>
              <w:spacing w:line="256" w:lineRule="auto"/>
            </w:pPr>
            <w:r>
              <w:rPr>
                <w:b/>
                <w:bCs/>
                <w:color w:val="0E5C5B"/>
                <w:sz w:val="21"/>
                <w:szCs w:val="21"/>
              </w:rPr>
              <w:t>LOOK</w:t>
            </w:r>
          </w:p>
        </w:tc>
        <w:tc>
          <w:tcPr>
            <w:tcW w:w="77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5E2CC3E2" w14:textId="77777777" w:rsidR="00F960C2" w:rsidRDefault="00000000">
            <w:pPr>
              <w:spacing w:line="256" w:lineRule="auto"/>
            </w:pPr>
            <w:r>
              <w:rPr>
                <w:sz w:val="21"/>
                <w:szCs w:val="21"/>
              </w:rPr>
              <w:t>Gait and limp on entry; swelling, bruising or redness; wasting of the quadriceps; alignment (varus/valgus).</w:t>
            </w:r>
          </w:p>
        </w:tc>
      </w:tr>
      <w:tr w:rsidR="00F960C2" w14:paraId="63273253" w14:textId="77777777">
        <w:tblPrEx>
          <w:tblCellMar>
            <w:top w:w="0" w:type="dxa"/>
            <w:bottom w:w="0" w:type="dxa"/>
          </w:tblCellMar>
        </w:tblPrEx>
        <w:trPr>
          <w:gridAfter w:val="1"/>
          <w:wAfter w:w="34" w:type="dxa"/>
        </w:trPr>
        <w:tc>
          <w:tcPr>
            <w:tcW w:w="1600" w:type="dxa"/>
            <w:gridSpan w:val="2"/>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69186F8D" w14:textId="77777777" w:rsidR="00F960C2" w:rsidRDefault="00000000">
            <w:pPr>
              <w:spacing w:line="256" w:lineRule="auto"/>
            </w:pPr>
            <w:r>
              <w:rPr>
                <w:b/>
                <w:bCs/>
                <w:color w:val="8A5A0C"/>
                <w:sz w:val="21"/>
                <w:szCs w:val="21"/>
              </w:rPr>
              <w:t>FEEL</w:t>
            </w:r>
          </w:p>
        </w:tc>
        <w:tc>
          <w:tcPr>
            <w:tcW w:w="77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697C5DCB" w14:textId="77777777" w:rsidR="00F960C2" w:rsidRDefault="00000000">
            <w:pPr>
              <w:spacing w:line="256" w:lineRule="auto"/>
            </w:pPr>
            <w:r>
              <w:rPr>
                <w:sz w:val="21"/>
                <w:szCs w:val="21"/>
              </w:rPr>
              <w:t>Warmth (infection?); an effusion; tenderness — especially the joint line (meniscus) and over the ligaments and bony points.</w:t>
            </w:r>
          </w:p>
        </w:tc>
      </w:tr>
      <w:tr w:rsidR="00F960C2" w14:paraId="7C292565" w14:textId="77777777">
        <w:tblPrEx>
          <w:tblCellMar>
            <w:top w:w="0" w:type="dxa"/>
            <w:bottom w:w="0" w:type="dxa"/>
          </w:tblCellMar>
        </w:tblPrEx>
        <w:trPr>
          <w:gridAfter w:val="1"/>
          <w:wAfter w:w="34" w:type="dxa"/>
        </w:trPr>
        <w:tc>
          <w:tcPr>
            <w:tcW w:w="1600" w:type="dxa"/>
            <w:gridSpan w:val="2"/>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71C28479" w14:textId="77777777" w:rsidR="00F960C2" w:rsidRDefault="00000000">
            <w:pPr>
              <w:spacing w:line="256" w:lineRule="auto"/>
            </w:pPr>
            <w:r>
              <w:rPr>
                <w:b/>
                <w:bCs/>
                <w:color w:val="1E5E22"/>
                <w:sz w:val="21"/>
                <w:szCs w:val="21"/>
              </w:rPr>
              <w:t>MOVE</w:t>
            </w:r>
          </w:p>
        </w:tc>
        <w:tc>
          <w:tcPr>
            <w:tcW w:w="77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4E610C7E" w14:textId="77777777" w:rsidR="00F960C2" w:rsidRDefault="00000000">
            <w:pPr>
              <w:spacing w:line="256" w:lineRule="auto"/>
            </w:pPr>
            <w:r>
              <w:rPr>
                <w:sz w:val="21"/>
                <w:szCs w:val="21"/>
              </w:rPr>
              <w:t>Full bend and straighten; collateral ligaments at 0° and 30°; cruciate tests if able; patellar tracking and crepitus.</w:t>
            </w:r>
          </w:p>
        </w:tc>
      </w:tr>
      <w:tr w:rsidR="00F960C2" w14:paraId="0EB3BEB8" w14:textId="77777777">
        <w:tblPrEx>
          <w:tblCellMar>
            <w:top w:w="0" w:type="dxa"/>
            <w:bottom w:w="0" w:type="dxa"/>
          </w:tblCellMar>
        </w:tblPrEx>
        <w:trPr>
          <w:gridBefore w:val="1"/>
          <w:wBefore w:w="34" w:type="dxa"/>
          <w:cantSplit/>
        </w:trPr>
        <w:tc>
          <w:tcPr>
            <w:tcW w:w="9360" w:type="dxa"/>
            <w:gridSpan w:val="3"/>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518C9BE9" w14:textId="77777777" w:rsidR="00F960C2" w:rsidRDefault="00000000">
            <w:pPr>
              <w:spacing w:after="80"/>
            </w:pPr>
            <w:r>
              <w:rPr>
                <w:b/>
                <w:bCs/>
                <w:color w:val="0A4544"/>
              </w:rPr>
              <w:t>A useful examination detail</w:t>
            </w:r>
          </w:p>
          <w:p w14:paraId="1A461C2E" w14:textId="77777777" w:rsidR="00F960C2" w:rsidRDefault="00000000">
            <w:pPr>
              <w:spacing w:line="264" w:lineRule="auto"/>
            </w:pPr>
            <w:r>
              <w:rPr>
                <w:sz w:val="21"/>
                <w:szCs w:val="21"/>
              </w:rPr>
              <w:t>Test the collateral ligaments both fully straight (at 0°) and at 30° of flexion. Looseness when fully straight suggests major damage — more than just the collateral ligament. Looseness only at 30° points to an isolated collateral ligament injury.</w:t>
            </w:r>
          </w:p>
        </w:tc>
      </w:tr>
    </w:tbl>
    <w:p w14:paraId="20A8608D" w14:textId="77777777" w:rsidR="00F960C2" w:rsidRDefault="00000000">
      <w:r>
        <w:br w:type="page"/>
      </w:r>
    </w:p>
    <w:p w14:paraId="768CD48A" w14:textId="77777777" w:rsidR="00F960C2" w:rsidRDefault="00F960C2">
      <w:pPr>
        <w:pStyle w:val="Heading1"/>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8600"/>
      </w:tblGrid>
      <w:tr w:rsidR="00F960C2" w14:paraId="6155A124" w14:textId="77777777">
        <w:tblPrEx>
          <w:tblCellMar>
            <w:top w:w="0" w:type="dxa"/>
            <w:bottom w:w="0" w:type="dxa"/>
          </w:tblCellMar>
        </w:tblPrEx>
        <w:tc>
          <w:tcPr>
            <w:tcW w:w="760" w:type="dxa"/>
            <w:tcBorders>
              <w:top w:val="none" w:sz="0" w:space="0" w:color="FFFFFF"/>
              <w:left w:val="none" w:sz="0" w:space="0" w:color="FFFFFF"/>
              <w:bottom w:val="none" w:sz="0" w:space="0" w:color="FFFFFF"/>
              <w:right w:val="none" w:sz="0" w:space="0" w:color="FFFFFF"/>
            </w:tcBorders>
            <w:shd w:val="clear" w:color="auto" w:fill="B07410"/>
            <w:tcMar>
              <w:top w:w="60" w:type="dxa"/>
              <w:left w:w="40" w:type="dxa"/>
              <w:bottom w:w="60" w:type="dxa"/>
              <w:right w:w="40" w:type="dxa"/>
            </w:tcMar>
            <w:vAlign w:val="center"/>
          </w:tcPr>
          <w:p w14:paraId="13C2B1BD" w14:textId="77777777" w:rsidR="00F960C2" w:rsidRDefault="00000000">
            <w:pPr>
              <w:jc w:val="center"/>
            </w:pPr>
            <w:r>
              <w:rPr>
                <w:b/>
                <w:bCs/>
                <w:color w:val="FFFFFF"/>
                <w:sz w:val="30"/>
                <w:szCs w:val="30"/>
              </w:rPr>
              <w:t>6</w:t>
            </w:r>
          </w:p>
        </w:tc>
        <w:tc>
          <w:tcPr>
            <w:tcW w:w="8600" w:type="dxa"/>
            <w:tcBorders>
              <w:top w:val="none" w:sz="0" w:space="0" w:color="FFFFFF"/>
              <w:left w:val="none" w:sz="0" w:space="0" w:color="FFFFFF"/>
              <w:bottom w:val="none" w:sz="0" w:space="0" w:color="FFFFFF"/>
              <w:right w:val="none" w:sz="0" w:space="0" w:color="FFFFFF"/>
            </w:tcBorders>
            <w:shd w:val="clear" w:color="auto" w:fill="0E5C5B"/>
            <w:tcMar>
              <w:top w:w="60" w:type="dxa"/>
              <w:left w:w="220" w:type="dxa"/>
              <w:bottom w:w="60" w:type="dxa"/>
              <w:right w:w="160" w:type="dxa"/>
            </w:tcMar>
            <w:vAlign w:val="center"/>
          </w:tcPr>
          <w:p w14:paraId="2F296006" w14:textId="77777777" w:rsidR="00F960C2" w:rsidRDefault="00000000">
            <w:r>
              <w:rPr>
                <w:b/>
                <w:bCs/>
                <w:color w:val="FFFFFF"/>
                <w:sz w:val="26"/>
                <w:szCs w:val="26"/>
              </w:rPr>
              <w:t>The Conditions Up Close</w:t>
            </w:r>
          </w:p>
        </w:tc>
      </w:tr>
    </w:tbl>
    <w:p w14:paraId="2D13CF8D" w14:textId="77777777" w:rsidR="00F960C2" w:rsidRDefault="00F960C2">
      <w:pPr>
        <w:spacing w:after="120"/>
      </w:pPr>
    </w:p>
    <w:p w14:paraId="6C0E1628" w14:textId="77777777" w:rsidR="00F960C2" w:rsidRDefault="00000000">
      <w:pPr>
        <w:spacing w:after="160" w:line="288" w:lineRule="auto"/>
      </w:pPr>
      <w:r>
        <w:rPr>
          <w:i/>
          <w:iCs/>
          <w:color w:val="5F5F5F"/>
          <w:sz w:val="23"/>
          <w:szCs w:val="23"/>
        </w:rPr>
        <w:t>Now the detail. Each condition below builds on the patterns you have already learned — so you are filling in a picture, not starting from scratch.</w:t>
      </w:r>
    </w:p>
    <w:p w14:paraId="7374F6BD" w14:textId="77777777" w:rsidR="00F960C2" w:rsidRDefault="00000000">
      <w:pPr>
        <w:pBdr>
          <w:bottom w:val="single" w:sz="6" w:space="3" w:color="0E5C5B"/>
        </w:pBdr>
        <w:spacing w:before="200" w:after="90"/>
      </w:pPr>
      <w:proofErr w:type="gramStart"/>
      <w:r>
        <w:rPr>
          <w:b/>
          <w:bCs/>
          <w:color w:val="0E5C5B"/>
          <w:sz w:val="24"/>
          <w:szCs w:val="24"/>
        </w:rPr>
        <w:t>6.1  Anterior</w:t>
      </w:r>
      <w:proofErr w:type="gramEnd"/>
      <w:r>
        <w:rPr>
          <w:b/>
          <w:bCs/>
          <w:color w:val="0E5C5B"/>
          <w:sz w:val="24"/>
          <w:szCs w:val="24"/>
        </w:rPr>
        <w:t xml:space="preserve"> cruciate ligament (ACL) rupture</w:t>
      </w:r>
    </w:p>
    <w:p w14:paraId="692A9463" w14:textId="77777777" w:rsidR="00F960C2" w:rsidRDefault="00000000">
      <w:pPr>
        <w:spacing w:after="140" w:line="276" w:lineRule="auto"/>
      </w:pPr>
      <w:r>
        <w:t xml:space="preserve">This is the big one — the </w:t>
      </w:r>
      <w:proofErr w:type="gramStart"/>
      <w:r>
        <w:t>most commonly injured</w:t>
      </w:r>
      <w:proofErr w:type="gramEnd"/>
      <w:r>
        <w:t xml:space="preserve"> knee ligament, and the one most often missed. Get into the habit of thinking of it whenever the story fits.</w:t>
      </w:r>
    </w:p>
    <w:p w14:paraId="218B912E" w14:textId="77777777" w:rsidR="00F960C2" w:rsidRDefault="00000000">
      <w:pPr>
        <w:spacing w:before="140" w:after="60"/>
      </w:pPr>
      <w:r>
        <w:rPr>
          <w:b/>
          <w:bCs/>
          <w:color w:val="8A5A0C"/>
        </w:rPr>
        <w:t>What the ACL does</w:t>
      </w:r>
    </w:p>
    <w:p w14:paraId="024D44D1" w14:textId="77777777" w:rsidR="00F960C2" w:rsidRDefault="00000000">
      <w:pPr>
        <w:spacing w:after="140" w:line="276" w:lineRule="auto"/>
      </w:pPr>
      <w:r>
        <w:t>Like all ligaments, the ACL has two jobs. The obvious one is stability — it controls the small amount of rotation in the knee and stops the tibia sliding forward. The less obvious one is proprioception: it helps the brain sense where the joint is in space. When the ACL is gone, the knee tends to collapse as the person turns — and that proprioceptive loss is part of why rehabilitation is so important.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147AF9E7"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6955B4C1" w14:textId="77777777" w:rsidR="00F960C2" w:rsidRDefault="00000000">
            <w:pPr>
              <w:spacing w:after="80"/>
            </w:pPr>
            <w:r>
              <w:rPr>
                <w:b/>
                <w:bCs/>
                <w:color w:val="0A4544"/>
              </w:rPr>
              <w:t>The classic ACL story</w:t>
            </w:r>
          </w:p>
          <w:p w14:paraId="18043E1D" w14:textId="77777777" w:rsidR="00F960C2" w:rsidRDefault="00000000">
            <w:pPr>
              <w:pStyle w:val="ListParagraph"/>
              <w:numPr>
                <w:ilvl w:val="0"/>
                <w:numId w:val="2"/>
              </w:numPr>
              <w:spacing w:after="50" w:line="260" w:lineRule="auto"/>
            </w:pPr>
            <w:r>
              <w:rPr>
                <w:sz w:val="21"/>
                <w:szCs w:val="21"/>
              </w:rPr>
              <w:t>A dynamic injury — happened at speed, often with a twist or awkward landing.</w:t>
            </w:r>
          </w:p>
          <w:p w14:paraId="75CF9B86" w14:textId="77777777" w:rsidR="00F960C2" w:rsidRDefault="00000000">
            <w:pPr>
              <w:pStyle w:val="ListParagraph"/>
              <w:numPr>
                <w:ilvl w:val="0"/>
                <w:numId w:val="2"/>
              </w:numPr>
              <w:spacing w:after="50" w:line="260" w:lineRule="auto"/>
            </w:pPr>
            <w:r>
              <w:rPr>
                <w:sz w:val="21"/>
                <w:szCs w:val="21"/>
              </w:rPr>
              <w:t>A “pop”, “snap” or “crack”, with a moment of severe pain.</w:t>
            </w:r>
          </w:p>
          <w:p w14:paraId="388E5E57" w14:textId="77777777" w:rsidR="00F960C2" w:rsidRDefault="00000000">
            <w:pPr>
              <w:pStyle w:val="ListParagraph"/>
              <w:numPr>
                <w:ilvl w:val="0"/>
                <w:numId w:val="2"/>
              </w:numPr>
              <w:spacing w:after="50" w:line="260" w:lineRule="auto"/>
            </w:pPr>
            <w:r>
              <w:rPr>
                <w:sz w:val="21"/>
                <w:szCs w:val="21"/>
              </w:rPr>
              <w:t>Could not carry on — often helped off the pitch.</w:t>
            </w:r>
          </w:p>
          <w:p w14:paraId="48C5F06B" w14:textId="77777777" w:rsidR="00F960C2" w:rsidRDefault="00000000">
            <w:pPr>
              <w:pStyle w:val="ListParagraph"/>
              <w:numPr>
                <w:ilvl w:val="0"/>
                <w:numId w:val="2"/>
              </w:numPr>
              <w:spacing w:after="50" w:line="260" w:lineRule="auto"/>
            </w:pPr>
            <w:r>
              <w:rPr>
                <w:sz w:val="21"/>
                <w:szCs w:val="21"/>
              </w:rPr>
              <w:t>Rapid, large swelling within a couple of hours (</w:t>
            </w:r>
            <w:proofErr w:type="spellStart"/>
            <w:r>
              <w:rPr>
                <w:sz w:val="21"/>
                <w:szCs w:val="21"/>
              </w:rPr>
              <w:t>haemarthrosis</w:t>
            </w:r>
            <w:proofErr w:type="spellEnd"/>
            <w:r>
              <w:rPr>
                <w:sz w:val="21"/>
                <w:szCs w:val="21"/>
              </w:rPr>
              <w:t>).</w:t>
            </w:r>
          </w:p>
          <w:p w14:paraId="6CA51747" w14:textId="77777777" w:rsidR="00F960C2" w:rsidRDefault="00000000">
            <w:pPr>
              <w:pStyle w:val="ListParagraph"/>
              <w:numPr>
                <w:ilvl w:val="0"/>
                <w:numId w:val="2"/>
              </w:numPr>
              <w:spacing w:line="260" w:lineRule="auto"/>
            </w:pPr>
            <w:r>
              <w:rPr>
                <w:sz w:val="21"/>
                <w:szCs w:val="21"/>
              </w:rPr>
              <w:t>Later, the knee gives way — especially on turning.</w:t>
            </w:r>
          </w:p>
        </w:tc>
      </w:tr>
    </w:tbl>
    <w:p w14:paraId="4CD1D72D" w14:textId="77777777" w:rsidR="00F960C2" w:rsidRDefault="00000000">
      <w:pPr>
        <w:spacing w:before="140" w:after="60"/>
      </w:pPr>
      <w:r>
        <w:rPr>
          <w:b/>
          <w:bCs/>
          <w:color w:val="8A5A0C"/>
        </w:rPr>
        <w:t>What happens if it is missed?</w:t>
      </w:r>
    </w:p>
    <w:p w14:paraId="2938C565" w14:textId="77777777" w:rsidR="00F960C2" w:rsidRDefault="00000000">
      <w:pPr>
        <w:spacing w:after="140" w:line="276" w:lineRule="auto"/>
      </w:pPr>
      <w:r>
        <w:t>That depends on the person’s demands. The risk of an unstable knee is repeated giving way, and each episode can cause further damage — torn menisci are a common way a missed ACL finally reaches orthopaedic attention. Over the long term, an ACL-deficient knee is more likely to develop early osteoarthritis.</w:t>
      </w:r>
    </w:p>
    <w:p w14:paraId="01F98AB0" w14:textId="77777777" w:rsidR="00F960C2" w:rsidRDefault="00000000">
      <w:pPr>
        <w:spacing w:before="140" w:after="60"/>
      </w:pPr>
      <w:r>
        <w:rPr>
          <w:b/>
          <w:bCs/>
          <w:color w:val="8A5A0C"/>
        </w:rPr>
        <w:t>How it is managed today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1F155934" w14:textId="77777777">
        <w:tblPrEx>
          <w:tblCellMar>
            <w:top w:w="0" w:type="dxa"/>
            <w:bottom w:w="0" w:type="dxa"/>
          </w:tblCellMar>
        </w:tblPrEx>
        <w:trPr>
          <w:cantSplit/>
        </w:trPr>
        <w:tc>
          <w:tcPr>
            <w:tcW w:w="9360" w:type="dxa"/>
            <w:tcBorders>
              <w:top w:val="single" w:sz="2" w:space="0" w:color="2E7D32"/>
              <w:left w:val="single" w:sz="28" w:space="0" w:color="2E7D32"/>
              <w:bottom w:val="single" w:sz="2" w:space="0" w:color="2E7D32"/>
              <w:right w:val="single" w:sz="2" w:space="0" w:color="2E7D32"/>
            </w:tcBorders>
            <w:shd w:val="clear" w:color="auto" w:fill="E3F2E4"/>
            <w:tcMar>
              <w:top w:w="130" w:type="dxa"/>
              <w:left w:w="240" w:type="dxa"/>
              <w:bottom w:w="130" w:type="dxa"/>
              <w:right w:w="220" w:type="dxa"/>
            </w:tcMar>
          </w:tcPr>
          <w:p w14:paraId="5D4A30FE" w14:textId="77777777" w:rsidR="00F960C2" w:rsidRDefault="00000000">
            <w:pPr>
              <w:spacing w:after="80"/>
            </w:pPr>
            <w:r>
              <w:rPr>
                <w:b/>
                <w:bCs/>
                <w:color w:val="1E5E22"/>
              </w:rPr>
              <w:t>Modern ACL management — verified against current UK practice</w:t>
            </w:r>
          </w:p>
          <w:p w14:paraId="02465CD1" w14:textId="77777777" w:rsidR="00F960C2" w:rsidRDefault="00000000">
            <w:pPr>
              <w:pStyle w:val="ListParagraph"/>
              <w:numPr>
                <w:ilvl w:val="0"/>
                <w:numId w:val="2"/>
              </w:numPr>
              <w:spacing w:after="50" w:line="260" w:lineRule="auto"/>
            </w:pPr>
            <w:r>
              <w:rPr>
                <w:sz w:val="21"/>
                <w:szCs w:val="21"/>
              </w:rPr>
              <w:t>Surgery is NOT automatic. Management is individualised between structured rehabilitation and surgical reconstruction.</w:t>
            </w:r>
          </w:p>
          <w:p w14:paraId="60636E8D" w14:textId="77777777" w:rsidR="00F960C2" w:rsidRDefault="00000000">
            <w:pPr>
              <w:pStyle w:val="ListParagraph"/>
              <w:numPr>
                <w:ilvl w:val="0"/>
                <w:numId w:val="2"/>
              </w:numPr>
              <w:spacing w:after="50" w:line="260" w:lineRule="auto"/>
            </w:pPr>
            <w:r>
              <w:rPr>
                <w:sz w:val="21"/>
                <w:szCs w:val="21"/>
              </w:rPr>
              <w:t>Many people — especially those not doing pivoting sport — do well with intensive, physiotherapy-led rehabilitation that builds hamstring and quadriceps control and retrains proprioception.</w:t>
            </w:r>
          </w:p>
          <w:p w14:paraId="61951301" w14:textId="77777777" w:rsidR="00F960C2" w:rsidRDefault="00000000">
            <w:pPr>
              <w:pStyle w:val="ListParagraph"/>
              <w:numPr>
                <w:ilvl w:val="0"/>
                <w:numId w:val="2"/>
              </w:numPr>
              <w:spacing w:after="50" w:line="260" w:lineRule="auto"/>
            </w:pPr>
            <w:r>
              <w:rPr>
                <w:sz w:val="21"/>
                <w:szCs w:val="21"/>
              </w:rPr>
              <w:t>Reconstruction tends to be offered to those with ongoing instability despite rehab, or whose work or sport depends on a stable, pivoting knee.</w:t>
            </w:r>
          </w:p>
          <w:p w14:paraId="2F0700E7" w14:textId="77777777" w:rsidR="00F960C2" w:rsidRDefault="00000000">
            <w:pPr>
              <w:pStyle w:val="ListParagraph"/>
              <w:numPr>
                <w:ilvl w:val="0"/>
                <w:numId w:val="2"/>
              </w:numPr>
              <w:spacing w:after="50" w:line="260" w:lineRule="auto"/>
            </w:pPr>
            <w:r>
              <w:rPr>
                <w:sz w:val="21"/>
                <w:szCs w:val="21"/>
              </w:rPr>
              <w:t xml:space="preserve">When reconstruction is done, the graft is usually taken from the patient’s own hamstring tendons (semitendinosus ± </w:t>
            </w:r>
            <w:proofErr w:type="spellStart"/>
            <w:r>
              <w:rPr>
                <w:sz w:val="21"/>
                <w:szCs w:val="21"/>
              </w:rPr>
              <w:t>gracilis</w:t>
            </w:r>
            <w:proofErr w:type="spellEnd"/>
            <w:r>
              <w:rPr>
                <w:sz w:val="21"/>
                <w:szCs w:val="21"/>
              </w:rPr>
              <w:t>) or the patellar tendon. There is no single “gold-standard” graft — the choice is individualised.</w:t>
            </w:r>
          </w:p>
          <w:p w14:paraId="3ABA7B34" w14:textId="77777777" w:rsidR="00F960C2" w:rsidRDefault="00000000">
            <w:pPr>
              <w:pStyle w:val="ListParagraph"/>
              <w:numPr>
                <w:ilvl w:val="0"/>
                <w:numId w:val="2"/>
              </w:numPr>
              <w:spacing w:line="260" w:lineRule="auto"/>
            </w:pPr>
            <w:r>
              <w:rPr>
                <w:sz w:val="21"/>
                <w:szCs w:val="21"/>
              </w:rPr>
              <w:t>Whatever the route, rehabilitation is the part that determines the result.</w:t>
            </w:r>
          </w:p>
        </w:tc>
      </w:tr>
      <w:tr w:rsidR="00F960C2" w14:paraId="52E5D50E" w14:textId="77777777">
        <w:tblPrEx>
          <w:tblCellMar>
            <w:top w:w="0" w:type="dxa"/>
            <w:bottom w:w="0" w:type="dxa"/>
          </w:tblCellMar>
        </w:tblPrEx>
        <w:trPr>
          <w:cantSplit/>
        </w:trPr>
        <w:tc>
          <w:tcPr>
            <w:tcW w:w="9360" w:type="dxa"/>
            <w:tcBorders>
              <w:top w:val="single" w:sz="2" w:space="0" w:color="C0392B"/>
              <w:left w:val="single" w:sz="28" w:space="0" w:color="C0392B"/>
              <w:bottom w:val="single" w:sz="2" w:space="0" w:color="C0392B"/>
              <w:right w:val="single" w:sz="2" w:space="0" w:color="C0392B"/>
            </w:tcBorders>
            <w:shd w:val="clear" w:color="auto" w:fill="FBE5E2"/>
            <w:tcMar>
              <w:top w:w="130" w:type="dxa"/>
              <w:left w:w="240" w:type="dxa"/>
              <w:bottom w:w="130" w:type="dxa"/>
              <w:right w:w="220" w:type="dxa"/>
            </w:tcMar>
          </w:tcPr>
          <w:p w14:paraId="110BD52B" w14:textId="77777777" w:rsidR="00F960C2" w:rsidRDefault="00000000">
            <w:pPr>
              <w:spacing w:after="80"/>
            </w:pPr>
            <w:r>
              <w:rPr>
                <w:b/>
                <w:bCs/>
                <w:color w:val="C0392B"/>
              </w:rPr>
              <w:lastRenderedPageBreak/>
              <w:t>The bottom line on ACL</w:t>
            </w:r>
          </w:p>
          <w:p w14:paraId="0DFD8BB8" w14:textId="77777777" w:rsidR="00F960C2" w:rsidRDefault="00000000">
            <w:pPr>
              <w:spacing w:line="264" w:lineRule="auto"/>
            </w:pPr>
            <w:r>
              <w:rPr>
                <w:sz w:val="21"/>
                <w:szCs w:val="21"/>
              </w:rPr>
              <w:t>For an elite athlete this can be a career-defining injury. For everyone else it can still cause real, lasting limitation and early joint damage. If the story fits — refer. Do not let a normal-looking knee talk you out of it.</w:t>
            </w:r>
          </w:p>
        </w:tc>
      </w:tr>
    </w:tbl>
    <w:p w14:paraId="562B514D" w14:textId="77777777" w:rsidR="00F960C2" w:rsidRDefault="00F960C2">
      <w:pPr>
        <w:spacing w:after="120"/>
      </w:pPr>
    </w:p>
    <w:p w14:paraId="56DAE14B" w14:textId="77777777" w:rsidR="00F960C2" w:rsidRDefault="00000000">
      <w:pPr>
        <w:pBdr>
          <w:bottom w:val="single" w:sz="6" w:space="3" w:color="0E5C5B"/>
        </w:pBdr>
        <w:spacing w:before="200" w:after="90"/>
      </w:pPr>
      <w:proofErr w:type="gramStart"/>
      <w:r>
        <w:rPr>
          <w:b/>
          <w:bCs/>
          <w:color w:val="0E5C5B"/>
          <w:sz w:val="24"/>
          <w:szCs w:val="24"/>
        </w:rPr>
        <w:t>6.2  Posterior</w:t>
      </w:r>
      <w:proofErr w:type="gramEnd"/>
      <w:r>
        <w:rPr>
          <w:b/>
          <w:bCs/>
          <w:color w:val="0E5C5B"/>
          <w:sz w:val="24"/>
          <w:szCs w:val="24"/>
        </w:rPr>
        <w:t xml:space="preserve"> cruciate ligament (PCL) rupture</w:t>
      </w:r>
    </w:p>
    <w:p w14:paraId="2601F0C9" w14:textId="77777777" w:rsidR="00F960C2" w:rsidRDefault="00000000">
      <w:pPr>
        <w:spacing w:after="140" w:line="276" w:lineRule="auto"/>
      </w:pPr>
      <w:r>
        <w:t xml:space="preserve">The PCL is injured far less often than the ACL, and the consequences are usually less dramatic. It is hurt either by forced hyperextension or — more often — a direct blow to the front of the shin with the knee bent. Classic settings are the dashboard in a head-on car </w:t>
      </w:r>
      <w:proofErr w:type="gramStart"/>
      <w:r>
        <w:t>crash, and</w:t>
      </w:r>
      <w:proofErr w:type="gramEnd"/>
      <w:r>
        <w:t xml:space="preserve"> contact sport.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72BF8E89"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337F1022" w14:textId="77777777" w:rsidR="00F960C2" w:rsidRDefault="00000000">
            <w:pPr>
              <w:spacing w:after="80"/>
            </w:pPr>
            <w:r>
              <w:rPr>
                <w:b/>
                <w:bCs/>
                <w:color w:val="0A4544"/>
              </w:rPr>
              <w:t>Why the PCL is easy to miss</w:t>
            </w:r>
          </w:p>
          <w:p w14:paraId="2C9ABC46" w14:textId="77777777" w:rsidR="00F960C2" w:rsidRDefault="00000000">
            <w:pPr>
              <w:pStyle w:val="ListParagraph"/>
              <w:numPr>
                <w:ilvl w:val="0"/>
                <w:numId w:val="2"/>
              </w:numPr>
              <w:spacing w:after="50" w:line="260" w:lineRule="auto"/>
            </w:pPr>
            <w:r>
              <w:rPr>
                <w:sz w:val="21"/>
                <w:szCs w:val="21"/>
              </w:rPr>
              <w:t>Once the initial injury settles, it can be almost silent.</w:t>
            </w:r>
          </w:p>
          <w:p w14:paraId="47358DB0" w14:textId="77777777" w:rsidR="00F960C2" w:rsidRDefault="00000000">
            <w:pPr>
              <w:pStyle w:val="ListParagraph"/>
              <w:numPr>
                <w:ilvl w:val="0"/>
                <w:numId w:val="2"/>
              </w:numPr>
              <w:spacing w:after="50" w:line="260" w:lineRule="auto"/>
            </w:pPr>
            <w:r>
              <w:rPr>
                <w:sz w:val="21"/>
                <w:szCs w:val="21"/>
              </w:rPr>
              <w:t>Symptoms, if any, are vague: a dull ache, sometimes anterior (patellofemoral) pain, occasionally a sense of giving way.</w:t>
            </w:r>
          </w:p>
          <w:p w14:paraId="6C8984FB" w14:textId="77777777" w:rsidR="00F960C2" w:rsidRDefault="00000000">
            <w:pPr>
              <w:pStyle w:val="ListParagraph"/>
              <w:numPr>
                <w:ilvl w:val="0"/>
                <w:numId w:val="2"/>
              </w:numPr>
              <w:spacing w:line="260" w:lineRule="auto"/>
            </w:pPr>
            <w:r>
              <w:rPr>
                <w:sz w:val="21"/>
                <w:szCs w:val="21"/>
              </w:rPr>
              <w:t>It is less important for everyday stability than the ACL, so the knee often copes surprisingly well.</w:t>
            </w:r>
          </w:p>
        </w:tc>
      </w:tr>
    </w:tbl>
    <w:p w14:paraId="39CC19A0" w14:textId="77777777" w:rsidR="00F960C2" w:rsidRDefault="00000000">
      <w:pPr>
        <w:spacing w:after="140" w:line="276" w:lineRule="auto"/>
      </w:pPr>
      <w:r>
        <w:t>Management is usually conservative, focused on building the quadriceps, which help provide front-to-back stability. As with the ACL, the long-term concern is early degenerative change.</w:t>
      </w:r>
    </w:p>
    <w:p w14:paraId="65FFF2B4" w14:textId="77777777" w:rsidR="00F960C2" w:rsidRDefault="00000000">
      <w:pPr>
        <w:pBdr>
          <w:bottom w:val="single" w:sz="6" w:space="3" w:color="0E5C5B"/>
        </w:pBdr>
        <w:spacing w:before="200" w:after="90"/>
      </w:pPr>
      <w:proofErr w:type="gramStart"/>
      <w:r>
        <w:rPr>
          <w:b/>
          <w:bCs/>
          <w:color w:val="0E5C5B"/>
          <w:sz w:val="24"/>
          <w:szCs w:val="24"/>
        </w:rPr>
        <w:t>6.3  Medial</w:t>
      </w:r>
      <w:proofErr w:type="gramEnd"/>
      <w:r>
        <w:rPr>
          <w:b/>
          <w:bCs/>
          <w:color w:val="0E5C5B"/>
          <w:sz w:val="24"/>
          <w:szCs w:val="24"/>
        </w:rPr>
        <w:t xml:space="preserve"> collateral ligament (MCL) injury</w:t>
      </w:r>
    </w:p>
    <w:p w14:paraId="270ECC97" w14:textId="77777777" w:rsidR="00F960C2" w:rsidRDefault="00000000">
      <w:pPr>
        <w:spacing w:after="140" w:line="276" w:lineRule="auto"/>
      </w:pPr>
      <w:r>
        <w:t>The MCL is a commonly injured single ligament. The typical story is a valgus force (a blow to the outside that pushes the knee inward) on a partly bent knee — again, contact sport and downhill skiing are classic. A helpful clue: MCL tenderness is over the medial femoral condyle, not the joint line. Joint-line tenderness points to the meniscus instead.</w:t>
      </w:r>
    </w:p>
    <w:p w14:paraId="7DCB9797" w14:textId="77777777" w:rsidR="00F960C2" w:rsidRDefault="00000000">
      <w:pPr>
        <w:spacing w:before="140" w:after="60"/>
      </w:pPr>
      <w:r>
        <w:rPr>
          <w:b/>
          <w:bCs/>
          <w:color w:val="8A5A0C"/>
        </w:rPr>
        <w:t>Grading the injury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
        <w:gridCol w:w="1263"/>
        <w:gridCol w:w="4841"/>
        <w:gridCol w:w="3188"/>
        <w:gridCol w:w="34"/>
      </w:tblGrid>
      <w:tr w:rsidR="00F960C2" w14:paraId="4882E061" w14:textId="77777777">
        <w:tblPrEx>
          <w:tblCellMar>
            <w:top w:w="0" w:type="dxa"/>
            <w:bottom w:w="0" w:type="dxa"/>
          </w:tblCellMar>
        </w:tblPrEx>
        <w:trPr>
          <w:gridAfter w:val="1"/>
          <w:wAfter w:w="34" w:type="dxa"/>
          <w:tblHeader/>
        </w:trPr>
        <w:tc>
          <w:tcPr>
            <w:tcW w:w="1300" w:type="dxa"/>
            <w:gridSpan w:val="2"/>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06837ACA" w14:textId="77777777" w:rsidR="00F960C2" w:rsidRDefault="00000000">
            <w:r>
              <w:rPr>
                <w:b/>
                <w:bCs/>
                <w:color w:val="FFFFFF"/>
                <w:sz w:val="21"/>
                <w:szCs w:val="21"/>
              </w:rPr>
              <w:t>Grade</w:t>
            </w:r>
          </w:p>
        </w:tc>
        <w:tc>
          <w:tcPr>
            <w:tcW w:w="486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7D0A3F77" w14:textId="77777777" w:rsidR="00F960C2" w:rsidRDefault="00000000">
            <w:r>
              <w:rPr>
                <w:b/>
                <w:bCs/>
                <w:color w:val="FFFFFF"/>
                <w:sz w:val="21"/>
                <w:szCs w:val="21"/>
              </w:rPr>
              <w:t>What you find</w:t>
            </w:r>
          </w:p>
        </w:tc>
        <w:tc>
          <w:tcPr>
            <w:tcW w:w="320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0D31BF41" w14:textId="77777777" w:rsidR="00F960C2" w:rsidRDefault="00000000">
            <w:r>
              <w:rPr>
                <w:b/>
                <w:bCs/>
                <w:color w:val="FFFFFF"/>
                <w:sz w:val="21"/>
                <w:szCs w:val="21"/>
              </w:rPr>
              <w:t>Laxity on valgus stress at 30°</w:t>
            </w:r>
          </w:p>
        </w:tc>
      </w:tr>
      <w:tr w:rsidR="00F960C2" w14:paraId="6BE2AEFD" w14:textId="77777777">
        <w:tblPrEx>
          <w:tblCellMar>
            <w:top w:w="0" w:type="dxa"/>
            <w:bottom w:w="0" w:type="dxa"/>
          </w:tblCellMar>
        </w:tblPrEx>
        <w:trPr>
          <w:gridAfter w:val="1"/>
          <w:wAfter w:w="34" w:type="dxa"/>
        </w:trPr>
        <w:tc>
          <w:tcPr>
            <w:tcW w:w="1300" w:type="dxa"/>
            <w:gridSpan w:val="2"/>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5FE6B2D1" w14:textId="77777777" w:rsidR="00F960C2" w:rsidRDefault="00000000">
            <w:pPr>
              <w:spacing w:line="256" w:lineRule="auto"/>
            </w:pPr>
            <w:r>
              <w:rPr>
                <w:b/>
                <w:bCs/>
                <w:color w:val="1E5E22"/>
                <w:sz w:val="21"/>
                <w:szCs w:val="21"/>
              </w:rPr>
              <w:t>Grade 1</w:t>
            </w:r>
          </w:p>
        </w:tc>
        <w:tc>
          <w:tcPr>
            <w:tcW w:w="48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3066E401" w14:textId="77777777" w:rsidR="00F960C2" w:rsidRDefault="00000000">
            <w:pPr>
              <w:spacing w:line="256" w:lineRule="auto"/>
            </w:pPr>
            <w:r>
              <w:rPr>
                <w:sz w:val="21"/>
                <w:szCs w:val="21"/>
              </w:rPr>
              <w:t>Medial pain and tenderness over the medial femoral condyle</w:t>
            </w:r>
          </w:p>
        </w:tc>
        <w:tc>
          <w:tcPr>
            <w:tcW w:w="32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7645B94D" w14:textId="77777777" w:rsidR="00F960C2" w:rsidRDefault="00000000">
            <w:pPr>
              <w:spacing w:line="256" w:lineRule="auto"/>
            </w:pPr>
            <w:r>
              <w:rPr>
                <w:sz w:val="21"/>
                <w:szCs w:val="21"/>
              </w:rPr>
              <w:t>Pain, but NO laxity</w:t>
            </w:r>
          </w:p>
        </w:tc>
      </w:tr>
      <w:tr w:rsidR="00F960C2" w14:paraId="7D5D5FB2" w14:textId="77777777">
        <w:tblPrEx>
          <w:tblCellMar>
            <w:top w:w="0" w:type="dxa"/>
            <w:bottom w:w="0" w:type="dxa"/>
          </w:tblCellMar>
        </w:tblPrEx>
        <w:trPr>
          <w:gridAfter w:val="1"/>
          <w:wAfter w:w="34" w:type="dxa"/>
        </w:trPr>
        <w:tc>
          <w:tcPr>
            <w:tcW w:w="1300" w:type="dxa"/>
            <w:gridSpan w:val="2"/>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72600F07" w14:textId="77777777" w:rsidR="00F960C2" w:rsidRDefault="00000000">
            <w:pPr>
              <w:spacing w:line="256" w:lineRule="auto"/>
            </w:pPr>
            <w:r>
              <w:rPr>
                <w:b/>
                <w:bCs/>
                <w:color w:val="8A5A0C"/>
                <w:sz w:val="21"/>
                <w:szCs w:val="21"/>
              </w:rPr>
              <w:t>Grade 2</w:t>
            </w:r>
          </w:p>
        </w:tc>
        <w:tc>
          <w:tcPr>
            <w:tcW w:w="48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6A2D67C4" w14:textId="77777777" w:rsidR="00F960C2" w:rsidRDefault="00000000">
            <w:pPr>
              <w:spacing w:line="256" w:lineRule="auto"/>
            </w:pPr>
            <w:r>
              <w:rPr>
                <w:sz w:val="21"/>
                <w:szCs w:val="21"/>
              </w:rPr>
              <w:t>Some swelling over the condyle; pain on stressing</w:t>
            </w:r>
          </w:p>
        </w:tc>
        <w:tc>
          <w:tcPr>
            <w:tcW w:w="32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6AF2BD84" w14:textId="77777777" w:rsidR="00F960C2" w:rsidRDefault="00000000">
            <w:pPr>
              <w:spacing w:line="256" w:lineRule="auto"/>
            </w:pPr>
            <w:r>
              <w:rPr>
                <w:sz w:val="21"/>
                <w:szCs w:val="21"/>
              </w:rPr>
              <w:t>Pain WITH some laxity</w:t>
            </w:r>
          </w:p>
        </w:tc>
      </w:tr>
      <w:tr w:rsidR="00F960C2" w14:paraId="779FE4AD" w14:textId="77777777">
        <w:tblPrEx>
          <w:tblCellMar>
            <w:top w:w="0" w:type="dxa"/>
            <w:bottom w:w="0" w:type="dxa"/>
          </w:tblCellMar>
        </w:tblPrEx>
        <w:trPr>
          <w:gridAfter w:val="1"/>
          <w:wAfter w:w="34" w:type="dxa"/>
        </w:trPr>
        <w:tc>
          <w:tcPr>
            <w:tcW w:w="1300" w:type="dxa"/>
            <w:gridSpan w:val="2"/>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022D1B7D" w14:textId="77777777" w:rsidR="00F960C2" w:rsidRDefault="00000000">
            <w:pPr>
              <w:spacing w:line="256" w:lineRule="auto"/>
            </w:pPr>
            <w:r>
              <w:rPr>
                <w:b/>
                <w:bCs/>
                <w:color w:val="C0392B"/>
                <w:sz w:val="21"/>
                <w:szCs w:val="21"/>
              </w:rPr>
              <w:t>Grade 3</w:t>
            </w:r>
          </w:p>
        </w:tc>
        <w:tc>
          <w:tcPr>
            <w:tcW w:w="48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17844C93" w14:textId="77777777" w:rsidR="00F960C2" w:rsidRDefault="00000000">
            <w:pPr>
              <w:spacing w:line="256" w:lineRule="auto"/>
            </w:pPr>
            <w:r>
              <w:rPr>
                <w:sz w:val="21"/>
                <w:szCs w:val="21"/>
              </w:rPr>
              <w:t>Complete tear; a “wobbly” feeling; sometimes little pain</w:t>
            </w:r>
          </w:p>
        </w:tc>
        <w:tc>
          <w:tcPr>
            <w:tcW w:w="32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497A65CA" w14:textId="77777777" w:rsidR="00F960C2" w:rsidRDefault="00000000">
            <w:pPr>
              <w:spacing w:line="256" w:lineRule="auto"/>
            </w:pPr>
            <w:r>
              <w:rPr>
                <w:sz w:val="21"/>
                <w:szCs w:val="21"/>
              </w:rPr>
              <w:t>Gross laxity</w:t>
            </w:r>
          </w:p>
        </w:tc>
      </w:tr>
      <w:tr w:rsidR="00F960C2" w14:paraId="120051DD" w14:textId="77777777">
        <w:tblPrEx>
          <w:tblCellMar>
            <w:top w:w="0" w:type="dxa"/>
            <w:bottom w:w="0" w:type="dxa"/>
          </w:tblCellMar>
        </w:tblPrEx>
        <w:trPr>
          <w:gridBefore w:val="1"/>
          <w:wBefore w:w="34" w:type="dxa"/>
          <w:cantSplit/>
        </w:trPr>
        <w:tc>
          <w:tcPr>
            <w:tcW w:w="9360" w:type="dxa"/>
            <w:gridSpan w:val="4"/>
            <w:tcBorders>
              <w:top w:val="single" w:sz="2" w:space="0" w:color="2E7D32"/>
              <w:left w:val="single" w:sz="28" w:space="0" w:color="2E7D32"/>
              <w:bottom w:val="single" w:sz="2" w:space="0" w:color="2E7D32"/>
              <w:right w:val="single" w:sz="2" w:space="0" w:color="2E7D32"/>
            </w:tcBorders>
            <w:shd w:val="clear" w:color="auto" w:fill="E3F2E4"/>
            <w:tcMar>
              <w:top w:w="130" w:type="dxa"/>
              <w:left w:w="240" w:type="dxa"/>
              <w:bottom w:w="130" w:type="dxa"/>
              <w:right w:w="220" w:type="dxa"/>
            </w:tcMar>
          </w:tcPr>
          <w:p w14:paraId="4C14A913" w14:textId="77777777" w:rsidR="00F960C2" w:rsidRDefault="00000000">
            <w:pPr>
              <w:spacing w:after="80"/>
            </w:pPr>
            <w:r>
              <w:rPr>
                <w:b/>
                <w:bCs/>
                <w:color w:val="1E5E22"/>
              </w:rPr>
              <w:lastRenderedPageBreak/>
              <w:t>Good news on the MCL</w:t>
            </w:r>
          </w:p>
          <w:p w14:paraId="4FA70ADA" w14:textId="77777777" w:rsidR="00F960C2" w:rsidRDefault="00000000">
            <w:pPr>
              <w:spacing w:after="70" w:line="264" w:lineRule="auto"/>
            </w:pPr>
            <w:r>
              <w:rPr>
                <w:sz w:val="21"/>
                <w:szCs w:val="21"/>
              </w:rPr>
              <w:t>The outlook is excellent — much better than the ACL. Conservative treatment with early mobilisation and rehabilitation works just as well as surgery at any grade. A brace that still allows movement may help the more unstable injuries.</w:t>
            </w:r>
          </w:p>
          <w:p w14:paraId="56583BF0" w14:textId="77777777" w:rsidR="00F960C2" w:rsidRDefault="00000000">
            <w:pPr>
              <w:spacing w:line="264" w:lineRule="auto"/>
            </w:pPr>
            <w:r>
              <w:rPr>
                <w:sz w:val="21"/>
                <w:szCs w:val="21"/>
              </w:rPr>
              <w:t>Early mobilisation matters: it prevents the stiffness and rapid muscle loss that knee injuries otherwise cause.</w:t>
            </w:r>
          </w:p>
        </w:tc>
      </w:tr>
    </w:tbl>
    <w:p w14:paraId="31513F70" w14:textId="77777777" w:rsidR="00F960C2" w:rsidRDefault="00000000">
      <w:pPr>
        <w:pBdr>
          <w:bottom w:val="single" w:sz="6" w:space="3" w:color="0E5C5B"/>
        </w:pBdr>
        <w:spacing w:before="200" w:after="90"/>
      </w:pPr>
      <w:proofErr w:type="gramStart"/>
      <w:r>
        <w:rPr>
          <w:b/>
          <w:bCs/>
          <w:color w:val="0E5C5B"/>
          <w:sz w:val="24"/>
          <w:szCs w:val="24"/>
        </w:rPr>
        <w:t>6.4  Lateral</w:t>
      </w:r>
      <w:proofErr w:type="gramEnd"/>
      <w:r>
        <w:rPr>
          <w:b/>
          <w:bCs/>
          <w:color w:val="0E5C5B"/>
          <w:sz w:val="24"/>
          <w:szCs w:val="24"/>
        </w:rPr>
        <w:t xml:space="preserve"> collateral ligament (LCL) injury</w:t>
      </w:r>
    </w:p>
    <w:p w14:paraId="14FB6F5A" w14:textId="77777777" w:rsidR="00F960C2" w:rsidRDefault="00000000">
      <w:pPr>
        <w:spacing w:after="140" w:line="276" w:lineRule="auto"/>
      </w:pPr>
      <w:r>
        <w:t>The LCL is the least commonly injured of the four ligaments. It takes a varus force (a blow to the inside pushing the knee outward), which is simply less common in sport. Grading and management mirror the MCL. One examination tip: relax the iliotibial tract by abducting the hip before testing the LCL.</w:t>
      </w:r>
    </w:p>
    <w:p w14:paraId="0CEB8400" w14:textId="77777777" w:rsidR="00F960C2" w:rsidRDefault="00F960C2">
      <w:pPr>
        <w:spacing w:after="120"/>
      </w:pPr>
    </w:p>
    <w:p w14:paraId="42339F3C" w14:textId="77777777" w:rsidR="00F960C2" w:rsidRDefault="00000000">
      <w:pPr>
        <w:pBdr>
          <w:bottom w:val="single" w:sz="6" w:space="3" w:color="0E5C5B"/>
        </w:pBdr>
        <w:spacing w:before="200" w:after="90"/>
      </w:pPr>
      <w:proofErr w:type="gramStart"/>
      <w:r>
        <w:rPr>
          <w:b/>
          <w:bCs/>
          <w:color w:val="0E5C5B"/>
          <w:sz w:val="24"/>
          <w:szCs w:val="24"/>
        </w:rPr>
        <w:t>6.5  Meniscal</w:t>
      </w:r>
      <w:proofErr w:type="gramEnd"/>
      <w:r>
        <w:rPr>
          <w:b/>
          <w:bCs/>
          <w:color w:val="0E5C5B"/>
          <w:sz w:val="24"/>
          <w:szCs w:val="24"/>
        </w:rPr>
        <w:t xml:space="preserve"> injury</w:t>
      </w:r>
    </w:p>
    <w:p w14:paraId="51709338" w14:textId="77777777" w:rsidR="00F960C2" w:rsidRDefault="00000000">
      <w:pPr>
        <w:spacing w:after="140" w:line="276" w:lineRule="auto"/>
      </w:pPr>
      <w:r>
        <w:t>The menisci are crescent-shaped cartilage pads that cushion the joint, spread load and add stability. They matter — which is why modern surgery tries hard to preserve them.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2D554A8B"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66CC9DB0" w14:textId="77777777" w:rsidR="00F960C2" w:rsidRDefault="00000000">
            <w:pPr>
              <w:spacing w:after="80"/>
            </w:pPr>
            <w:r>
              <w:rPr>
                <w:b/>
                <w:bCs/>
                <w:color w:val="0A4544"/>
              </w:rPr>
              <w:t>The classic meniscal story</w:t>
            </w:r>
          </w:p>
          <w:p w14:paraId="52CA5AAE" w14:textId="77777777" w:rsidR="00F960C2" w:rsidRDefault="00000000">
            <w:pPr>
              <w:pStyle w:val="ListParagraph"/>
              <w:numPr>
                <w:ilvl w:val="0"/>
                <w:numId w:val="2"/>
              </w:numPr>
              <w:spacing w:after="50" w:line="260" w:lineRule="auto"/>
            </w:pPr>
            <w:r>
              <w:rPr>
                <w:sz w:val="21"/>
                <w:szCs w:val="21"/>
              </w:rPr>
              <w:t>A twisting injury, often on a bent and loaded knee (think turning to cross a ball).</w:t>
            </w:r>
          </w:p>
          <w:p w14:paraId="380594B6" w14:textId="77777777" w:rsidR="00F960C2" w:rsidRDefault="00000000">
            <w:pPr>
              <w:pStyle w:val="ListParagraph"/>
              <w:numPr>
                <w:ilvl w:val="0"/>
                <w:numId w:val="2"/>
              </w:numPr>
              <w:spacing w:after="50" w:line="260" w:lineRule="auto"/>
            </w:pPr>
            <w:r>
              <w:rPr>
                <w:sz w:val="21"/>
                <w:szCs w:val="21"/>
              </w:rPr>
              <w:t>Pain on the medial joint line.</w:t>
            </w:r>
          </w:p>
          <w:p w14:paraId="4926D93E" w14:textId="77777777" w:rsidR="00F960C2" w:rsidRDefault="00000000">
            <w:pPr>
              <w:pStyle w:val="ListParagraph"/>
              <w:numPr>
                <w:ilvl w:val="0"/>
                <w:numId w:val="2"/>
              </w:numPr>
              <w:spacing w:after="50" w:line="260" w:lineRule="auto"/>
            </w:pPr>
            <w:r>
              <w:rPr>
                <w:sz w:val="21"/>
                <w:szCs w:val="21"/>
              </w:rPr>
              <w:t>Swelling that comes on slowly — typically overnight (an effusion).</w:t>
            </w:r>
          </w:p>
          <w:p w14:paraId="7268F22B" w14:textId="77777777" w:rsidR="00F960C2" w:rsidRDefault="00000000">
            <w:pPr>
              <w:pStyle w:val="ListParagraph"/>
              <w:numPr>
                <w:ilvl w:val="0"/>
                <w:numId w:val="2"/>
              </w:numPr>
              <w:spacing w:after="50" w:line="260" w:lineRule="auto"/>
            </w:pPr>
            <w:r>
              <w:rPr>
                <w:sz w:val="21"/>
                <w:szCs w:val="21"/>
              </w:rPr>
              <w:t>Locking, catching or a sense of giving way.</w:t>
            </w:r>
          </w:p>
          <w:p w14:paraId="3F1F42DF" w14:textId="77777777" w:rsidR="00F960C2" w:rsidRDefault="00000000">
            <w:pPr>
              <w:pStyle w:val="ListParagraph"/>
              <w:numPr>
                <w:ilvl w:val="0"/>
                <w:numId w:val="2"/>
              </w:numPr>
              <w:spacing w:line="260" w:lineRule="auto"/>
            </w:pPr>
            <w:r>
              <w:rPr>
                <w:sz w:val="21"/>
                <w:szCs w:val="21"/>
              </w:rPr>
              <w:t>Could usually hobble on it afterwards.</w:t>
            </w:r>
          </w:p>
        </w:tc>
      </w:tr>
      <w:tr w:rsidR="00F960C2" w14:paraId="3179923D" w14:textId="77777777">
        <w:tblPrEx>
          <w:tblCellMar>
            <w:top w:w="0" w:type="dxa"/>
            <w:bottom w:w="0" w:type="dxa"/>
          </w:tblCellMar>
        </w:tblPrEx>
        <w:trPr>
          <w:cantSplit/>
        </w:trPr>
        <w:tc>
          <w:tcPr>
            <w:tcW w:w="9360" w:type="dxa"/>
            <w:tcBorders>
              <w:top w:val="single" w:sz="2" w:space="0" w:color="2E7D32"/>
              <w:left w:val="single" w:sz="28" w:space="0" w:color="2E7D32"/>
              <w:bottom w:val="single" w:sz="2" w:space="0" w:color="2E7D32"/>
              <w:right w:val="single" w:sz="2" w:space="0" w:color="2E7D32"/>
            </w:tcBorders>
            <w:shd w:val="clear" w:color="auto" w:fill="E3F2E4"/>
            <w:tcMar>
              <w:top w:w="130" w:type="dxa"/>
              <w:left w:w="240" w:type="dxa"/>
              <w:bottom w:w="130" w:type="dxa"/>
              <w:right w:w="220" w:type="dxa"/>
            </w:tcMar>
          </w:tcPr>
          <w:p w14:paraId="3C196EB1" w14:textId="77777777" w:rsidR="00F960C2" w:rsidRDefault="00000000">
            <w:pPr>
              <w:spacing w:after="80"/>
            </w:pPr>
            <w:r>
              <w:rPr>
                <w:b/>
                <w:bCs/>
                <w:color w:val="1E5E22"/>
              </w:rPr>
              <w:t>Traumatic vs degenerate — a key modern distinction</w:t>
            </w:r>
          </w:p>
          <w:p w14:paraId="36B85EFB" w14:textId="77777777" w:rsidR="00F960C2" w:rsidRDefault="00000000">
            <w:pPr>
              <w:spacing w:after="70" w:line="264" w:lineRule="auto"/>
            </w:pPr>
            <w:r>
              <w:rPr>
                <w:b/>
                <w:bCs/>
              </w:rPr>
              <w:t xml:space="preserve">Acute, traumatic tear (often younger patients): </w:t>
            </w:r>
            <w:r>
              <w:t>a clear twisting injury, locking or a young patient with a true mechanical block → refer to the acute knee clinic. Tears in the outer rim have a blood supply and may be repaired if caught early; central tears may need a small trim. Complete removal of a meniscus is now avoided wherever possible.</w:t>
            </w:r>
          </w:p>
          <w:p w14:paraId="5A20A57D" w14:textId="77777777" w:rsidR="00F960C2" w:rsidRDefault="00000000">
            <w:pPr>
              <w:spacing w:line="264" w:lineRule="auto"/>
            </w:pPr>
            <w:r>
              <w:rPr>
                <w:b/>
                <w:bCs/>
              </w:rPr>
              <w:t xml:space="preserve">Degenerate tear (often older patients): </w:t>
            </w:r>
            <w:r>
              <w:t xml:space="preserve">a gradual onset with little or no clear injury — pain after activities like gardening or squatting, then swelling the next day. Current UK guidance is to manage these conservatively first, with physiotherapy and exercise, and reassess. Do not send </w:t>
            </w:r>
            <w:proofErr w:type="gramStart"/>
            <w:r>
              <w:t>these straight</w:t>
            </w:r>
            <w:proofErr w:type="gramEnd"/>
            <w:r>
              <w:t xml:space="preserve"> to the acute knee clinic; refer if symptoms persist despite rehabilitation.</w:t>
            </w:r>
          </w:p>
        </w:tc>
      </w:tr>
      <w:tr w:rsidR="00F960C2" w14:paraId="74E0FB4A" w14:textId="77777777">
        <w:tblPrEx>
          <w:tblCellMar>
            <w:top w:w="0" w:type="dxa"/>
            <w:bottom w:w="0" w:type="dxa"/>
          </w:tblCellMar>
        </w:tblPrEx>
        <w:trPr>
          <w:cantSplit/>
        </w:trPr>
        <w:tc>
          <w:tcPr>
            <w:tcW w:w="9360" w:type="dxa"/>
            <w:tcBorders>
              <w:top w:val="single" w:sz="2" w:space="0" w:color="B07410"/>
              <w:left w:val="single" w:sz="28" w:space="0" w:color="B07410"/>
              <w:bottom w:val="single" w:sz="2" w:space="0" w:color="B07410"/>
              <w:right w:val="single" w:sz="2" w:space="0" w:color="B07410"/>
            </w:tcBorders>
            <w:shd w:val="clear" w:color="auto" w:fill="F5E9D6"/>
            <w:tcMar>
              <w:top w:w="130" w:type="dxa"/>
              <w:left w:w="240" w:type="dxa"/>
              <w:bottom w:w="130" w:type="dxa"/>
              <w:right w:w="220" w:type="dxa"/>
            </w:tcMar>
          </w:tcPr>
          <w:p w14:paraId="1FEC023B" w14:textId="77777777" w:rsidR="00F960C2" w:rsidRDefault="00000000">
            <w:pPr>
              <w:spacing w:after="80"/>
            </w:pPr>
            <w:r>
              <w:rPr>
                <w:b/>
                <w:bCs/>
                <w:color w:val="8A5A0C"/>
              </w:rPr>
              <w:t>Why we no longer “just take it out”</w:t>
            </w:r>
          </w:p>
          <w:p w14:paraId="3C1E63A1" w14:textId="77777777" w:rsidR="00F960C2" w:rsidRDefault="00000000">
            <w:pPr>
              <w:spacing w:line="264" w:lineRule="auto"/>
            </w:pPr>
            <w:r>
              <w:rPr>
                <w:sz w:val="21"/>
                <w:szCs w:val="21"/>
              </w:rPr>
              <w:t>Many former athletes who had whole menisci removed decades ago now have early osteoarthritis. We now know how important the menisci are — so the modern aim is to repair or preserve, not remove.</w:t>
            </w:r>
          </w:p>
        </w:tc>
      </w:tr>
    </w:tbl>
    <w:p w14:paraId="761543FC" w14:textId="77777777" w:rsidR="00F960C2" w:rsidRDefault="00000000">
      <w:pPr>
        <w:pBdr>
          <w:bottom w:val="single" w:sz="6" w:space="3" w:color="0E5C5B"/>
        </w:pBdr>
        <w:spacing w:before="200" w:after="90"/>
      </w:pPr>
      <w:proofErr w:type="gramStart"/>
      <w:r>
        <w:rPr>
          <w:b/>
          <w:bCs/>
          <w:color w:val="0E5C5B"/>
          <w:sz w:val="24"/>
          <w:szCs w:val="24"/>
        </w:rPr>
        <w:lastRenderedPageBreak/>
        <w:t>6.6  Patellofemoral</w:t>
      </w:r>
      <w:proofErr w:type="gramEnd"/>
      <w:r>
        <w:rPr>
          <w:b/>
          <w:bCs/>
          <w:color w:val="0E5C5B"/>
          <w:sz w:val="24"/>
          <w:szCs w:val="24"/>
        </w:rPr>
        <w:t xml:space="preserve"> pain</w:t>
      </w:r>
    </w:p>
    <w:p w14:paraId="28DE0F5D" w14:textId="77777777" w:rsidR="00F960C2" w:rsidRDefault="00000000">
      <w:pPr>
        <w:spacing w:after="140" w:line="276" w:lineRule="auto"/>
      </w:pPr>
      <w:r>
        <w:t>This is the gentlest of the patterns — the “near-miss” — but it is very common and worth recognising. It is non-specific pain at the front of the knee, from the way the kneecap (patella) loads against the femur.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482FB300"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6A001D27" w14:textId="77777777" w:rsidR="00F960C2" w:rsidRDefault="00000000">
            <w:pPr>
              <w:spacing w:after="80"/>
            </w:pPr>
            <w:r>
              <w:rPr>
                <w:b/>
                <w:bCs/>
                <w:color w:val="0A4544"/>
              </w:rPr>
              <w:t>Who gets it and how it feels</w:t>
            </w:r>
          </w:p>
          <w:p w14:paraId="216B4E1E" w14:textId="77777777" w:rsidR="00F960C2" w:rsidRDefault="00000000">
            <w:pPr>
              <w:pStyle w:val="ListParagraph"/>
              <w:numPr>
                <w:ilvl w:val="0"/>
                <w:numId w:val="2"/>
              </w:numPr>
              <w:spacing w:after="50" w:line="260" w:lineRule="auto"/>
            </w:pPr>
            <w:r>
              <w:rPr>
                <w:sz w:val="21"/>
                <w:szCs w:val="21"/>
              </w:rPr>
              <w:t>Most common in adolescents and active young to middle-aged adults; more common in females.</w:t>
            </w:r>
          </w:p>
          <w:p w14:paraId="2CA08C6C" w14:textId="77777777" w:rsidR="00F960C2" w:rsidRDefault="00000000">
            <w:pPr>
              <w:pStyle w:val="ListParagraph"/>
              <w:numPr>
                <w:ilvl w:val="0"/>
                <w:numId w:val="2"/>
              </w:numPr>
              <w:spacing w:after="50" w:line="260" w:lineRule="auto"/>
            </w:pPr>
            <w:r>
              <w:rPr>
                <w:sz w:val="21"/>
                <w:szCs w:val="21"/>
              </w:rPr>
              <w:t>Often no single injury — it builds with overuse, such as taking up running or hill-walking.</w:t>
            </w:r>
          </w:p>
          <w:p w14:paraId="2637D591" w14:textId="77777777" w:rsidR="00F960C2" w:rsidRDefault="00000000">
            <w:pPr>
              <w:pStyle w:val="ListParagraph"/>
              <w:numPr>
                <w:ilvl w:val="0"/>
                <w:numId w:val="2"/>
              </w:numPr>
              <w:spacing w:after="50" w:line="260" w:lineRule="auto"/>
            </w:pPr>
            <w:r>
              <w:rPr>
                <w:sz w:val="21"/>
                <w:szCs w:val="21"/>
              </w:rPr>
              <w:t xml:space="preserve">Pain at the front of the knee, worse going </w:t>
            </w:r>
            <w:proofErr w:type="gramStart"/>
            <w:r>
              <w:rPr>
                <w:sz w:val="21"/>
                <w:szCs w:val="21"/>
              </w:rPr>
              <w:t>DOWN stairs</w:t>
            </w:r>
            <w:proofErr w:type="gramEnd"/>
            <w:r>
              <w:rPr>
                <w:sz w:val="21"/>
                <w:szCs w:val="21"/>
              </w:rPr>
              <w:t xml:space="preserve"> or downhill (patients often say they must rest going down, not up).</w:t>
            </w:r>
          </w:p>
          <w:p w14:paraId="4708D658" w14:textId="77777777" w:rsidR="00F960C2" w:rsidRDefault="00000000">
            <w:pPr>
              <w:pStyle w:val="ListParagraph"/>
              <w:numPr>
                <w:ilvl w:val="0"/>
                <w:numId w:val="2"/>
              </w:numPr>
              <w:spacing w:after="50" w:line="260" w:lineRule="auto"/>
            </w:pPr>
            <w:r>
              <w:rPr>
                <w:sz w:val="21"/>
                <w:szCs w:val="21"/>
              </w:rPr>
              <w:t>Worse with prolonged knee bending — squatting, crouching, driving, or a long sit at the cinema (the “cinema sign”).</w:t>
            </w:r>
          </w:p>
          <w:p w14:paraId="3913D06D" w14:textId="77777777" w:rsidR="00F960C2" w:rsidRDefault="00000000">
            <w:pPr>
              <w:pStyle w:val="ListParagraph"/>
              <w:numPr>
                <w:ilvl w:val="0"/>
                <w:numId w:val="2"/>
              </w:numPr>
              <w:spacing w:line="260" w:lineRule="auto"/>
            </w:pPr>
            <w:r>
              <w:rPr>
                <w:sz w:val="21"/>
                <w:szCs w:val="21"/>
              </w:rPr>
              <w:t>Little or no swelling.</w:t>
            </w:r>
          </w:p>
        </w:tc>
      </w:tr>
      <w:tr w:rsidR="00F960C2" w14:paraId="69C60069" w14:textId="77777777">
        <w:tblPrEx>
          <w:tblCellMar>
            <w:top w:w="0" w:type="dxa"/>
            <w:bottom w:w="0" w:type="dxa"/>
          </w:tblCellMar>
        </w:tblPrEx>
        <w:trPr>
          <w:cantSplit/>
        </w:trPr>
        <w:tc>
          <w:tcPr>
            <w:tcW w:w="9360" w:type="dxa"/>
            <w:tcBorders>
              <w:top w:val="single" w:sz="2" w:space="0" w:color="2E7D32"/>
              <w:left w:val="single" w:sz="28" w:space="0" w:color="2E7D32"/>
              <w:bottom w:val="single" w:sz="2" w:space="0" w:color="2E7D32"/>
              <w:right w:val="single" w:sz="2" w:space="0" w:color="2E7D32"/>
            </w:tcBorders>
            <w:shd w:val="clear" w:color="auto" w:fill="E3F2E4"/>
            <w:tcMar>
              <w:top w:w="130" w:type="dxa"/>
              <w:left w:w="240" w:type="dxa"/>
              <w:bottom w:w="130" w:type="dxa"/>
              <w:right w:w="220" w:type="dxa"/>
            </w:tcMar>
          </w:tcPr>
          <w:p w14:paraId="68F2D2D3" w14:textId="77777777" w:rsidR="00F960C2" w:rsidRDefault="00000000">
            <w:pPr>
              <w:spacing w:after="80"/>
            </w:pPr>
            <w:r>
              <w:rPr>
                <w:b/>
                <w:bCs/>
                <w:color w:val="1E5E22"/>
              </w:rPr>
              <w:t>How it is managed</w:t>
            </w:r>
          </w:p>
          <w:p w14:paraId="468EE1F6" w14:textId="77777777" w:rsidR="00F960C2" w:rsidRDefault="00000000">
            <w:pPr>
              <w:pStyle w:val="ListParagraph"/>
              <w:numPr>
                <w:ilvl w:val="0"/>
                <w:numId w:val="2"/>
              </w:numPr>
              <w:spacing w:after="50" w:line="260" w:lineRule="auto"/>
            </w:pPr>
            <w:r>
              <w:rPr>
                <w:sz w:val="21"/>
                <w:szCs w:val="21"/>
              </w:rPr>
              <w:t>Exercise is the treatment. Physiotherapy-led, progressive strengthening of the quadriceps and hip muscles is first-line and the most effective approach.</w:t>
            </w:r>
          </w:p>
          <w:p w14:paraId="727F7720" w14:textId="77777777" w:rsidR="00F960C2" w:rsidRDefault="00000000">
            <w:pPr>
              <w:pStyle w:val="ListParagraph"/>
              <w:numPr>
                <w:ilvl w:val="0"/>
                <w:numId w:val="2"/>
              </w:numPr>
              <w:spacing w:after="50" w:line="260" w:lineRule="auto"/>
            </w:pPr>
            <w:r>
              <w:rPr>
                <w:sz w:val="21"/>
                <w:szCs w:val="21"/>
              </w:rPr>
              <w:t>Activity and load modification, plus clear explanation and reassurance, are central — especially in adolescents.</w:t>
            </w:r>
          </w:p>
          <w:p w14:paraId="1F0A01E2" w14:textId="77777777" w:rsidR="00F960C2" w:rsidRDefault="00000000">
            <w:pPr>
              <w:pStyle w:val="ListParagraph"/>
              <w:numPr>
                <w:ilvl w:val="0"/>
                <w:numId w:val="2"/>
              </w:numPr>
              <w:spacing w:after="50" w:line="260" w:lineRule="auto"/>
            </w:pPr>
            <w:r>
              <w:rPr>
                <w:sz w:val="21"/>
                <w:szCs w:val="21"/>
              </w:rPr>
              <w:t>Patellar taping may be used by physiotherapists as a short-term adjunct, but it is not a stand-alone fix.</w:t>
            </w:r>
          </w:p>
          <w:p w14:paraId="5DF70D4C" w14:textId="77777777" w:rsidR="00F960C2" w:rsidRDefault="00000000">
            <w:pPr>
              <w:pStyle w:val="ListParagraph"/>
              <w:numPr>
                <w:ilvl w:val="0"/>
                <w:numId w:val="2"/>
              </w:numPr>
              <w:spacing w:line="260" w:lineRule="auto"/>
            </w:pPr>
            <w:r>
              <w:rPr>
                <w:sz w:val="21"/>
                <w:szCs w:val="21"/>
              </w:rPr>
              <w:t>Refer to physiotherapy rather than to surgery.</w:t>
            </w:r>
          </w:p>
        </w:tc>
      </w:tr>
    </w:tbl>
    <w:p w14:paraId="6C0ABA3F" w14:textId="77777777" w:rsidR="00F960C2" w:rsidRDefault="00000000">
      <w:r>
        <w:br w:type="page"/>
      </w:r>
    </w:p>
    <w:p w14:paraId="7297F79F" w14:textId="77777777" w:rsidR="00F960C2" w:rsidRDefault="00F960C2">
      <w:pPr>
        <w:pStyle w:val="Heading1"/>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8600"/>
      </w:tblGrid>
      <w:tr w:rsidR="00F960C2" w14:paraId="597807AD" w14:textId="77777777">
        <w:tblPrEx>
          <w:tblCellMar>
            <w:top w:w="0" w:type="dxa"/>
            <w:bottom w:w="0" w:type="dxa"/>
          </w:tblCellMar>
        </w:tblPrEx>
        <w:tc>
          <w:tcPr>
            <w:tcW w:w="760" w:type="dxa"/>
            <w:tcBorders>
              <w:top w:val="none" w:sz="0" w:space="0" w:color="FFFFFF"/>
              <w:left w:val="none" w:sz="0" w:space="0" w:color="FFFFFF"/>
              <w:bottom w:val="none" w:sz="0" w:space="0" w:color="FFFFFF"/>
              <w:right w:val="none" w:sz="0" w:space="0" w:color="FFFFFF"/>
            </w:tcBorders>
            <w:shd w:val="clear" w:color="auto" w:fill="B07410"/>
            <w:tcMar>
              <w:top w:w="60" w:type="dxa"/>
              <w:left w:w="40" w:type="dxa"/>
              <w:bottom w:w="60" w:type="dxa"/>
              <w:right w:w="40" w:type="dxa"/>
            </w:tcMar>
            <w:vAlign w:val="center"/>
          </w:tcPr>
          <w:p w14:paraId="4B038EF7" w14:textId="77777777" w:rsidR="00F960C2" w:rsidRDefault="00000000">
            <w:pPr>
              <w:jc w:val="center"/>
            </w:pPr>
            <w:r>
              <w:rPr>
                <w:b/>
                <w:bCs/>
                <w:color w:val="FFFFFF"/>
                <w:sz w:val="30"/>
                <w:szCs w:val="30"/>
              </w:rPr>
              <w:t>7</w:t>
            </w:r>
          </w:p>
        </w:tc>
        <w:tc>
          <w:tcPr>
            <w:tcW w:w="8600" w:type="dxa"/>
            <w:tcBorders>
              <w:top w:val="none" w:sz="0" w:space="0" w:color="FFFFFF"/>
              <w:left w:val="none" w:sz="0" w:space="0" w:color="FFFFFF"/>
              <w:bottom w:val="none" w:sz="0" w:space="0" w:color="FFFFFF"/>
              <w:right w:val="none" w:sz="0" w:space="0" w:color="FFFFFF"/>
            </w:tcBorders>
            <w:shd w:val="clear" w:color="auto" w:fill="0E5C5B"/>
            <w:tcMar>
              <w:top w:w="60" w:type="dxa"/>
              <w:left w:w="220" w:type="dxa"/>
              <w:bottom w:w="60" w:type="dxa"/>
              <w:right w:w="160" w:type="dxa"/>
            </w:tcMar>
            <w:vAlign w:val="center"/>
          </w:tcPr>
          <w:p w14:paraId="62906B7A" w14:textId="77777777" w:rsidR="00F960C2" w:rsidRDefault="00000000">
            <w:r>
              <w:rPr>
                <w:b/>
                <w:bCs/>
                <w:color w:val="FFFFFF"/>
                <w:sz w:val="26"/>
                <w:szCs w:val="26"/>
              </w:rPr>
              <w:t>Investigations &amp; Referral</w:t>
            </w:r>
          </w:p>
        </w:tc>
      </w:tr>
    </w:tbl>
    <w:p w14:paraId="6CCB6850" w14:textId="77777777" w:rsidR="00F960C2" w:rsidRDefault="00F960C2">
      <w:pPr>
        <w:spacing w:after="120"/>
      </w:pPr>
    </w:p>
    <w:p w14:paraId="526DB78D" w14:textId="77777777" w:rsidR="00F960C2" w:rsidRDefault="00000000">
      <w:pPr>
        <w:spacing w:after="160" w:line="288" w:lineRule="auto"/>
      </w:pPr>
      <w:r>
        <w:rPr>
          <w:i/>
          <w:iCs/>
          <w:color w:val="5F5F5F"/>
          <w:sz w:val="23"/>
          <w:szCs w:val="23"/>
        </w:rPr>
        <w:t>Keep investigations purposeful and refer with a clear question in mind.</w:t>
      </w:r>
    </w:p>
    <w:p w14:paraId="56278B0A" w14:textId="77777777" w:rsidR="00F960C2" w:rsidRDefault="00000000">
      <w:pPr>
        <w:pBdr>
          <w:bottom w:val="single" w:sz="6" w:space="3" w:color="0E5C5B"/>
        </w:pBdr>
        <w:spacing w:before="200" w:after="90"/>
      </w:pPr>
      <w:r>
        <w:rPr>
          <w:b/>
          <w:bCs/>
          <w:color w:val="0E5C5B"/>
          <w:sz w:val="24"/>
          <w:szCs w:val="24"/>
        </w:rPr>
        <w:t>Investigations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
        <w:gridCol w:w="2359"/>
        <w:gridCol w:w="6933"/>
        <w:gridCol w:w="34"/>
      </w:tblGrid>
      <w:tr w:rsidR="00F960C2" w14:paraId="03D6C2B1" w14:textId="77777777">
        <w:tblPrEx>
          <w:tblCellMar>
            <w:top w:w="0" w:type="dxa"/>
            <w:bottom w:w="0" w:type="dxa"/>
          </w:tblCellMar>
        </w:tblPrEx>
        <w:trPr>
          <w:gridAfter w:val="1"/>
          <w:wAfter w:w="34" w:type="dxa"/>
          <w:tblHeader/>
        </w:trPr>
        <w:tc>
          <w:tcPr>
            <w:tcW w:w="2400" w:type="dxa"/>
            <w:gridSpan w:val="2"/>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460DF146" w14:textId="77777777" w:rsidR="00F960C2" w:rsidRDefault="00000000">
            <w:r>
              <w:rPr>
                <w:b/>
                <w:bCs/>
                <w:color w:val="FFFFFF"/>
                <w:sz w:val="21"/>
                <w:szCs w:val="21"/>
              </w:rPr>
              <w:t>Test</w:t>
            </w:r>
          </w:p>
        </w:tc>
        <w:tc>
          <w:tcPr>
            <w:tcW w:w="696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1FEDE0D3" w14:textId="77777777" w:rsidR="00F960C2" w:rsidRDefault="00000000">
            <w:r>
              <w:rPr>
                <w:b/>
                <w:bCs/>
                <w:color w:val="FFFFFF"/>
                <w:sz w:val="21"/>
                <w:szCs w:val="21"/>
              </w:rPr>
              <w:t>When and why</w:t>
            </w:r>
          </w:p>
        </w:tc>
      </w:tr>
      <w:tr w:rsidR="00F960C2" w14:paraId="5A9CBB0E" w14:textId="77777777">
        <w:tblPrEx>
          <w:tblCellMar>
            <w:top w:w="0" w:type="dxa"/>
            <w:bottom w:w="0" w:type="dxa"/>
          </w:tblCellMar>
        </w:tblPrEx>
        <w:trPr>
          <w:gridAfter w:val="1"/>
          <w:wAfter w:w="34" w:type="dxa"/>
        </w:trPr>
        <w:tc>
          <w:tcPr>
            <w:tcW w:w="2400" w:type="dxa"/>
            <w:gridSpan w:val="2"/>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60F7B114" w14:textId="77777777" w:rsidR="00F960C2" w:rsidRDefault="00000000">
            <w:pPr>
              <w:spacing w:line="256" w:lineRule="auto"/>
            </w:pPr>
            <w:r>
              <w:rPr>
                <w:b/>
                <w:bCs/>
                <w:sz w:val="21"/>
                <w:szCs w:val="21"/>
              </w:rPr>
              <w:t>X-ray (AP + lateral)</w:t>
            </w:r>
          </w:p>
        </w:tc>
        <w:tc>
          <w:tcPr>
            <w:tcW w:w="69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19512FA0" w14:textId="77777777" w:rsidR="00F960C2" w:rsidRDefault="00000000">
            <w:pPr>
              <w:spacing w:line="256" w:lineRule="auto"/>
            </w:pPr>
            <w:r>
              <w:rPr>
                <w:sz w:val="21"/>
                <w:szCs w:val="21"/>
              </w:rPr>
              <w:t>Use the Ottawa Knee Rules to decide. Looks for a fracture — not for soft-tissue injury.</w:t>
            </w:r>
          </w:p>
        </w:tc>
      </w:tr>
      <w:tr w:rsidR="00F960C2" w14:paraId="14941F9B" w14:textId="77777777">
        <w:tblPrEx>
          <w:tblCellMar>
            <w:top w:w="0" w:type="dxa"/>
            <w:bottom w:w="0" w:type="dxa"/>
          </w:tblCellMar>
        </w:tblPrEx>
        <w:trPr>
          <w:gridAfter w:val="1"/>
          <w:wAfter w:w="34" w:type="dxa"/>
        </w:trPr>
        <w:tc>
          <w:tcPr>
            <w:tcW w:w="2400" w:type="dxa"/>
            <w:gridSpan w:val="2"/>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49C0EF30" w14:textId="77777777" w:rsidR="00F960C2" w:rsidRDefault="00000000">
            <w:pPr>
              <w:spacing w:line="256" w:lineRule="auto"/>
            </w:pPr>
            <w:r>
              <w:rPr>
                <w:b/>
                <w:bCs/>
                <w:sz w:val="21"/>
                <w:szCs w:val="21"/>
              </w:rPr>
              <w:t>MRI</w:t>
            </w:r>
          </w:p>
        </w:tc>
        <w:tc>
          <w:tcPr>
            <w:tcW w:w="69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09A4DBE2" w14:textId="77777777" w:rsidR="00F960C2" w:rsidRDefault="00000000">
            <w:pPr>
              <w:spacing w:line="256" w:lineRule="auto"/>
            </w:pPr>
            <w:r>
              <w:rPr>
                <w:sz w:val="21"/>
                <w:szCs w:val="21"/>
              </w:rPr>
              <w:t xml:space="preserve">The imaging of choice for ligament and meniscal </w:t>
            </w:r>
            <w:proofErr w:type="gramStart"/>
            <w:r>
              <w:rPr>
                <w:sz w:val="21"/>
                <w:szCs w:val="21"/>
              </w:rPr>
              <w:t>injury, but</w:t>
            </w:r>
            <w:proofErr w:type="gramEnd"/>
            <w:r>
              <w:rPr>
                <w:sz w:val="21"/>
                <w:szCs w:val="21"/>
              </w:rPr>
              <w:t xml:space="preserve"> arranged as part of specialist assessment — not a routine first-line GP test.</w:t>
            </w:r>
          </w:p>
        </w:tc>
      </w:tr>
      <w:tr w:rsidR="00F960C2" w14:paraId="15A16BDC" w14:textId="77777777">
        <w:tblPrEx>
          <w:tblCellMar>
            <w:top w:w="0" w:type="dxa"/>
            <w:bottom w:w="0" w:type="dxa"/>
          </w:tblCellMar>
        </w:tblPrEx>
        <w:trPr>
          <w:gridAfter w:val="1"/>
          <w:wAfter w:w="34" w:type="dxa"/>
        </w:trPr>
        <w:tc>
          <w:tcPr>
            <w:tcW w:w="2400" w:type="dxa"/>
            <w:gridSpan w:val="2"/>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118D411F" w14:textId="77777777" w:rsidR="00F960C2" w:rsidRDefault="00000000">
            <w:pPr>
              <w:spacing w:line="256" w:lineRule="auto"/>
            </w:pPr>
            <w:r>
              <w:rPr>
                <w:b/>
                <w:bCs/>
                <w:sz w:val="21"/>
                <w:szCs w:val="21"/>
              </w:rPr>
              <w:t>Blood tests</w:t>
            </w:r>
          </w:p>
        </w:tc>
        <w:tc>
          <w:tcPr>
            <w:tcW w:w="69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7308047F" w14:textId="77777777" w:rsidR="00F960C2" w:rsidRDefault="00000000">
            <w:pPr>
              <w:spacing w:line="256" w:lineRule="auto"/>
            </w:pPr>
            <w:r>
              <w:rPr>
                <w:sz w:val="21"/>
                <w:szCs w:val="21"/>
              </w:rPr>
              <w:t>Consider if infection or inflammatory/crystal arthritis is possible (e.g. FBC/CRP, urate). Not routine for a clear sports injury.</w:t>
            </w:r>
          </w:p>
        </w:tc>
      </w:tr>
      <w:tr w:rsidR="00F960C2" w14:paraId="13DF1EBC" w14:textId="77777777">
        <w:tblPrEx>
          <w:tblCellMar>
            <w:top w:w="0" w:type="dxa"/>
            <w:bottom w:w="0" w:type="dxa"/>
          </w:tblCellMar>
        </w:tblPrEx>
        <w:trPr>
          <w:gridAfter w:val="1"/>
          <w:wAfter w:w="34" w:type="dxa"/>
        </w:trPr>
        <w:tc>
          <w:tcPr>
            <w:tcW w:w="2400" w:type="dxa"/>
            <w:gridSpan w:val="2"/>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6CB383CD" w14:textId="77777777" w:rsidR="00F960C2" w:rsidRDefault="00000000">
            <w:pPr>
              <w:spacing w:line="256" w:lineRule="auto"/>
            </w:pPr>
            <w:r>
              <w:rPr>
                <w:b/>
                <w:bCs/>
                <w:sz w:val="21"/>
                <w:szCs w:val="21"/>
              </w:rPr>
              <w:t>Joint aspiration</w:t>
            </w:r>
          </w:p>
        </w:tc>
        <w:tc>
          <w:tcPr>
            <w:tcW w:w="69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3DD4481C" w14:textId="77777777" w:rsidR="00F960C2" w:rsidRDefault="00000000">
            <w:pPr>
              <w:spacing w:line="256" w:lineRule="auto"/>
            </w:pPr>
            <w:r>
              <w:rPr>
                <w:sz w:val="21"/>
                <w:szCs w:val="21"/>
              </w:rPr>
              <w:t>Mainly a secondary-care procedure, under strict aseptic technique. Send fluid for microscopy and culture if infection is suspected.</w:t>
            </w:r>
          </w:p>
        </w:tc>
      </w:tr>
      <w:tr w:rsidR="00F960C2" w14:paraId="16EEED3A" w14:textId="77777777">
        <w:tblPrEx>
          <w:tblCellMar>
            <w:top w:w="0" w:type="dxa"/>
            <w:bottom w:w="0" w:type="dxa"/>
          </w:tblCellMar>
        </w:tblPrEx>
        <w:trPr>
          <w:gridBefore w:val="1"/>
          <w:wBefore w:w="34" w:type="dxa"/>
          <w:cantSplit/>
        </w:trPr>
        <w:tc>
          <w:tcPr>
            <w:tcW w:w="9360" w:type="dxa"/>
            <w:gridSpan w:val="3"/>
            <w:tcBorders>
              <w:top w:val="single" w:sz="2" w:space="0" w:color="C0392B"/>
              <w:left w:val="single" w:sz="28" w:space="0" w:color="C0392B"/>
              <w:bottom w:val="single" w:sz="2" w:space="0" w:color="C0392B"/>
              <w:right w:val="single" w:sz="2" w:space="0" w:color="C0392B"/>
            </w:tcBorders>
            <w:shd w:val="clear" w:color="auto" w:fill="FBE5E2"/>
            <w:tcMar>
              <w:top w:w="130" w:type="dxa"/>
              <w:left w:w="240" w:type="dxa"/>
              <w:bottom w:w="130" w:type="dxa"/>
              <w:right w:w="220" w:type="dxa"/>
            </w:tcMar>
          </w:tcPr>
          <w:p w14:paraId="71AACD7D" w14:textId="77777777" w:rsidR="00F960C2" w:rsidRDefault="00000000">
            <w:pPr>
              <w:spacing w:after="80"/>
            </w:pPr>
            <w:r>
              <w:rPr>
                <w:b/>
                <w:bCs/>
                <w:color w:val="C0392B"/>
              </w:rPr>
              <w:t>Two safety points on imaging</w:t>
            </w:r>
          </w:p>
          <w:p w14:paraId="409A2148" w14:textId="77777777" w:rsidR="00F960C2" w:rsidRDefault="00000000">
            <w:pPr>
              <w:pStyle w:val="ListParagraph"/>
              <w:numPr>
                <w:ilvl w:val="0"/>
                <w:numId w:val="2"/>
              </w:numPr>
              <w:spacing w:after="50" w:line="260" w:lineRule="auto"/>
            </w:pPr>
            <w:r>
              <w:rPr>
                <w:sz w:val="21"/>
                <w:szCs w:val="21"/>
              </w:rPr>
              <w:t>A normal X-ray reassures you about bone only. It says nothing about the ACL or menisci.</w:t>
            </w:r>
          </w:p>
          <w:p w14:paraId="73FB9E25" w14:textId="77777777" w:rsidR="00F960C2" w:rsidRDefault="00000000">
            <w:pPr>
              <w:pStyle w:val="ListParagraph"/>
              <w:numPr>
                <w:ilvl w:val="0"/>
                <w:numId w:val="2"/>
              </w:numPr>
              <w:spacing w:line="260" w:lineRule="auto"/>
            </w:pPr>
            <w:r>
              <w:rPr>
                <w:sz w:val="21"/>
                <w:szCs w:val="21"/>
              </w:rPr>
              <w:t>Swelling with no injury that builds over a day or more — think septic or inflammatory arthritis and act urgently.</w:t>
            </w:r>
          </w:p>
        </w:tc>
      </w:tr>
    </w:tbl>
    <w:p w14:paraId="670F803E" w14:textId="77777777" w:rsidR="00F960C2" w:rsidRDefault="00000000">
      <w:pPr>
        <w:pBdr>
          <w:bottom w:val="single" w:sz="6" w:space="3" w:color="0E5C5B"/>
        </w:pBdr>
        <w:spacing w:before="200" w:after="90"/>
      </w:pPr>
      <w:r>
        <w:rPr>
          <w:b/>
          <w:bCs/>
          <w:color w:val="0E5C5B"/>
          <w:sz w:val="24"/>
          <w:szCs w:val="24"/>
        </w:rPr>
        <w:t>Referral — who goes where</w:t>
      </w:r>
    </w:p>
    <w:p w14:paraId="58B7B0E0" w14:textId="77777777" w:rsidR="00F960C2" w:rsidRDefault="00000000">
      <w:pPr>
        <w:spacing w:before="60" w:after="40"/>
        <w:jc w:val="center"/>
      </w:pPr>
      <w:r>
        <w:rPr>
          <w:noProof/>
        </w:rPr>
        <w:drawing>
          <wp:inline distT="0" distB="0" distL="0" distR="0" wp14:anchorId="74E02930" wp14:editId="569916DD">
            <wp:extent cx="5715000" cy="3305175"/>
            <wp:effectExtent l="0" t="0" r="0" b="0"/>
            <wp:docPr id="496263160" name="referral.png" descr="A simple referral map. Always follow your own local pathway." title="A simple referral map. Always follow your own local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715000" cy="3305175"/>
                    </a:xfrm>
                    <a:prstGeom prst="rect">
                      <a:avLst/>
                    </a:prstGeom>
                  </pic:spPr>
                </pic:pic>
              </a:graphicData>
            </a:graphic>
          </wp:inline>
        </w:drawing>
      </w:r>
    </w:p>
    <w:p w14:paraId="1A095FDD" w14:textId="77777777" w:rsidR="00F960C2" w:rsidRDefault="00000000">
      <w:pPr>
        <w:spacing w:after="160"/>
        <w:jc w:val="center"/>
      </w:pPr>
      <w:r>
        <w:rPr>
          <w:i/>
          <w:iCs/>
          <w:color w:val="5F5F5F"/>
          <w:sz w:val="18"/>
          <w:szCs w:val="18"/>
        </w:rPr>
        <w:t>Figure — A simple referral map. Always follow your own local pathway.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5ABF7A78"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74AF56A2" w14:textId="77777777" w:rsidR="00F960C2" w:rsidRDefault="00000000">
            <w:pPr>
              <w:spacing w:after="80"/>
            </w:pPr>
            <w:r>
              <w:rPr>
                <w:b/>
                <w:bCs/>
                <w:color w:val="0A4544"/>
              </w:rPr>
              <w:lastRenderedPageBreak/>
              <w:t>Rough urgency guide</w:t>
            </w:r>
          </w:p>
          <w:p w14:paraId="059B6B48" w14:textId="77777777" w:rsidR="00F960C2" w:rsidRDefault="00000000">
            <w:pPr>
              <w:pStyle w:val="ListParagraph"/>
              <w:numPr>
                <w:ilvl w:val="0"/>
                <w:numId w:val="2"/>
              </w:numPr>
              <w:spacing w:after="50" w:line="260" w:lineRule="auto"/>
            </w:pPr>
            <w:r>
              <w:rPr>
                <w:sz w:val="21"/>
                <w:szCs w:val="21"/>
              </w:rPr>
              <w:t xml:space="preserve">Urgent / A&amp;E: cannot weight-bear, possible fracture, a truly locked knee, or a hot, unwell patient </w:t>
            </w:r>
            <w:proofErr w:type="gramStart"/>
            <w:r>
              <w:rPr>
                <w:sz w:val="21"/>
                <w:szCs w:val="21"/>
              </w:rPr>
              <w:t>(?septic</w:t>
            </w:r>
            <w:proofErr w:type="gramEnd"/>
            <w:r>
              <w:rPr>
                <w:sz w:val="21"/>
                <w:szCs w:val="21"/>
              </w:rPr>
              <w:t>).</w:t>
            </w:r>
          </w:p>
          <w:p w14:paraId="366F6852" w14:textId="77777777" w:rsidR="00F960C2" w:rsidRDefault="00000000">
            <w:pPr>
              <w:pStyle w:val="ListParagraph"/>
              <w:numPr>
                <w:ilvl w:val="0"/>
                <w:numId w:val="2"/>
              </w:numPr>
              <w:spacing w:after="50" w:line="260" w:lineRule="auto"/>
            </w:pPr>
            <w:r>
              <w:rPr>
                <w:sz w:val="21"/>
                <w:szCs w:val="21"/>
              </w:rPr>
              <w:t>Acute knee clinic: suspected ACL rupture, a young patient with true locking, or significant instability.</w:t>
            </w:r>
          </w:p>
          <w:p w14:paraId="6B01F059" w14:textId="77777777" w:rsidR="00F960C2" w:rsidRDefault="00000000">
            <w:pPr>
              <w:pStyle w:val="ListParagraph"/>
              <w:numPr>
                <w:ilvl w:val="0"/>
                <w:numId w:val="2"/>
              </w:numPr>
              <w:spacing w:after="50" w:line="260" w:lineRule="auto"/>
            </w:pPr>
            <w:r>
              <w:rPr>
                <w:sz w:val="21"/>
                <w:szCs w:val="21"/>
              </w:rPr>
              <w:t>Physiotherapy / MSK: patellofemoral pain, collateral ligament sprains, and older patients with degenerate meniscal symptoms.</w:t>
            </w:r>
          </w:p>
          <w:p w14:paraId="446E6903" w14:textId="77777777" w:rsidR="00F960C2" w:rsidRDefault="00000000">
            <w:pPr>
              <w:pStyle w:val="ListParagraph"/>
              <w:numPr>
                <w:ilvl w:val="0"/>
                <w:numId w:val="2"/>
              </w:numPr>
              <w:spacing w:line="260" w:lineRule="auto"/>
            </w:pPr>
            <w:r>
              <w:rPr>
                <w:sz w:val="21"/>
                <w:szCs w:val="21"/>
              </w:rPr>
              <w:t>Soft-tissue problems that settle can be watched; persistent symptoms beyond about six weeks merit referral.</w:t>
            </w:r>
          </w:p>
        </w:tc>
      </w:tr>
    </w:tbl>
    <w:p w14:paraId="7ECA3A63" w14:textId="77777777" w:rsidR="00F960C2" w:rsidRDefault="00F960C2">
      <w:pPr>
        <w:spacing w:after="160"/>
      </w:pPr>
    </w:p>
    <w:p w14:paraId="2F2EDE47" w14:textId="0245F9F1" w:rsidR="00B56A59" w:rsidRDefault="00B56A59">
      <w:pPr>
        <w:rPr>
          <w:sz w:val="2"/>
          <w:szCs w:val="2"/>
        </w:rPr>
      </w:pPr>
      <w:r>
        <w:br w:type="page"/>
      </w:r>
    </w:p>
    <w:p w14:paraId="51924B32" w14:textId="77777777" w:rsidR="00F960C2" w:rsidRDefault="00F960C2">
      <w:pPr>
        <w:pStyle w:val="Heading1"/>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8600"/>
      </w:tblGrid>
      <w:tr w:rsidR="00F960C2" w14:paraId="01D76B92" w14:textId="77777777">
        <w:tblPrEx>
          <w:tblCellMar>
            <w:top w:w="0" w:type="dxa"/>
            <w:bottom w:w="0" w:type="dxa"/>
          </w:tblCellMar>
        </w:tblPrEx>
        <w:tc>
          <w:tcPr>
            <w:tcW w:w="760" w:type="dxa"/>
            <w:tcBorders>
              <w:top w:val="none" w:sz="0" w:space="0" w:color="FFFFFF"/>
              <w:left w:val="none" w:sz="0" w:space="0" w:color="FFFFFF"/>
              <w:bottom w:val="none" w:sz="0" w:space="0" w:color="FFFFFF"/>
              <w:right w:val="none" w:sz="0" w:space="0" w:color="FFFFFF"/>
            </w:tcBorders>
            <w:shd w:val="clear" w:color="auto" w:fill="B07410"/>
            <w:tcMar>
              <w:top w:w="60" w:type="dxa"/>
              <w:left w:w="40" w:type="dxa"/>
              <w:bottom w:w="60" w:type="dxa"/>
              <w:right w:w="40" w:type="dxa"/>
            </w:tcMar>
            <w:vAlign w:val="center"/>
          </w:tcPr>
          <w:p w14:paraId="34121C71" w14:textId="77777777" w:rsidR="00F960C2" w:rsidRDefault="00000000">
            <w:pPr>
              <w:jc w:val="center"/>
            </w:pPr>
            <w:r>
              <w:rPr>
                <w:b/>
                <w:bCs/>
                <w:color w:val="FFFFFF"/>
                <w:sz w:val="30"/>
                <w:szCs w:val="30"/>
              </w:rPr>
              <w:t>8</w:t>
            </w:r>
          </w:p>
        </w:tc>
        <w:tc>
          <w:tcPr>
            <w:tcW w:w="8600" w:type="dxa"/>
            <w:tcBorders>
              <w:top w:val="none" w:sz="0" w:space="0" w:color="FFFFFF"/>
              <w:left w:val="none" w:sz="0" w:space="0" w:color="FFFFFF"/>
              <w:bottom w:val="none" w:sz="0" w:space="0" w:color="FFFFFF"/>
              <w:right w:val="none" w:sz="0" w:space="0" w:color="FFFFFF"/>
            </w:tcBorders>
            <w:shd w:val="clear" w:color="auto" w:fill="0E5C5B"/>
            <w:tcMar>
              <w:top w:w="60" w:type="dxa"/>
              <w:left w:w="220" w:type="dxa"/>
              <w:bottom w:w="60" w:type="dxa"/>
              <w:right w:w="160" w:type="dxa"/>
            </w:tcMar>
            <w:vAlign w:val="center"/>
          </w:tcPr>
          <w:p w14:paraId="35D9DBF1" w14:textId="77777777" w:rsidR="00F960C2" w:rsidRDefault="00000000">
            <w:r>
              <w:rPr>
                <w:b/>
                <w:bCs/>
                <w:color w:val="FFFFFF"/>
                <w:sz w:val="26"/>
                <w:szCs w:val="26"/>
              </w:rPr>
              <w:t>Two Teaching Cases — Bring It Together</w:t>
            </w:r>
          </w:p>
        </w:tc>
      </w:tr>
    </w:tbl>
    <w:p w14:paraId="40466A4D" w14:textId="77777777" w:rsidR="00F960C2" w:rsidRDefault="00F960C2">
      <w:pPr>
        <w:spacing w:after="120"/>
      </w:pPr>
    </w:p>
    <w:p w14:paraId="6868D088" w14:textId="77777777" w:rsidR="00F960C2" w:rsidRDefault="00000000">
      <w:pPr>
        <w:spacing w:after="160" w:line="288" w:lineRule="auto"/>
      </w:pPr>
      <w:r>
        <w:rPr>
          <w:i/>
          <w:iCs/>
          <w:color w:val="5F5F5F"/>
          <w:sz w:val="23"/>
          <w:szCs w:val="23"/>
        </w:rPr>
        <w:t>These two stories are worth committing to memory. Read each one, decide what you think before the answer, and notice how the history alone gives the diagnosis.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75608C88" w14:textId="77777777">
        <w:tblPrEx>
          <w:tblCellMar>
            <w:top w:w="0" w:type="dxa"/>
            <w:bottom w:w="0" w:type="dxa"/>
          </w:tblCellMar>
        </w:tblPrEx>
        <w:tc>
          <w:tcPr>
            <w:tcW w:w="9360" w:type="dxa"/>
            <w:shd w:val="clear" w:color="auto" w:fill="0E5C5B"/>
            <w:tcMar>
              <w:top w:w="90" w:type="dxa"/>
              <w:left w:w="200" w:type="dxa"/>
              <w:bottom w:w="90" w:type="dxa"/>
              <w:right w:w="200" w:type="dxa"/>
            </w:tcMar>
          </w:tcPr>
          <w:p w14:paraId="1814E9F8" w14:textId="77777777" w:rsidR="00F960C2" w:rsidRDefault="00000000">
            <w:r>
              <w:rPr>
                <w:b/>
                <w:bCs/>
                <w:color w:val="FFFFFF"/>
                <w:sz w:val="24"/>
                <w:szCs w:val="24"/>
              </w:rPr>
              <w:t>Case 1 — Sally, a 25-year-old hockey player</w:t>
            </w:r>
          </w:p>
        </w:tc>
      </w:tr>
    </w:tbl>
    <w:p w14:paraId="13FC3B83" w14:textId="77777777" w:rsidR="00F960C2" w:rsidRDefault="00F960C2">
      <w:pPr>
        <w:spacing w:after="80"/>
      </w:pPr>
    </w:p>
    <w:p w14:paraId="4E83DF0A" w14:textId="77777777" w:rsidR="00F960C2" w:rsidRDefault="00000000">
      <w:pPr>
        <w:spacing w:after="140" w:line="276" w:lineRule="auto"/>
      </w:pPr>
      <w:r>
        <w:t>One month ago, running at speed in a match, Sally was tackled. She fell, felt a moment of severe pain in her right knee, and heard a loud crack. She was helped off the pitch. After the match the knee had swollen a lot, so a friend took her to A&amp;E. The X-ray was normal. The knee was bandaged, settled over a week, and she went back to walking normally. Last night, at her first training session, the knee gave way as she went into a tackle and she fell. Overnight it swelled again — more slowly this time.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77E39255"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3410634B" w14:textId="77777777" w:rsidR="00F960C2" w:rsidRDefault="00000000">
            <w:pPr>
              <w:spacing w:after="80"/>
            </w:pPr>
            <w:r>
              <w:rPr>
                <w:b/>
                <w:bCs/>
                <w:color w:val="0A4544"/>
              </w:rPr>
              <w:t>The features that matter</w:t>
            </w:r>
          </w:p>
          <w:p w14:paraId="73BDF3DB" w14:textId="77777777" w:rsidR="00F960C2" w:rsidRDefault="00000000">
            <w:pPr>
              <w:pStyle w:val="ListParagraph"/>
              <w:numPr>
                <w:ilvl w:val="0"/>
                <w:numId w:val="2"/>
              </w:numPr>
              <w:spacing w:after="50" w:line="260" w:lineRule="auto"/>
            </w:pPr>
            <w:r>
              <w:rPr>
                <w:sz w:val="21"/>
                <w:szCs w:val="21"/>
              </w:rPr>
              <w:t>A dynamic injury, at speed.</w:t>
            </w:r>
          </w:p>
          <w:p w14:paraId="594120ED" w14:textId="77777777" w:rsidR="00F960C2" w:rsidRDefault="00000000">
            <w:pPr>
              <w:pStyle w:val="ListParagraph"/>
              <w:numPr>
                <w:ilvl w:val="0"/>
                <w:numId w:val="2"/>
              </w:numPr>
              <w:spacing w:after="50" w:line="260" w:lineRule="auto"/>
            </w:pPr>
            <w:r>
              <w:rPr>
                <w:sz w:val="21"/>
                <w:szCs w:val="21"/>
              </w:rPr>
              <w:t>A moment of severe pain with a “crack”.</w:t>
            </w:r>
          </w:p>
          <w:p w14:paraId="3299146B" w14:textId="77777777" w:rsidR="00F960C2" w:rsidRDefault="00000000">
            <w:pPr>
              <w:pStyle w:val="ListParagraph"/>
              <w:numPr>
                <w:ilvl w:val="0"/>
                <w:numId w:val="2"/>
              </w:numPr>
              <w:spacing w:after="50" w:line="260" w:lineRule="auto"/>
            </w:pPr>
            <w:r>
              <w:rPr>
                <w:sz w:val="21"/>
                <w:szCs w:val="21"/>
              </w:rPr>
              <w:t>Could not continue.</w:t>
            </w:r>
          </w:p>
          <w:p w14:paraId="35B10B10" w14:textId="77777777" w:rsidR="00F960C2" w:rsidRDefault="00000000">
            <w:pPr>
              <w:pStyle w:val="ListParagraph"/>
              <w:numPr>
                <w:ilvl w:val="0"/>
                <w:numId w:val="2"/>
              </w:numPr>
              <w:spacing w:after="50" w:line="260" w:lineRule="auto"/>
            </w:pPr>
            <w:r>
              <w:rPr>
                <w:sz w:val="21"/>
                <w:szCs w:val="21"/>
              </w:rPr>
              <w:t xml:space="preserve">Rapid swelling at the time (a </w:t>
            </w:r>
            <w:proofErr w:type="spellStart"/>
            <w:r>
              <w:rPr>
                <w:sz w:val="21"/>
                <w:szCs w:val="21"/>
              </w:rPr>
              <w:t>haemarthrosis</w:t>
            </w:r>
            <w:proofErr w:type="spellEnd"/>
            <w:r>
              <w:rPr>
                <w:sz w:val="21"/>
                <w:szCs w:val="21"/>
              </w:rPr>
              <w:t>).</w:t>
            </w:r>
          </w:p>
          <w:p w14:paraId="64023582" w14:textId="77777777" w:rsidR="00F960C2" w:rsidRDefault="00000000">
            <w:pPr>
              <w:pStyle w:val="ListParagraph"/>
              <w:numPr>
                <w:ilvl w:val="0"/>
                <w:numId w:val="2"/>
              </w:numPr>
              <w:spacing w:after="50" w:line="260" w:lineRule="auto"/>
            </w:pPr>
            <w:r>
              <w:rPr>
                <w:sz w:val="21"/>
                <w:szCs w:val="21"/>
              </w:rPr>
              <w:t>A normal X-ray — and no follow-up.</w:t>
            </w:r>
          </w:p>
          <w:p w14:paraId="43CBAE1E" w14:textId="77777777" w:rsidR="00F960C2" w:rsidRDefault="00000000">
            <w:pPr>
              <w:pStyle w:val="ListParagraph"/>
              <w:numPr>
                <w:ilvl w:val="0"/>
                <w:numId w:val="2"/>
              </w:numPr>
              <w:spacing w:line="260" w:lineRule="auto"/>
            </w:pPr>
            <w:r>
              <w:rPr>
                <w:sz w:val="21"/>
                <w:szCs w:val="21"/>
              </w:rPr>
              <w:t>A month later, the knee gives way; then a slower, overnight swelling.</w:t>
            </w:r>
          </w:p>
        </w:tc>
      </w:tr>
      <w:tr w:rsidR="00F960C2" w14:paraId="153E76D8" w14:textId="77777777">
        <w:tblPrEx>
          <w:tblCellMar>
            <w:top w:w="0" w:type="dxa"/>
            <w:bottom w:w="0" w:type="dxa"/>
          </w:tblCellMar>
        </w:tblPrEx>
        <w:trPr>
          <w:cantSplit/>
        </w:trPr>
        <w:tc>
          <w:tcPr>
            <w:tcW w:w="9360" w:type="dxa"/>
            <w:tcBorders>
              <w:top w:val="single" w:sz="2" w:space="0" w:color="C0392B"/>
              <w:left w:val="single" w:sz="28" w:space="0" w:color="C0392B"/>
              <w:bottom w:val="single" w:sz="2" w:space="0" w:color="C0392B"/>
              <w:right w:val="single" w:sz="2" w:space="0" w:color="C0392B"/>
            </w:tcBorders>
            <w:shd w:val="clear" w:color="auto" w:fill="FBE5E2"/>
            <w:tcMar>
              <w:top w:w="130" w:type="dxa"/>
              <w:left w:w="240" w:type="dxa"/>
              <w:bottom w:w="130" w:type="dxa"/>
              <w:right w:w="220" w:type="dxa"/>
            </w:tcMar>
          </w:tcPr>
          <w:p w14:paraId="7071B41F" w14:textId="77777777" w:rsidR="00F960C2" w:rsidRDefault="00000000">
            <w:pPr>
              <w:spacing w:after="80"/>
            </w:pPr>
            <w:r>
              <w:rPr>
                <w:b/>
                <w:bCs/>
                <w:color w:val="C0392B"/>
              </w:rPr>
              <w:t>Diagnosis until proven otherwise: ACL rupture</w:t>
            </w:r>
          </w:p>
          <w:p w14:paraId="5518032B" w14:textId="77777777" w:rsidR="00F960C2" w:rsidRDefault="00000000">
            <w:pPr>
              <w:spacing w:line="264" w:lineRule="auto"/>
            </w:pPr>
            <w:r>
              <w:rPr>
                <w:sz w:val="21"/>
                <w:szCs w:val="21"/>
              </w:rPr>
              <w:t xml:space="preserve">This is the classic late presentation of a missed ACL injury, with a secondary meniscal injury </w:t>
            </w:r>
            <w:proofErr w:type="gramStart"/>
            <w:r>
              <w:rPr>
                <w:sz w:val="21"/>
                <w:szCs w:val="21"/>
              </w:rPr>
              <w:t>at the moment</w:t>
            </w:r>
            <w:proofErr w:type="gramEnd"/>
            <w:r>
              <w:rPr>
                <w:sz w:val="21"/>
                <w:szCs w:val="21"/>
              </w:rPr>
              <w:t xml:space="preserve"> of giving way. Whatever you do or do not find on examination, this knee needs a knee specialist. Between the two swelling episodes you may find only some quadriceps wasting and little else — and that must not reassure you.</w:t>
            </w:r>
          </w:p>
        </w:tc>
      </w:tr>
    </w:tbl>
    <w:p w14:paraId="1861F75D" w14:textId="77777777" w:rsidR="00F960C2" w:rsidRDefault="00F960C2">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2DA88F0F" w14:textId="77777777">
        <w:tblPrEx>
          <w:tblCellMar>
            <w:top w:w="0" w:type="dxa"/>
            <w:bottom w:w="0" w:type="dxa"/>
          </w:tblCellMar>
        </w:tblPrEx>
        <w:tc>
          <w:tcPr>
            <w:tcW w:w="9360" w:type="dxa"/>
            <w:shd w:val="clear" w:color="auto" w:fill="B07410"/>
            <w:tcMar>
              <w:top w:w="90" w:type="dxa"/>
              <w:left w:w="200" w:type="dxa"/>
              <w:bottom w:w="90" w:type="dxa"/>
              <w:right w:w="200" w:type="dxa"/>
            </w:tcMar>
          </w:tcPr>
          <w:p w14:paraId="015B7BC9" w14:textId="77777777" w:rsidR="00F960C2" w:rsidRDefault="00000000">
            <w:r>
              <w:rPr>
                <w:b/>
                <w:bCs/>
                <w:color w:val="FFFFFF"/>
                <w:sz w:val="24"/>
                <w:szCs w:val="24"/>
              </w:rPr>
              <w:t>Case 2 — a 35-year-old man, Monday-morning surgery</w:t>
            </w:r>
          </w:p>
        </w:tc>
      </w:tr>
    </w:tbl>
    <w:p w14:paraId="3684FF67" w14:textId="77777777" w:rsidR="00F960C2" w:rsidRDefault="00F960C2">
      <w:pPr>
        <w:spacing w:after="80"/>
      </w:pPr>
    </w:p>
    <w:p w14:paraId="2746E64D" w14:textId="77777777" w:rsidR="00F960C2" w:rsidRDefault="00000000">
      <w:pPr>
        <w:spacing w:after="140" w:line="276" w:lineRule="auto"/>
      </w:pPr>
      <w:r>
        <w:t>He played football yesterday. As he turned to cross the ball, he felt severe pain on the inside of his left knee and collapsed. For a while the knee felt stuck and he could not stand. It then “unlocked” and he managed to hobble around. Later in the day it began to swell, and overnight it swelled considerably.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5BC1595B"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65FDEBE4" w14:textId="77777777" w:rsidR="00F960C2" w:rsidRDefault="00000000">
            <w:pPr>
              <w:spacing w:after="80"/>
            </w:pPr>
            <w:r>
              <w:rPr>
                <w:b/>
                <w:bCs/>
                <w:color w:val="0A4544"/>
              </w:rPr>
              <w:lastRenderedPageBreak/>
              <w:t>The features that matter</w:t>
            </w:r>
          </w:p>
          <w:p w14:paraId="594F7473" w14:textId="77777777" w:rsidR="00F960C2" w:rsidRDefault="00000000">
            <w:pPr>
              <w:pStyle w:val="ListParagraph"/>
              <w:numPr>
                <w:ilvl w:val="0"/>
                <w:numId w:val="2"/>
              </w:numPr>
              <w:spacing w:after="50" w:line="260" w:lineRule="auto"/>
            </w:pPr>
            <w:r>
              <w:rPr>
                <w:sz w:val="21"/>
                <w:szCs w:val="21"/>
              </w:rPr>
              <w:t>A twisting injury on a bent knee.</w:t>
            </w:r>
          </w:p>
          <w:p w14:paraId="58334BD3" w14:textId="77777777" w:rsidR="00F960C2" w:rsidRDefault="00000000">
            <w:pPr>
              <w:pStyle w:val="ListParagraph"/>
              <w:numPr>
                <w:ilvl w:val="0"/>
                <w:numId w:val="2"/>
              </w:numPr>
              <w:spacing w:after="50" w:line="260" w:lineRule="auto"/>
            </w:pPr>
            <w:r>
              <w:rPr>
                <w:sz w:val="21"/>
                <w:szCs w:val="21"/>
              </w:rPr>
              <w:t>Severe medial knee pain.</w:t>
            </w:r>
          </w:p>
          <w:p w14:paraId="42F0B4A5" w14:textId="77777777" w:rsidR="00F960C2" w:rsidRDefault="00000000">
            <w:pPr>
              <w:pStyle w:val="ListParagraph"/>
              <w:numPr>
                <w:ilvl w:val="0"/>
                <w:numId w:val="2"/>
              </w:numPr>
              <w:spacing w:after="50" w:line="260" w:lineRule="auto"/>
            </w:pPr>
            <w:r>
              <w:rPr>
                <w:sz w:val="21"/>
                <w:szCs w:val="21"/>
              </w:rPr>
              <w:t>The knee locked for a time.</w:t>
            </w:r>
          </w:p>
          <w:p w14:paraId="274EF35D" w14:textId="77777777" w:rsidR="00F960C2" w:rsidRDefault="00000000">
            <w:pPr>
              <w:pStyle w:val="ListParagraph"/>
              <w:numPr>
                <w:ilvl w:val="0"/>
                <w:numId w:val="2"/>
              </w:numPr>
              <w:spacing w:after="50" w:line="260" w:lineRule="auto"/>
            </w:pPr>
            <w:r>
              <w:rPr>
                <w:sz w:val="21"/>
                <w:szCs w:val="21"/>
              </w:rPr>
              <w:t>Slow, overnight swelling (an effusion).</w:t>
            </w:r>
          </w:p>
          <w:p w14:paraId="1ADAECF6" w14:textId="77777777" w:rsidR="00F960C2" w:rsidRDefault="00000000">
            <w:pPr>
              <w:pStyle w:val="ListParagraph"/>
              <w:numPr>
                <w:ilvl w:val="0"/>
                <w:numId w:val="2"/>
              </w:numPr>
              <w:spacing w:line="260" w:lineRule="auto"/>
            </w:pPr>
            <w:r>
              <w:rPr>
                <w:sz w:val="21"/>
                <w:szCs w:val="21"/>
              </w:rPr>
              <w:t>Could hobble afterwards.</w:t>
            </w:r>
          </w:p>
        </w:tc>
      </w:tr>
      <w:tr w:rsidR="00F960C2" w14:paraId="41CCCDAE" w14:textId="77777777">
        <w:tblPrEx>
          <w:tblCellMar>
            <w:top w:w="0" w:type="dxa"/>
            <w:bottom w:w="0" w:type="dxa"/>
          </w:tblCellMar>
        </w:tblPrEx>
        <w:trPr>
          <w:cantSplit/>
        </w:trPr>
        <w:tc>
          <w:tcPr>
            <w:tcW w:w="9360" w:type="dxa"/>
            <w:tcBorders>
              <w:top w:val="single" w:sz="2" w:space="0" w:color="2E7D32"/>
              <w:left w:val="single" w:sz="28" w:space="0" w:color="2E7D32"/>
              <w:bottom w:val="single" w:sz="2" w:space="0" w:color="2E7D32"/>
              <w:right w:val="single" w:sz="2" w:space="0" w:color="2E7D32"/>
            </w:tcBorders>
            <w:shd w:val="clear" w:color="auto" w:fill="E3F2E4"/>
            <w:tcMar>
              <w:top w:w="130" w:type="dxa"/>
              <w:left w:w="240" w:type="dxa"/>
              <w:bottom w:w="130" w:type="dxa"/>
              <w:right w:w="220" w:type="dxa"/>
            </w:tcMar>
          </w:tcPr>
          <w:p w14:paraId="238DD68C" w14:textId="77777777" w:rsidR="00F960C2" w:rsidRDefault="00000000">
            <w:pPr>
              <w:spacing w:after="80"/>
            </w:pPr>
            <w:r>
              <w:rPr>
                <w:b/>
                <w:bCs/>
                <w:color w:val="1E5E22"/>
              </w:rPr>
              <w:t>Diagnosis: medial meniscal tear</w:t>
            </w:r>
          </w:p>
          <w:p w14:paraId="136C6E36" w14:textId="77777777" w:rsidR="00F960C2" w:rsidRDefault="00000000">
            <w:pPr>
              <w:spacing w:line="264" w:lineRule="auto"/>
            </w:pPr>
            <w:r>
              <w:rPr>
                <w:sz w:val="21"/>
                <w:szCs w:val="21"/>
              </w:rPr>
              <w:t xml:space="preserve">A knee that truly locks suggests a loose body — here, very likely a torn flap of medial meniscus. On examination you may find only the effusion and medial joint-line tenderness. Refer to the acute knee </w:t>
            </w:r>
            <w:proofErr w:type="gramStart"/>
            <w:r>
              <w:rPr>
                <w:sz w:val="21"/>
                <w:szCs w:val="21"/>
              </w:rPr>
              <w:t>clinic:</w:t>
            </w:r>
            <w:proofErr w:type="gramEnd"/>
            <w:r>
              <w:rPr>
                <w:sz w:val="21"/>
                <w:szCs w:val="21"/>
              </w:rPr>
              <w:t xml:space="preserve"> caught early, some meniscal tears can be repaired with good results.</w:t>
            </w:r>
          </w:p>
        </w:tc>
      </w:tr>
      <w:tr w:rsidR="00F960C2" w14:paraId="06E46323" w14:textId="77777777">
        <w:tblPrEx>
          <w:tblCellMar>
            <w:top w:w="0" w:type="dxa"/>
            <w:bottom w:w="0" w:type="dxa"/>
          </w:tblCellMar>
        </w:tblPrEx>
        <w:trPr>
          <w:cantSplit/>
        </w:trPr>
        <w:tc>
          <w:tcPr>
            <w:tcW w:w="9360" w:type="dxa"/>
            <w:tcBorders>
              <w:top w:val="single" w:sz="2" w:space="0" w:color="B07410"/>
              <w:left w:val="single" w:sz="28" w:space="0" w:color="B07410"/>
              <w:bottom w:val="single" w:sz="2" w:space="0" w:color="B07410"/>
              <w:right w:val="single" w:sz="2" w:space="0" w:color="B07410"/>
            </w:tcBorders>
            <w:shd w:val="clear" w:color="auto" w:fill="F5E9D6"/>
            <w:tcMar>
              <w:top w:w="130" w:type="dxa"/>
              <w:left w:w="240" w:type="dxa"/>
              <w:bottom w:w="130" w:type="dxa"/>
              <w:right w:w="220" w:type="dxa"/>
            </w:tcMar>
          </w:tcPr>
          <w:p w14:paraId="68FB71A9" w14:textId="77777777" w:rsidR="00F960C2" w:rsidRDefault="00000000">
            <w:pPr>
              <w:spacing w:after="80"/>
            </w:pPr>
            <w:r>
              <w:rPr>
                <w:b/>
                <w:bCs/>
                <w:color w:val="8A5A0C"/>
              </w:rPr>
              <w:t>A saying worth remembering</w:t>
            </w:r>
          </w:p>
          <w:p w14:paraId="11445E5A" w14:textId="77777777" w:rsidR="00F960C2" w:rsidRDefault="00000000">
            <w:pPr>
              <w:spacing w:line="264" w:lineRule="auto"/>
            </w:pPr>
            <w:r>
              <w:rPr>
                <w:sz w:val="21"/>
                <w:szCs w:val="21"/>
              </w:rPr>
              <w:t>Among sports clinicians there is a phrase: football is not so much a sport as a knee disease. Many activities injure the knee, but football provides more than its share.</w:t>
            </w:r>
          </w:p>
        </w:tc>
      </w:tr>
    </w:tbl>
    <w:p w14:paraId="02BBF149" w14:textId="77777777" w:rsidR="00F960C2" w:rsidRDefault="00000000">
      <w:r>
        <w:br w:type="page"/>
      </w:r>
    </w:p>
    <w:p w14:paraId="7F244080" w14:textId="77777777" w:rsidR="00F960C2" w:rsidRDefault="00F960C2">
      <w:pPr>
        <w:pStyle w:val="Heading1"/>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8600"/>
      </w:tblGrid>
      <w:tr w:rsidR="00F960C2" w14:paraId="1C7DBADA" w14:textId="77777777">
        <w:tblPrEx>
          <w:tblCellMar>
            <w:top w:w="0" w:type="dxa"/>
            <w:bottom w:w="0" w:type="dxa"/>
          </w:tblCellMar>
        </w:tblPrEx>
        <w:tc>
          <w:tcPr>
            <w:tcW w:w="760" w:type="dxa"/>
            <w:tcBorders>
              <w:top w:val="none" w:sz="0" w:space="0" w:color="FFFFFF"/>
              <w:left w:val="none" w:sz="0" w:space="0" w:color="FFFFFF"/>
              <w:bottom w:val="none" w:sz="0" w:space="0" w:color="FFFFFF"/>
              <w:right w:val="none" w:sz="0" w:space="0" w:color="FFFFFF"/>
            </w:tcBorders>
            <w:shd w:val="clear" w:color="auto" w:fill="B07410"/>
            <w:tcMar>
              <w:top w:w="60" w:type="dxa"/>
              <w:left w:w="40" w:type="dxa"/>
              <w:bottom w:w="60" w:type="dxa"/>
              <w:right w:w="40" w:type="dxa"/>
            </w:tcMar>
            <w:vAlign w:val="center"/>
          </w:tcPr>
          <w:p w14:paraId="2CCB7D8B" w14:textId="77777777" w:rsidR="00F960C2" w:rsidRDefault="00000000">
            <w:pPr>
              <w:jc w:val="center"/>
            </w:pPr>
            <w:r>
              <w:rPr>
                <w:b/>
                <w:bCs/>
                <w:color w:val="FFFFFF"/>
                <w:sz w:val="30"/>
                <w:szCs w:val="30"/>
              </w:rPr>
              <w:t>9</w:t>
            </w:r>
          </w:p>
        </w:tc>
        <w:tc>
          <w:tcPr>
            <w:tcW w:w="8600" w:type="dxa"/>
            <w:tcBorders>
              <w:top w:val="none" w:sz="0" w:space="0" w:color="FFFFFF"/>
              <w:left w:val="none" w:sz="0" w:space="0" w:color="FFFFFF"/>
              <w:bottom w:val="none" w:sz="0" w:space="0" w:color="FFFFFF"/>
              <w:right w:val="none" w:sz="0" w:space="0" w:color="FFFFFF"/>
            </w:tcBorders>
            <w:shd w:val="clear" w:color="auto" w:fill="0E5C5B"/>
            <w:tcMar>
              <w:top w:w="60" w:type="dxa"/>
              <w:left w:w="220" w:type="dxa"/>
              <w:bottom w:w="60" w:type="dxa"/>
              <w:right w:w="160" w:type="dxa"/>
            </w:tcMar>
            <w:vAlign w:val="center"/>
          </w:tcPr>
          <w:p w14:paraId="159BFE76" w14:textId="77777777" w:rsidR="00F960C2" w:rsidRDefault="00000000">
            <w:r>
              <w:rPr>
                <w:b/>
                <w:bCs/>
                <w:color w:val="FFFFFF"/>
                <w:sz w:val="26"/>
                <w:szCs w:val="26"/>
              </w:rPr>
              <w:t>Remember This — Key Takeaways</w:t>
            </w:r>
          </w:p>
        </w:tc>
      </w:tr>
    </w:tbl>
    <w:p w14:paraId="1E7609B3" w14:textId="77777777" w:rsidR="00F960C2" w:rsidRDefault="00F960C2">
      <w:pPr>
        <w:spacing w:after="120"/>
      </w:pPr>
    </w:p>
    <w:p w14:paraId="315EDCF6" w14:textId="77777777" w:rsidR="00F960C2" w:rsidRDefault="00000000">
      <w:pPr>
        <w:spacing w:after="160" w:line="288" w:lineRule="auto"/>
      </w:pPr>
      <w:r>
        <w:rPr>
          <w:i/>
          <w:iCs/>
          <w:color w:val="5F5F5F"/>
          <w:sz w:val="23"/>
          <w:szCs w:val="23"/>
        </w:rPr>
        <w:t>If you remember nothing else, remember these.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62481112"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1F4FA768" w14:textId="77777777" w:rsidR="00F960C2" w:rsidRDefault="00000000">
            <w:pPr>
              <w:spacing w:after="80"/>
            </w:pPr>
            <w:r>
              <w:rPr>
                <w:b/>
                <w:bCs/>
                <w:color w:val="0A4544"/>
              </w:rPr>
              <w:t>The five golden points</w:t>
            </w:r>
          </w:p>
          <w:p w14:paraId="4DD5F2AF" w14:textId="77777777" w:rsidR="00F960C2" w:rsidRDefault="00000000">
            <w:pPr>
              <w:pStyle w:val="ListParagraph"/>
              <w:numPr>
                <w:ilvl w:val="0"/>
                <w:numId w:val="2"/>
              </w:numPr>
              <w:spacing w:after="50" w:line="260" w:lineRule="auto"/>
            </w:pPr>
            <w:r>
              <w:rPr>
                <w:sz w:val="21"/>
                <w:szCs w:val="21"/>
              </w:rPr>
              <w:t>The history makes the diagnosis. The examination only confirms it.</w:t>
            </w:r>
          </w:p>
          <w:p w14:paraId="23CBFC5E" w14:textId="77777777" w:rsidR="00F960C2" w:rsidRDefault="00000000">
            <w:pPr>
              <w:pStyle w:val="ListParagraph"/>
              <w:numPr>
                <w:ilvl w:val="0"/>
                <w:numId w:val="2"/>
              </w:numPr>
              <w:spacing w:after="50" w:line="260" w:lineRule="auto"/>
            </w:pPr>
            <w:r>
              <w:rPr>
                <w:sz w:val="21"/>
                <w:szCs w:val="21"/>
              </w:rPr>
              <w:t>A normal-looking knee never cancels a worrying story. If it sounds like an ACL, refer.</w:t>
            </w:r>
          </w:p>
          <w:p w14:paraId="639D5EFD" w14:textId="77777777" w:rsidR="00F960C2" w:rsidRDefault="00000000">
            <w:pPr>
              <w:pStyle w:val="ListParagraph"/>
              <w:numPr>
                <w:ilvl w:val="0"/>
                <w:numId w:val="2"/>
              </w:numPr>
              <w:spacing w:after="50" w:line="260" w:lineRule="auto"/>
            </w:pPr>
            <w:r>
              <w:rPr>
                <w:sz w:val="21"/>
                <w:szCs w:val="21"/>
              </w:rPr>
              <w:t>Speed of swelling is your best single clue: fast = blood (serious); overnight = fluid (meniscus); slow/none = overuse.</w:t>
            </w:r>
          </w:p>
          <w:p w14:paraId="2751FCA2" w14:textId="77777777" w:rsidR="00F960C2" w:rsidRDefault="00000000">
            <w:pPr>
              <w:pStyle w:val="ListParagraph"/>
              <w:numPr>
                <w:ilvl w:val="0"/>
                <w:numId w:val="2"/>
              </w:numPr>
              <w:spacing w:after="50" w:line="260" w:lineRule="auto"/>
            </w:pPr>
            <w:r>
              <w:rPr>
                <w:sz w:val="21"/>
                <w:szCs w:val="21"/>
              </w:rPr>
              <w:t>Use the Ottawa Knee Rules to decide on an X-ray — and remember it only checks the bone.</w:t>
            </w:r>
          </w:p>
          <w:p w14:paraId="0F559BD6" w14:textId="77777777" w:rsidR="00F960C2" w:rsidRDefault="00000000">
            <w:pPr>
              <w:pStyle w:val="ListParagraph"/>
              <w:numPr>
                <w:ilvl w:val="0"/>
                <w:numId w:val="2"/>
              </w:numPr>
              <w:spacing w:line="260" w:lineRule="auto"/>
            </w:pPr>
            <w:r>
              <w:rPr>
                <w:sz w:val="21"/>
                <w:szCs w:val="21"/>
              </w:rPr>
              <w:t>An effusion is never normal — it always means something happened inside the joint.</w:t>
            </w:r>
          </w:p>
        </w:tc>
      </w:tr>
    </w:tbl>
    <w:p w14:paraId="01C3BF74" w14:textId="77777777" w:rsidR="00F960C2" w:rsidRDefault="00F960C2">
      <w:pPr>
        <w:spacing w:after="60"/>
      </w:pPr>
    </w:p>
    <w:p w14:paraId="4D94656F" w14:textId="77777777" w:rsidR="00F960C2" w:rsidRDefault="00000000">
      <w:pPr>
        <w:pBdr>
          <w:bottom w:val="single" w:sz="6" w:space="3" w:color="0E5C5B"/>
        </w:pBdr>
        <w:spacing w:before="200" w:after="90"/>
      </w:pPr>
      <w:r>
        <w:rPr>
          <w:b/>
          <w:bCs/>
          <w:color w:val="0E5C5B"/>
          <w:sz w:val="24"/>
          <w:szCs w:val="24"/>
        </w:rPr>
        <w:t>Quick-recall mnemonics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036BF7AA" w14:textId="77777777">
        <w:tblPrEx>
          <w:tblCellMar>
            <w:top w:w="0" w:type="dxa"/>
            <w:bottom w:w="0" w:type="dxa"/>
          </w:tblCellMar>
        </w:tblPrEx>
        <w:trPr>
          <w:cantSplit/>
        </w:trPr>
        <w:tc>
          <w:tcPr>
            <w:tcW w:w="9360" w:type="dxa"/>
            <w:tcBorders>
              <w:top w:val="single" w:sz="2" w:space="0" w:color="B07410"/>
              <w:left w:val="single" w:sz="28" w:space="0" w:color="B07410"/>
              <w:bottom w:val="single" w:sz="2" w:space="0" w:color="B07410"/>
              <w:right w:val="single" w:sz="2" w:space="0" w:color="B07410"/>
            </w:tcBorders>
            <w:shd w:val="clear" w:color="auto" w:fill="F5E9D6"/>
            <w:tcMar>
              <w:top w:w="130" w:type="dxa"/>
              <w:left w:w="240" w:type="dxa"/>
              <w:bottom w:w="130" w:type="dxa"/>
              <w:right w:w="220" w:type="dxa"/>
            </w:tcMar>
          </w:tcPr>
          <w:p w14:paraId="5104382E" w14:textId="77777777" w:rsidR="00F960C2" w:rsidRDefault="00000000">
            <w:pPr>
              <w:spacing w:after="80"/>
            </w:pPr>
            <w:r>
              <w:rPr>
                <w:b/>
                <w:bCs/>
                <w:color w:val="8A5A0C"/>
              </w:rPr>
              <w:t>Carry these two with you</w:t>
            </w:r>
          </w:p>
          <w:p w14:paraId="29EC19EC" w14:textId="77777777" w:rsidR="00F960C2" w:rsidRDefault="00000000">
            <w:pPr>
              <w:spacing w:after="70" w:line="264" w:lineRule="auto"/>
            </w:pPr>
            <w:r>
              <w:rPr>
                <w:b/>
                <w:bCs/>
                <w:color w:val="8A5A0C"/>
              </w:rPr>
              <w:t xml:space="preserve">The 6 </w:t>
            </w:r>
            <w:proofErr w:type="gramStart"/>
            <w:r>
              <w:rPr>
                <w:b/>
                <w:bCs/>
                <w:color w:val="8A5A0C"/>
              </w:rPr>
              <w:t>S’s</w:t>
            </w:r>
            <w:proofErr w:type="gramEnd"/>
            <w:r>
              <w:rPr>
                <w:b/>
                <w:bCs/>
                <w:color w:val="8A5A0C"/>
              </w:rPr>
              <w:t xml:space="preserve"> of the history: </w:t>
            </w:r>
            <w:r>
              <w:t>Sound · Swelling · Stop-or-stay · Stability · Stuck · Site.</w:t>
            </w:r>
          </w:p>
          <w:p w14:paraId="61AB4B13" w14:textId="77777777" w:rsidR="00F960C2" w:rsidRDefault="00000000">
            <w:pPr>
              <w:spacing w:line="264" w:lineRule="auto"/>
            </w:pPr>
            <w:r>
              <w:rPr>
                <w:b/>
                <w:bCs/>
                <w:color w:val="8A5A0C"/>
              </w:rPr>
              <w:t xml:space="preserve">The car-crash sizes: </w:t>
            </w:r>
            <w:r>
              <w:t>ACL = major · Meniscus = moderate · Patellofemoral = minor.</w:t>
            </w:r>
          </w:p>
        </w:tc>
      </w:tr>
    </w:tbl>
    <w:p w14:paraId="6008ED7A" w14:textId="77777777" w:rsidR="00F960C2" w:rsidRDefault="00F960C2">
      <w:pPr>
        <w:spacing w:after="60"/>
      </w:pPr>
    </w:p>
    <w:p w14:paraId="518B4E6A" w14:textId="77777777" w:rsidR="00F960C2" w:rsidRDefault="00000000">
      <w:pPr>
        <w:pBdr>
          <w:bottom w:val="single" w:sz="6" w:space="3" w:color="0E5C5B"/>
        </w:pBdr>
        <w:spacing w:before="200" w:after="90"/>
      </w:pPr>
      <w:r>
        <w:rPr>
          <w:b/>
          <w:bCs/>
          <w:color w:val="0E5C5B"/>
          <w:sz w:val="24"/>
          <w:szCs w:val="24"/>
        </w:rPr>
        <w:t>One-line summaries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F960C2" w14:paraId="3284EF83" w14:textId="77777777">
        <w:tblPrEx>
          <w:tblCellMar>
            <w:top w:w="0" w:type="dxa"/>
            <w:bottom w:w="0" w:type="dxa"/>
          </w:tblCellMar>
        </w:tblPrEx>
        <w:trPr>
          <w:tblHeader/>
        </w:trPr>
        <w:tc>
          <w:tcPr>
            <w:tcW w:w="240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684C2454" w14:textId="77777777" w:rsidR="00F960C2" w:rsidRDefault="00000000">
            <w:r>
              <w:rPr>
                <w:b/>
                <w:bCs/>
                <w:color w:val="FFFFFF"/>
                <w:sz w:val="21"/>
                <w:szCs w:val="21"/>
              </w:rPr>
              <w:t>Pattern</w:t>
            </w:r>
          </w:p>
        </w:tc>
        <w:tc>
          <w:tcPr>
            <w:tcW w:w="696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4C1A92F7" w14:textId="77777777" w:rsidR="00F960C2" w:rsidRDefault="00000000">
            <w:r>
              <w:rPr>
                <w:b/>
                <w:bCs/>
                <w:color w:val="FFFFFF"/>
                <w:sz w:val="21"/>
                <w:szCs w:val="21"/>
              </w:rPr>
              <w:t>Remember it as…</w:t>
            </w:r>
          </w:p>
        </w:tc>
      </w:tr>
      <w:tr w:rsidR="00F960C2" w14:paraId="3A9F06F2" w14:textId="77777777">
        <w:tblPrEx>
          <w:tblCellMar>
            <w:top w:w="0" w:type="dxa"/>
            <w:bottom w:w="0" w:type="dxa"/>
          </w:tblCellMar>
        </w:tblPrEx>
        <w:tc>
          <w:tcPr>
            <w:tcW w:w="24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30E55001" w14:textId="77777777" w:rsidR="00F960C2" w:rsidRDefault="00000000">
            <w:pPr>
              <w:spacing w:line="256" w:lineRule="auto"/>
            </w:pPr>
            <w:r>
              <w:rPr>
                <w:b/>
                <w:bCs/>
                <w:color w:val="C0392B"/>
                <w:sz w:val="21"/>
                <w:szCs w:val="21"/>
              </w:rPr>
              <w:t>ACL rupture</w:t>
            </w:r>
          </w:p>
        </w:tc>
        <w:tc>
          <w:tcPr>
            <w:tcW w:w="69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683B00EA" w14:textId="77777777" w:rsidR="00F960C2" w:rsidRDefault="00000000">
            <w:pPr>
              <w:spacing w:line="256" w:lineRule="auto"/>
            </w:pPr>
            <w:r>
              <w:rPr>
                <w:sz w:val="21"/>
                <w:szCs w:val="21"/>
              </w:rPr>
              <w:t>Pop, fast swell, couldn’t continue, gives way on turning → acute knee clinic.</w:t>
            </w:r>
          </w:p>
        </w:tc>
      </w:tr>
      <w:tr w:rsidR="00F960C2" w14:paraId="3465D5E1" w14:textId="77777777">
        <w:tblPrEx>
          <w:tblCellMar>
            <w:top w:w="0" w:type="dxa"/>
            <w:bottom w:w="0" w:type="dxa"/>
          </w:tblCellMar>
        </w:tblPrEx>
        <w:tc>
          <w:tcPr>
            <w:tcW w:w="24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01DA4803" w14:textId="77777777" w:rsidR="00F960C2" w:rsidRDefault="00000000">
            <w:pPr>
              <w:spacing w:line="256" w:lineRule="auto"/>
            </w:pPr>
            <w:r>
              <w:rPr>
                <w:b/>
                <w:bCs/>
                <w:color w:val="8A5A0C"/>
                <w:sz w:val="21"/>
                <w:szCs w:val="21"/>
              </w:rPr>
              <w:t>Meniscal tear</w:t>
            </w:r>
          </w:p>
        </w:tc>
        <w:tc>
          <w:tcPr>
            <w:tcW w:w="69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2E094341" w14:textId="77777777" w:rsidR="00F960C2" w:rsidRDefault="00000000">
            <w:pPr>
              <w:spacing w:line="256" w:lineRule="auto"/>
            </w:pPr>
            <w:r>
              <w:rPr>
                <w:sz w:val="21"/>
                <w:szCs w:val="21"/>
              </w:rPr>
              <w:t>Twist, lock, medial line, overnight swell → knee clinic if young/locked; physio if older/gradual.</w:t>
            </w:r>
          </w:p>
        </w:tc>
      </w:tr>
      <w:tr w:rsidR="00F960C2" w14:paraId="7CBBBDCA" w14:textId="77777777">
        <w:tblPrEx>
          <w:tblCellMar>
            <w:top w:w="0" w:type="dxa"/>
            <w:bottom w:w="0" w:type="dxa"/>
          </w:tblCellMar>
        </w:tblPrEx>
        <w:tc>
          <w:tcPr>
            <w:tcW w:w="24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41CAEB3C" w14:textId="77777777" w:rsidR="00F960C2" w:rsidRDefault="00000000">
            <w:pPr>
              <w:spacing w:line="256" w:lineRule="auto"/>
            </w:pPr>
            <w:r>
              <w:rPr>
                <w:b/>
                <w:bCs/>
                <w:color w:val="1E5E22"/>
                <w:sz w:val="21"/>
                <w:szCs w:val="21"/>
              </w:rPr>
              <w:t>Patellofemoral</w:t>
            </w:r>
          </w:p>
        </w:tc>
        <w:tc>
          <w:tcPr>
            <w:tcW w:w="69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20AF361D" w14:textId="77777777" w:rsidR="00F960C2" w:rsidRDefault="00000000">
            <w:pPr>
              <w:spacing w:line="256" w:lineRule="auto"/>
            </w:pPr>
            <w:r>
              <w:rPr>
                <w:sz w:val="21"/>
                <w:szCs w:val="21"/>
              </w:rPr>
              <w:t>Front-of-knee ache, worse downstairs and after sitting → physiotherapy and exercise.</w:t>
            </w:r>
          </w:p>
        </w:tc>
      </w:tr>
      <w:tr w:rsidR="00F960C2" w14:paraId="0DDB5AEF" w14:textId="77777777">
        <w:tblPrEx>
          <w:tblCellMar>
            <w:top w:w="0" w:type="dxa"/>
            <w:bottom w:w="0" w:type="dxa"/>
          </w:tblCellMar>
        </w:tblPrEx>
        <w:tc>
          <w:tcPr>
            <w:tcW w:w="24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496CE49F" w14:textId="77777777" w:rsidR="00F960C2" w:rsidRDefault="00000000">
            <w:pPr>
              <w:spacing w:line="256" w:lineRule="auto"/>
            </w:pPr>
            <w:r>
              <w:rPr>
                <w:b/>
                <w:bCs/>
                <w:sz w:val="21"/>
                <w:szCs w:val="21"/>
              </w:rPr>
              <w:t>MCL injury</w:t>
            </w:r>
          </w:p>
        </w:tc>
        <w:tc>
          <w:tcPr>
            <w:tcW w:w="69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718B7383" w14:textId="77777777" w:rsidR="00F960C2" w:rsidRDefault="00000000">
            <w:pPr>
              <w:spacing w:line="256" w:lineRule="auto"/>
            </w:pPr>
            <w:r>
              <w:rPr>
                <w:sz w:val="21"/>
                <w:szCs w:val="21"/>
              </w:rPr>
              <w:t>Valgus blow, tender over the condyle (not the joint line), heals well → conservative.</w:t>
            </w:r>
          </w:p>
        </w:tc>
      </w:tr>
    </w:tbl>
    <w:p w14:paraId="333C3D7F" w14:textId="77777777" w:rsidR="00F960C2" w:rsidRDefault="00000000">
      <w:r>
        <w:br w:type="page"/>
      </w:r>
    </w:p>
    <w:p w14:paraId="290FED3B" w14:textId="77777777" w:rsidR="00F960C2" w:rsidRDefault="00F960C2">
      <w:pPr>
        <w:pStyle w:val="Heading1"/>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8600"/>
      </w:tblGrid>
      <w:tr w:rsidR="00F960C2" w14:paraId="52C661FC" w14:textId="77777777">
        <w:tblPrEx>
          <w:tblCellMar>
            <w:top w:w="0" w:type="dxa"/>
            <w:bottom w:w="0" w:type="dxa"/>
          </w:tblCellMar>
        </w:tblPrEx>
        <w:tc>
          <w:tcPr>
            <w:tcW w:w="760" w:type="dxa"/>
            <w:tcBorders>
              <w:top w:val="none" w:sz="0" w:space="0" w:color="FFFFFF"/>
              <w:left w:val="none" w:sz="0" w:space="0" w:color="FFFFFF"/>
              <w:bottom w:val="none" w:sz="0" w:space="0" w:color="FFFFFF"/>
              <w:right w:val="none" w:sz="0" w:space="0" w:color="FFFFFF"/>
            </w:tcBorders>
            <w:shd w:val="clear" w:color="auto" w:fill="B07410"/>
            <w:tcMar>
              <w:top w:w="60" w:type="dxa"/>
              <w:left w:w="40" w:type="dxa"/>
              <w:bottom w:w="60" w:type="dxa"/>
              <w:right w:w="40" w:type="dxa"/>
            </w:tcMar>
            <w:vAlign w:val="center"/>
          </w:tcPr>
          <w:p w14:paraId="630CBDD5" w14:textId="77777777" w:rsidR="00F960C2" w:rsidRDefault="00000000">
            <w:pPr>
              <w:jc w:val="center"/>
            </w:pPr>
            <w:r>
              <w:rPr>
                <w:b/>
                <w:bCs/>
                <w:color w:val="FFFFFF"/>
                <w:sz w:val="30"/>
                <w:szCs w:val="30"/>
              </w:rPr>
              <w:t>10</w:t>
            </w:r>
          </w:p>
        </w:tc>
        <w:tc>
          <w:tcPr>
            <w:tcW w:w="8600" w:type="dxa"/>
            <w:tcBorders>
              <w:top w:val="none" w:sz="0" w:space="0" w:color="FFFFFF"/>
              <w:left w:val="none" w:sz="0" w:space="0" w:color="FFFFFF"/>
              <w:bottom w:val="none" w:sz="0" w:space="0" w:color="FFFFFF"/>
              <w:right w:val="none" w:sz="0" w:space="0" w:color="FFFFFF"/>
            </w:tcBorders>
            <w:shd w:val="clear" w:color="auto" w:fill="0E5C5B"/>
            <w:tcMar>
              <w:top w:w="60" w:type="dxa"/>
              <w:left w:w="220" w:type="dxa"/>
              <w:bottom w:w="60" w:type="dxa"/>
              <w:right w:w="160" w:type="dxa"/>
            </w:tcMar>
            <w:vAlign w:val="center"/>
          </w:tcPr>
          <w:p w14:paraId="7ADB8691" w14:textId="77777777" w:rsidR="00F960C2" w:rsidRDefault="00000000">
            <w:r>
              <w:rPr>
                <w:b/>
                <w:bCs/>
                <w:color w:val="FFFFFF"/>
                <w:sz w:val="26"/>
                <w:szCs w:val="26"/>
              </w:rPr>
              <w:t>Appendix — What We Updated, and Why</w:t>
            </w:r>
          </w:p>
        </w:tc>
      </w:tr>
    </w:tbl>
    <w:p w14:paraId="1FA9DD63" w14:textId="77777777" w:rsidR="00F960C2" w:rsidRDefault="00F960C2">
      <w:pPr>
        <w:spacing w:after="120"/>
      </w:pPr>
    </w:p>
    <w:p w14:paraId="529ED476" w14:textId="77777777" w:rsidR="00F960C2" w:rsidRDefault="00000000">
      <w:pPr>
        <w:spacing w:after="160" w:line="288" w:lineRule="auto"/>
      </w:pPr>
      <w:r>
        <w:rPr>
          <w:i/>
          <w:iCs/>
          <w:color w:val="5F5F5F"/>
          <w:sz w:val="23"/>
          <w:szCs w:val="23"/>
        </w:rPr>
        <w:t>This guide combines and modernises two older Bradford VTS knee documents. In line with our standard of clinical transparency, every change made for clinical accuracy is listed here with its source, so it can be checked.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00"/>
        <w:gridCol w:w="3700"/>
        <w:gridCol w:w="2560"/>
      </w:tblGrid>
      <w:tr w:rsidR="00F960C2" w14:paraId="4C404AEA" w14:textId="77777777">
        <w:tblPrEx>
          <w:tblCellMar>
            <w:top w:w="0" w:type="dxa"/>
            <w:bottom w:w="0" w:type="dxa"/>
          </w:tblCellMar>
        </w:tblPrEx>
        <w:trPr>
          <w:tblHeader/>
        </w:trPr>
        <w:tc>
          <w:tcPr>
            <w:tcW w:w="310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3249A73B" w14:textId="77777777" w:rsidR="00F960C2" w:rsidRDefault="00000000">
            <w:r>
              <w:rPr>
                <w:b/>
                <w:bCs/>
                <w:color w:val="FFFFFF"/>
                <w:sz w:val="21"/>
                <w:szCs w:val="21"/>
              </w:rPr>
              <w:t>Original content</w:t>
            </w:r>
          </w:p>
        </w:tc>
        <w:tc>
          <w:tcPr>
            <w:tcW w:w="370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4EA15FA5" w14:textId="77777777" w:rsidR="00F960C2" w:rsidRDefault="00000000">
            <w:r>
              <w:rPr>
                <w:b/>
                <w:bCs/>
                <w:color w:val="FFFFFF"/>
                <w:sz w:val="21"/>
                <w:szCs w:val="21"/>
              </w:rPr>
              <w:t>Update made</w:t>
            </w:r>
          </w:p>
        </w:tc>
        <w:tc>
          <w:tcPr>
            <w:tcW w:w="2560" w:type="dxa"/>
            <w:tcBorders>
              <w:top w:val="single" w:sz="1" w:space="0" w:color="FFFFFF"/>
              <w:left w:val="single" w:sz="1" w:space="0" w:color="FFFFFF"/>
              <w:bottom w:val="single" w:sz="1" w:space="0" w:color="FFFFFF"/>
              <w:right w:val="single" w:sz="1" w:space="0" w:color="FFFFFF"/>
            </w:tcBorders>
            <w:shd w:val="clear" w:color="auto" w:fill="0E5C5B"/>
            <w:tcMar>
              <w:top w:w="80" w:type="dxa"/>
              <w:left w:w="130" w:type="dxa"/>
              <w:bottom w:w="80" w:type="dxa"/>
              <w:right w:w="130" w:type="dxa"/>
            </w:tcMar>
            <w:vAlign w:val="center"/>
          </w:tcPr>
          <w:p w14:paraId="1FDF1549" w14:textId="77777777" w:rsidR="00F960C2" w:rsidRDefault="00000000">
            <w:r>
              <w:rPr>
                <w:b/>
                <w:bCs/>
                <w:color w:val="FFFFFF"/>
                <w:sz w:val="21"/>
                <w:szCs w:val="21"/>
              </w:rPr>
              <w:t>Source</w:t>
            </w:r>
          </w:p>
        </w:tc>
      </w:tr>
      <w:tr w:rsidR="00F960C2" w14:paraId="4F91B208" w14:textId="77777777">
        <w:tblPrEx>
          <w:tblCellMar>
            <w:top w:w="0" w:type="dxa"/>
            <w:bottom w:w="0" w:type="dxa"/>
          </w:tblCellMar>
        </w:tblPrEx>
        <w:tc>
          <w:tcPr>
            <w:tcW w:w="31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5986D217" w14:textId="77777777" w:rsidR="00F960C2" w:rsidRDefault="00000000">
            <w:pPr>
              <w:spacing w:line="256" w:lineRule="auto"/>
            </w:pPr>
            <w:proofErr w:type="spellStart"/>
            <w:r>
              <w:rPr>
                <w:sz w:val="21"/>
                <w:szCs w:val="21"/>
              </w:rPr>
              <w:t>Haemarthrosis</w:t>
            </w:r>
            <w:proofErr w:type="spellEnd"/>
            <w:r>
              <w:rPr>
                <w:sz w:val="21"/>
                <w:szCs w:val="21"/>
              </w:rPr>
              <w:t xml:space="preserve"> = rapid swelling “&lt; 8 hours” (and “&lt; 24 h” in the second document)</w:t>
            </w:r>
          </w:p>
        </w:tc>
        <w:tc>
          <w:tcPr>
            <w:tcW w:w="37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2436A974" w14:textId="77777777" w:rsidR="00F960C2" w:rsidRDefault="00000000">
            <w:pPr>
              <w:spacing w:line="256" w:lineRule="auto"/>
            </w:pPr>
            <w:r>
              <w:rPr>
                <w:sz w:val="21"/>
                <w:szCs w:val="21"/>
              </w:rPr>
              <w:t xml:space="preserve">Standardised to NICE timings: rapid swelling 0–2 h = </w:t>
            </w:r>
            <w:proofErr w:type="spellStart"/>
            <w:r>
              <w:rPr>
                <w:sz w:val="21"/>
                <w:szCs w:val="21"/>
              </w:rPr>
              <w:t>haemarthrosis</w:t>
            </w:r>
            <w:proofErr w:type="spellEnd"/>
            <w:r>
              <w:rPr>
                <w:sz w:val="21"/>
                <w:szCs w:val="21"/>
              </w:rPr>
              <w:t>; gradual 6–24 h = effusion</w:t>
            </w:r>
          </w:p>
        </w:tc>
        <w:tc>
          <w:tcPr>
            <w:tcW w:w="25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600F8C99" w14:textId="77777777" w:rsidR="00F960C2" w:rsidRDefault="00000000">
            <w:pPr>
              <w:spacing w:line="256" w:lineRule="auto"/>
            </w:pPr>
            <w:r>
              <w:rPr>
                <w:sz w:val="21"/>
                <w:szCs w:val="21"/>
              </w:rPr>
              <w:t>NICE CKS, Knee pain – assessment (2022)</w:t>
            </w:r>
          </w:p>
        </w:tc>
      </w:tr>
      <w:tr w:rsidR="00F960C2" w14:paraId="7EFF3AD2" w14:textId="77777777">
        <w:tblPrEx>
          <w:tblCellMar>
            <w:top w:w="0" w:type="dxa"/>
            <w:bottom w:w="0" w:type="dxa"/>
          </w:tblCellMar>
        </w:tblPrEx>
        <w:tc>
          <w:tcPr>
            <w:tcW w:w="31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2367BEB1" w14:textId="77777777" w:rsidR="00F960C2" w:rsidRDefault="00000000">
            <w:pPr>
              <w:spacing w:line="256" w:lineRule="auto"/>
            </w:pPr>
            <w:r>
              <w:rPr>
                <w:sz w:val="21"/>
                <w:szCs w:val="21"/>
              </w:rPr>
              <w:t>No guidance on when to X-ray</w:t>
            </w:r>
          </w:p>
        </w:tc>
        <w:tc>
          <w:tcPr>
            <w:tcW w:w="37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5E0B4159" w14:textId="77777777" w:rsidR="00F960C2" w:rsidRDefault="00000000">
            <w:pPr>
              <w:spacing w:line="256" w:lineRule="auto"/>
            </w:pPr>
            <w:r>
              <w:rPr>
                <w:sz w:val="21"/>
                <w:szCs w:val="21"/>
              </w:rPr>
              <w:t>Added the Ottawa Knee Rules as a validated decision aid</w:t>
            </w:r>
          </w:p>
        </w:tc>
        <w:tc>
          <w:tcPr>
            <w:tcW w:w="25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70D6E43F" w14:textId="77777777" w:rsidR="00F960C2" w:rsidRDefault="00000000">
            <w:pPr>
              <w:spacing w:line="256" w:lineRule="auto"/>
            </w:pPr>
            <w:proofErr w:type="spellStart"/>
            <w:r>
              <w:rPr>
                <w:sz w:val="21"/>
                <w:szCs w:val="21"/>
              </w:rPr>
              <w:t>Stiell</w:t>
            </w:r>
            <w:proofErr w:type="spellEnd"/>
            <w:r>
              <w:rPr>
                <w:sz w:val="21"/>
                <w:szCs w:val="21"/>
              </w:rPr>
              <w:t xml:space="preserve"> et al.; widely adopted UK emergency / MSK practice</w:t>
            </w:r>
          </w:p>
        </w:tc>
      </w:tr>
      <w:tr w:rsidR="00F960C2" w14:paraId="42B3C05E" w14:textId="77777777">
        <w:tblPrEx>
          <w:tblCellMar>
            <w:top w:w="0" w:type="dxa"/>
            <w:bottom w:w="0" w:type="dxa"/>
          </w:tblCellMar>
        </w:tblPrEx>
        <w:tc>
          <w:tcPr>
            <w:tcW w:w="31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208086E6" w14:textId="77777777" w:rsidR="00F960C2" w:rsidRDefault="00000000">
            <w:pPr>
              <w:spacing w:line="256" w:lineRule="auto"/>
            </w:pPr>
            <w:r>
              <w:rPr>
                <w:sz w:val="21"/>
                <w:szCs w:val="21"/>
              </w:rPr>
              <w:t>Relied on McMurray’s test for the meniscus</w:t>
            </w:r>
          </w:p>
        </w:tc>
        <w:tc>
          <w:tcPr>
            <w:tcW w:w="37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7DC3DBB9" w14:textId="77777777" w:rsidR="00F960C2" w:rsidRDefault="00000000">
            <w:pPr>
              <w:spacing w:line="256" w:lineRule="auto"/>
            </w:pPr>
            <w:r>
              <w:rPr>
                <w:sz w:val="21"/>
                <w:szCs w:val="21"/>
              </w:rPr>
              <w:t>Noted that McMurray’s is no longer recommended in the UK (poor accuracy); emphasis on joint-line tenderness + history</w:t>
            </w:r>
          </w:p>
        </w:tc>
        <w:tc>
          <w:tcPr>
            <w:tcW w:w="25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5DD154EC" w14:textId="77777777" w:rsidR="00F960C2" w:rsidRDefault="00000000">
            <w:pPr>
              <w:spacing w:line="256" w:lineRule="auto"/>
            </w:pPr>
            <w:r>
              <w:rPr>
                <w:sz w:val="21"/>
                <w:szCs w:val="21"/>
              </w:rPr>
              <w:t>NICE CKS, Knee pain – assessment (2022)</w:t>
            </w:r>
          </w:p>
        </w:tc>
      </w:tr>
      <w:tr w:rsidR="00F960C2" w14:paraId="119E6E54" w14:textId="77777777">
        <w:tblPrEx>
          <w:tblCellMar>
            <w:top w:w="0" w:type="dxa"/>
            <w:bottom w:w="0" w:type="dxa"/>
          </w:tblCellMar>
        </w:tblPrEx>
        <w:tc>
          <w:tcPr>
            <w:tcW w:w="31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04E7BFCD" w14:textId="77777777" w:rsidR="00F960C2" w:rsidRDefault="00000000">
            <w:pPr>
              <w:spacing w:line="256" w:lineRule="auto"/>
            </w:pPr>
            <w:r>
              <w:rPr>
                <w:sz w:val="21"/>
                <w:szCs w:val="21"/>
              </w:rPr>
              <w:t>ACL “gold standard repair = middle third of the patellar tendon”</w:t>
            </w:r>
          </w:p>
        </w:tc>
        <w:tc>
          <w:tcPr>
            <w:tcW w:w="37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49B5D34B" w14:textId="77777777" w:rsidR="00F960C2" w:rsidRDefault="00000000">
            <w:pPr>
              <w:spacing w:line="256" w:lineRule="auto"/>
            </w:pPr>
            <w:r>
              <w:rPr>
                <w:sz w:val="21"/>
                <w:szCs w:val="21"/>
              </w:rPr>
              <w:t xml:space="preserve">Updated: no single gold-standard graft; hamstring (semitendinosus ± </w:t>
            </w:r>
            <w:proofErr w:type="spellStart"/>
            <w:r>
              <w:rPr>
                <w:sz w:val="21"/>
                <w:szCs w:val="21"/>
              </w:rPr>
              <w:t>gracilis</w:t>
            </w:r>
            <w:proofErr w:type="spellEnd"/>
            <w:r>
              <w:rPr>
                <w:sz w:val="21"/>
                <w:szCs w:val="21"/>
              </w:rPr>
              <w:t>) or patellar tendon, choice individualised</w:t>
            </w:r>
          </w:p>
        </w:tc>
        <w:tc>
          <w:tcPr>
            <w:tcW w:w="25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5F77CA72" w14:textId="77777777" w:rsidR="00F960C2" w:rsidRDefault="00000000">
            <w:pPr>
              <w:spacing w:line="256" w:lineRule="auto"/>
            </w:pPr>
            <w:r>
              <w:rPr>
                <w:sz w:val="21"/>
                <w:szCs w:val="21"/>
              </w:rPr>
              <w:t>NHS specialist guidance (e.g. Leeds Teaching Hospitals; London Sports Orthopaedics)</w:t>
            </w:r>
          </w:p>
        </w:tc>
      </w:tr>
      <w:tr w:rsidR="00F960C2" w14:paraId="21AC36F0" w14:textId="77777777">
        <w:tblPrEx>
          <w:tblCellMar>
            <w:top w:w="0" w:type="dxa"/>
            <w:bottom w:w="0" w:type="dxa"/>
          </w:tblCellMar>
        </w:tblPrEx>
        <w:tc>
          <w:tcPr>
            <w:tcW w:w="31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05FB4A1C" w14:textId="77777777" w:rsidR="00F960C2" w:rsidRDefault="00000000">
            <w:pPr>
              <w:spacing w:line="256" w:lineRule="auto"/>
            </w:pPr>
            <w:r>
              <w:rPr>
                <w:sz w:val="21"/>
                <w:szCs w:val="21"/>
              </w:rPr>
              <w:t>“ACL tears need urgent referral for repair”</w:t>
            </w:r>
          </w:p>
        </w:tc>
        <w:tc>
          <w:tcPr>
            <w:tcW w:w="37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1456D37D" w14:textId="77777777" w:rsidR="00F960C2" w:rsidRDefault="00000000">
            <w:pPr>
              <w:spacing w:line="256" w:lineRule="auto"/>
            </w:pPr>
            <w:r>
              <w:rPr>
                <w:sz w:val="21"/>
                <w:szCs w:val="21"/>
              </w:rPr>
              <w:t>Clarified: refer promptly to a specialist; management individualised between rehabilitation and reconstruction — surgery is not automatic</w:t>
            </w:r>
          </w:p>
        </w:tc>
        <w:tc>
          <w:tcPr>
            <w:tcW w:w="25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61FC288B" w14:textId="77777777" w:rsidR="00F960C2" w:rsidRDefault="00000000">
            <w:pPr>
              <w:spacing w:line="256" w:lineRule="auto"/>
            </w:pPr>
            <w:r>
              <w:rPr>
                <w:sz w:val="21"/>
                <w:szCs w:val="21"/>
              </w:rPr>
              <w:t>Current UK orthopaedic practice; ACL rehab vs reconstruction evidence</w:t>
            </w:r>
          </w:p>
        </w:tc>
      </w:tr>
      <w:tr w:rsidR="00F960C2" w14:paraId="228FFFDD" w14:textId="77777777">
        <w:tblPrEx>
          <w:tblCellMar>
            <w:top w:w="0" w:type="dxa"/>
            <w:bottom w:w="0" w:type="dxa"/>
          </w:tblCellMar>
        </w:tblPrEx>
        <w:tc>
          <w:tcPr>
            <w:tcW w:w="31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66C451E1" w14:textId="77777777" w:rsidR="00F960C2" w:rsidRDefault="00000000">
            <w:pPr>
              <w:spacing w:line="256" w:lineRule="auto"/>
            </w:pPr>
            <w:r>
              <w:rPr>
                <w:sz w:val="21"/>
                <w:szCs w:val="21"/>
              </w:rPr>
              <w:t>Meniscal tears treated as a single entity</w:t>
            </w:r>
          </w:p>
        </w:tc>
        <w:tc>
          <w:tcPr>
            <w:tcW w:w="37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14860387" w14:textId="77777777" w:rsidR="00F960C2" w:rsidRDefault="00000000">
            <w:pPr>
              <w:spacing w:line="256" w:lineRule="auto"/>
            </w:pPr>
            <w:r>
              <w:rPr>
                <w:sz w:val="21"/>
                <w:szCs w:val="21"/>
              </w:rPr>
              <w:t>Separated acute traumatic (→ knee clinic) from degenerate tears (→ conservative/physio first)</w:t>
            </w:r>
          </w:p>
        </w:tc>
        <w:tc>
          <w:tcPr>
            <w:tcW w:w="25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7441FCE6" w14:textId="77777777" w:rsidR="00F960C2" w:rsidRDefault="00000000">
            <w:pPr>
              <w:spacing w:line="256" w:lineRule="auto"/>
            </w:pPr>
            <w:r>
              <w:rPr>
                <w:sz w:val="21"/>
                <w:szCs w:val="21"/>
              </w:rPr>
              <w:t>BASK guidance; NICE CKS; ESCAPE trial (JAMA 2018)</w:t>
            </w:r>
          </w:p>
        </w:tc>
      </w:tr>
      <w:tr w:rsidR="00F960C2" w14:paraId="7D4AFF2B" w14:textId="77777777">
        <w:tblPrEx>
          <w:tblCellMar>
            <w:top w:w="0" w:type="dxa"/>
            <w:bottom w:w="0" w:type="dxa"/>
          </w:tblCellMar>
        </w:tblPrEx>
        <w:tc>
          <w:tcPr>
            <w:tcW w:w="31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095781F4" w14:textId="77777777" w:rsidR="00F960C2" w:rsidRDefault="00000000">
            <w:pPr>
              <w:spacing w:line="256" w:lineRule="auto"/>
            </w:pPr>
            <w:r>
              <w:rPr>
                <w:sz w:val="21"/>
                <w:szCs w:val="21"/>
              </w:rPr>
              <w:t>Patellofemoral pain described as mainly “prepubescent girls”; taping with “</w:t>
            </w:r>
            <w:proofErr w:type="spellStart"/>
            <w:proofErr w:type="gramStart"/>
            <w:r>
              <w:rPr>
                <w:sz w:val="21"/>
                <w:szCs w:val="21"/>
              </w:rPr>
              <w:t>duck tape</w:t>
            </w:r>
            <w:proofErr w:type="spellEnd"/>
            <w:proofErr w:type="gramEnd"/>
            <w:r>
              <w:rPr>
                <w:sz w:val="21"/>
                <w:szCs w:val="21"/>
              </w:rPr>
              <w:t>”</w:t>
            </w:r>
          </w:p>
        </w:tc>
        <w:tc>
          <w:tcPr>
            <w:tcW w:w="37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7D2117BF" w14:textId="77777777" w:rsidR="00F960C2" w:rsidRDefault="00000000">
            <w:pPr>
              <w:spacing w:line="256" w:lineRule="auto"/>
            </w:pPr>
            <w:r>
              <w:rPr>
                <w:sz w:val="21"/>
                <w:szCs w:val="21"/>
              </w:rPr>
              <w:t>Updated to adolescents and active young/middle-aged adults (more common in females); first-line is physiotherapy-led exercise; taping is a physiotherapy adjunct</w:t>
            </w:r>
          </w:p>
        </w:tc>
        <w:tc>
          <w:tcPr>
            <w:tcW w:w="25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7998FDBC" w14:textId="77777777" w:rsidR="00F960C2" w:rsidRDefault="00000000">
            <w:pPr>
              <w:spacing w:line="256" w:lineRule="auto"/>
            </w:pPr>
            <w:r>
              <w:rPr>
                <w:sz w:val="21"/>
                <w:szCs w:val="21"/>
              </w:rPr>
              <w:t>NICE CKS; patellofemoral pain consensus statements</w:t>
            </w:r>
          </w:p>
        </w:tc>
      </w:tr>
      <w:tr w:rsidR="00F960C2" w14:paraId="4A9F6255" w14:textId="77777777">
        <w:tblPrEx>
          <w:tblCellMar>
            <w:top w:w="0" w:type="dxa"/>
            <w:bottom w:w="0" w:type="dxa"/>
          </w:tblCellMar>
        </w:tblPrEx>
        <w:tc>
          <w:tcPr>
            <w:tcW w:w="31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412C07C9" w14:textId="77777777" w:rsidR="00F960C2" w:rsidRDefault="00000000">
            <w:pPr>
              <w:spacing w:line="256" w:lineRule="auto"/>
            </w:pPr>
            <w:r>
              <w:rPr>
                <w:sz w:val="21"/>
                <w:szCs w:val="21"/>
              </w:rPr>
              <w:t>Dead link to arc.org.uk (Arthritis Research Campaign)</w:t>
            </w:r>
          </w:p>
        </w:tc>
        <w:tc>
          <w:tcPr>
            <w:tcW w:w="370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51338AE7" w14:textId="77777777" w:rsidR="00F960C2" w:rsidRDefault="00000000">
            <w:pPr>
              <w:spacing w:line="256" w:lineRule="auto"/>
            </w:pPr>
            <w:r>
              <w:rPr>
                <w:sz w:val="21"/>
                <w:szCs w:val="21"/>
              </w:rPr>
              <w:t>Organisation is now Versus Arthritis; older links replaced with current resources</w:t>
            </w:r>
          </w:p>
        </w:tc>
        <w:tc>
          <w:tcPr>
            <w:tcW w:w="2560" w:type="dxa"/>
            <w:tcBorders>
              <w:top w:val="single" w:sz="1" w:space="0" w:color="FFFFFF"/>
              <w:left w:val="single" w:sz="1" w:space="0" w:color="FFFFFF"/>
              <w:bottom w:val="single" w:sz="1" w:space="0" w:color="FFFFFF"/>
              <w:right w:val="single" w:sz="1" w:space="0" w:color="FFFFFF"/>
            </w:tcBorders>
            <w:shd w:val="clear" w:color="auto" w:fill="F2F7F6"/>
            <w:tcMar>
              <w:top w:w="70" w:type="dxa"/>
              <w:left w:w="130" w:type="dxa"/>
              <w:bottom w:w="70" w:type="dxa"/>
              <w:right w:w="130" w:type="dxa"/>
            </w:tcMar>
            <w:vAlign w:val="center"/>
          </w:tcPr>
          <w:p w14:paraId="41649470" w14:textId="77777777" w:rsidR="00F960C2" w:rsidRDefault="00000000">
            <w:pPr>
              <w:spacing w:line="256" w:lineRule="auto"/>
            </w:pPr>
            <w:r>
              <w:rPr>
                <w:sz w:val="21"/>
                <w:szCs w:val="21"/>
              </w:rPr>
              <w:t>versusarthritis.org</w:t>
            </w:r>
          </w:p>
        </w:tc>
      </w:tr>
      <w:tr w:rsidR="00F960C2" w14:paraId="77E8373F" w14:textId="77777777">
        <w:tblPrEx>
          <w:tblCellMar>
            <w:top w:w="0" w:type="dxa"/>
            <w:bottom w:w="0" w:type="dxa"/>
          </w:tblCellMar>
        </w:tblPrEx>
        <w:tc>
          <w:tcPr>
            <w:tcW w:w="31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5F8C21F5" w14:textId="77777777" w:rsidR="00F960C2" w:rsidRDefault="00000000">
            <w:pPr>
              <w:spacing w:line="256" w:lineRule="auto"/>
            </w:pPr>
            <w:r>
              <w:rPr>
                <w:sz w:val="21"/>
                <w:szCs w:val="21"/>
              </w:rPr>
              <w:t>Precise historical figures (e.g. 21-month delay; diagnosis in 9%)</w:t>
            </w:r>
          </w:p>
        </w:tc>
        <w:tc>
          <w:tcPr>
            <w:tcW w:w="370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1DFF8DFF" w14:textId="77777777" w:rsidR="00F960C2" w:rsidRDefault="00000000">
            <w:pPr>
              <w:spacing w:line="256" w:lineRule="auto"/>
            </w:pPr>
            <w:r>
              <w:rPr>
                <w:sz w:val="21"/>
                <w:szCs w:val="21"/>
              </w:rPr>
              <w:t>Kept the teaching message (ACL is frequently missed and diagnosed late) and framed the figures as findings from older studies</w:t>
            </w:r>
          </w:p>
        </w:tc>
        <w:tc>
          <w:tcPr>
            <w:tcW w:w="2560" w:type="dxa"/>
            <w:tcBorders>
              <w:top w:val="single" w:sz="1" w:space="0" w:color="FFFFFF"/>
              <w:left w:val="single" w:sz="1" w:space="0" w:color="FFFFFF"/>
              <w:bottom w:val="single" w:sz="1" w:space="0" w:color="FFFFFF"/>
              <w:right w:val="single" w:sz="1" w:space="0" w:color="FFFFFF"/>
            </w:tcBorders>
            <w:shd w:val="clear" w:color="auto" w:fill="FFFFFF"/>
            <w:tcMar>
              <w:top w:w="70" w:type="dxa"/>
              <w:left w:w="130" w:type="dxa"/>
              <w:bottom w:w="70" w:type="dxa"/>
              <w:right w:w="130" w:type="dxa"/>
            </w:tcMar>
            <w:vAlign w:val="center"/>
          </w:tcPr>
          <w:p w14:paraId="6FF728E1" w14:textId="77777777" w:rsidR="00F960C2" w:rsidRDefault="00000000">
            <w:pPr>
              <w:spacing w:line="256" w:lineRule="auto"/>
            </w:pPr>
            <w:r>
              <w:rPr>
                <w:sz w:val="21"/>
                <w:szCs w:val="21"/>
              </w:rPr>
              <w:t>Editorial — preserves author’s teaching point</w:t>
            </w:r>
          </w:p>
        </w:tc>
      </w:tr>
    </w:tbl>
    <w:p w14:paraId="229C614D" w14:textId="77777777" w:rsidR="00F960C2" w:rsidRDefault="00F960C2">
      <w:pPr>
        <w:spacing w:after="120"/>
      </w:pPr>
    </w:p>
    <w:p w14:paraId="644D92B9" w14:textId="77777777" w:rsidR="00F960C2" w:rsidRDefault="00000000">
      <w:pPr>
        <w:pBdr>
          <w:bottom w:val="single" w:sz="6" w:space="3" w:color="0E5C5B"/>
        </w:pBdr>
        <w:spacing w:before="200" w:after="90"/>
      </w:pPr>
      <w:r>
        <w:rPr>
          <w:b/>
          <w:bCs/>
          <w:color w:val="0E5C5B"/>
          <w:sz w:val="24"/>
          <w:szCs w:val="24"/>
        </w:rPr>
        <w:lastRenderedPageBreak/>
        <w:t>Trusted resources for further reading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960C2" w14:paraId="216B90ED" w14:textId="77777777">
        <w:tblPrEx>
          <w:tblCellMar>
            <w:top w:w="0" w:type="dxa"/>
            <w:bottom w:w="0" w:type="dxa"/>
          </w:tblCellMar>
        </w:tblPrEx>
        <w:trPr>
          <w:cantSplit/>
        </w:trPr>
        <w:tc>
          <w:tcPr>
            <w:tcW w:w="9360" w:type="dxa"/>
            <w:tcBorders>
              <w:top w:val="single" w:sz="2" w:space="0" w:color="0E5C5B"/>
              <w:left w:val="single" w:sz="28" w:space="0" w:color="0E5C5B"/>
              <w:bottom w:val="single" w:sz="2" w:space="0" w:color="0E5C5B"/>
              <w:right w:val="single" w:sz="2" w:space="0" w:color="0E5C5B"/>
            </w:tcBorders>
            <w:shd w:val="clear" w:color="auto" w:fill="E3F0EF"/>
            <w:tcMar>
              <w:top w:w="130" w:type="dxa"/>
              <w:left w:w="240" w:type="dxa"/>
              <w:bottom w:w="130" w:type="dxa"/>
              <w:right w:w="220" w:type="dxa"/>
            </w:tcMar>
          </w:tcPr>
          <w:p w14:paraId="0F02B58D" w14:textId="77777777" w:rsidR="00F960C2" w:rsidRDefault="00000000">
            <w:pPr>
              <w:spacing w:after="80"/>
            </w:pPr>
            <w:r>
              <w:rPr>
                <w:b/>
                <w:bCs/>
                <w:color w:val="0A4544"/>
              </w:rPr>
              <w:t>UK sources used to verify this guide</w:t>
            </w:r>
          </w:p>
          <w:p w14:paraId="75FB9CBD" w14:textId="77777777" w:rsidR="00F960C2" w:rsidRDefault="00000000">
            <w:pPr>
              <w:pStyle w:val="ListParagraph"/>
              <w:numPr>
                <w:ilvl w:val="0"/>
                <w:numId w:val="2"/>
              </w:numPr>
              <w:spacing w:after="50" w:line="260" w:lineRule="auto"/>
            </w:pPr>
            <w:r>
              <w:rPr>
                <w:sz w:val="21"/>
                <w:szCs w:val="21"/>
              </w:rPr>
              <w:t>NICE Clinical Knowledge Summaries — Knee pain (assessment): cks.nice.org.uk/topics/knee-pain-assessment</w:t>
            </w:r>
          </w:p>
          <w:p w14:paraId="50B8F98B" w14:textId="77777777" w:rsidR="00F960C2" w:rsidRDefault="00000000">
            <w:pPr>
              <w:pStyle w:val="ListParagraph"/>
              <w:numPr>
                <w:ilvl w:val="0"/>
                <w:numId w:val="2"/>
              </w:numPr>
              <w:spacing w:after="50" w:line="260" w:lineRule="auto"/>
            </w:pPr>
            <w:r>
              <w:rPr>
                <w:sz w:val="21"/>
                <w:szCs w:val="21"/>
              </w:rPr>
              <w:t xml:space="preserve">Ottawa Knee Rules — original derivation by </w:t>
            </w:r>
            <w:proofErr w:type="spellStart"/>
            <w:r>
              <w:rPr>
                <w:sz w:val="21"/>
                <w:szCs w:val="21"/>
              </w:rPr>
              <w:t>Stiell</w:t>
            </w:r>
            <w:proofErr w:type="spellEnd"/>
            <w:r>
              <w:rPr>
                <w:sz w:val="21"/>
                <w:szCs w:val="21"/>
              </w:rPr>
              <w:t xml:space="preserve"> et al.; widely validated.</w:t>
            </w:r>
          </w:p>
          <w:p w14:paraId="634A1F23" w14:textId="77777777" w:rsidR="00F960C2" w:rsidRDefault="00000000">
            <w:pPr>
              <w:pStyle w:val="ListParagraph"/>
              <w:numPr>
                <w:ilvl w:val="0"/>
                <w:numId w:val="2"/>
              </w:numPr>
              <w:spacing w:after="50" w:line="260" w:lineRule="auto"/>
            </w:pPr>
            <w:r>
              <w:rPr>
                <w:sz w:val="21"/>
                <w:szCs w:val="21"/>
              </w:rPr>
              <w:t>Versus Arthritis (formerly Arthritis Research UK): versusarthritis.org</w:t>
            </w:r>
          </w:p>
          <w:p w14:paraId="2D997328" w14:textId="77777777" w:rsidR="00F960C2" w:rsidRDefault="00000000">
            <w:pPr>
              <w:pStyle w:val="ListParagraph"/>
              <w:numPr>
                <w:ilvl w:val="0"/>
                <w:numId w:val="2"/>
              </w:numPr>
              <w:spacing w:after="50" w:line="260" w:lineRule="auto"/>
            </w:pPr>
            <w:r>
              <w:rPr>
                <w:sz w:val="21"/>
                <w:szCs w:val="21"/>
              </w:rPr>
              <w:t>BASK — British Association for Surgery of the Knee (meniscal guidance).</w:t>
            </w:r>
          </w:p>
          <w:p w14:paraId="72E39F84" w14:textId="77777777" w:rsidR="00F960C2" w:rsidRDefault="00000000">
            <w:pPr>
              <w:pStyle w:val="ListParagraph"/>
              <w:numPr>
                <w:ilvl w:val="0"/>
                <w:numId w:val="2"/>
              </w:numPr>
              <w:spacing w:line="260" w:lineRule="auto"/>
            </w:pPr>
            <w:r>
              <w:rPr>
                <w:sz w:val="21"/>
                <w:szCs w:val="21"/>
              </w:rPr>
              <w:t>Always follow your own local MSK and orthopaedic referral pathways.</w:t>
            </w:r>
          </w:p>
        </w:tc>
      </w:tr>
    </w:tbl>
    <w:p w14:paraId="36A3A53F" w14:textId="77777777" w:rsidR="00F960C2" w:rsidRDefault="00F960C2">
      <w:pPr>
        <w:spacing w:after="200"/>
      </w:pPr>
    </w:p>
    <w:p w14:paraId="3F0730DD" w14:textId="77777777" w:rsidR="00F960C2" w:rsidRDefault="00000000">
      <w:pPr>
        <w:pBdr>
          <w:top w:val="single" w:sz="8" w:space="8" w:color="B07410"/>
        </w:pBdr>
        <w:spacing w:before="200"/>
        <w:jc w:val="center"/>
      </w:pPr>
      <w:r>
        <w:rPr>
          <w:b/>
          <w:bCs/>
          <w:color w:val="0E5C5B"/>
        </w:rPr>
        <w:t>Bradford VTS Teaching Aids</w:t>
      </w:r>
    </w:p>
    <w:p w14:paraId="11EA52FF" w14:textId="77777777" w:rsidR="00F960C2" w:rsidRDefault="00000000">
      <w:pPr>
        <w:spacing w:before="30"/>
        <w:jc w:val="center"/>
      </w:pPr>
      <w:r>
        <w:rPr>
          <w:i/>
          <w:iCs/>
          <w:color w:val="5F5F5F"/>
          <w:sz w:val="18"/>
          <w:szCs w:val="18"/>
        </w:rPr>
        <w:t>This resource supports teaching and learning and does not replace clinical judgement or local guidelines.</w:t>
      </w:r>
    </w:p>
    <w:sectPr w:rsidR="00F960C2">
      <w:headerReference w:type="default" r:id="rId13"/>
      <w:footerReference w:type="defaul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85702" w14:textId="77777777" w:rsidR="00F6281C" w:rsidRDefault="00F6281C">
      <w:r>
        <w:separator/>
      </w:r>
    </w:p>
  </w:endnote>
  <w:endnote w:type="continuationSeparator" w:id="0">
    <w:p w14:paraId="707FD7F5" w14:textId="77777777" w:rsidR="00F6281C" w:rsidRDefault="00F62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1FC9" w14:textId="77777777" w:rsidR="00F960C2" w:rsidRDefault="00000000">
    <w:pPr>
      <w:pBdr>
        <w:top w:val="single" w:sz="4" w:space="4" w:color="B07410"/>
      </w:pBdr>
      <w:tabs>
        <w:tab w:val="right" w:pos="9360"/>
      </w:tabs>
    </w:pPr>
    <w:r>
      <w:rPr>
        <w:color w:val="5F5F5F"/>
        <w:sz w:val="16"/>
        <w:szCs w:val="16"/>
      </w:rPr>
      <w:t>June 2026</w:t>
    </w:r>
    <w:r>
      <w:rPr>
        <w:color w:val="5F5F5F"/>
        <w:sz w:val="16"/>
        <w:szCs w:val="16"/>
      </w:rPr>
      <w:tab/>
      <w:t xml:space="preserve">Page </w:t>
    </w:r>
    <w:r>
      <w:rPr>
        <w:color w:val="5F5F5F"/>
        <w:sz w:val="16"/>
        <w:szCs w:val="16"/>
      </w:rPr>
      <w:fldChar w:fldCharType="begin"/>
    </w:r>
    <w:r>
      <w:rPr>
        <w:color w:val="5F5F5F"/>
        <w:sz w:val="16"/>
        <w:szCs w:val="16"/>
      </w:rPr>
      <w:instrText>PAGE</w:instrText>
    </w:r>
    <w:r>
      <w:rPr>
        <w:color w:val="5F5F5F"/>
        <w:sz w:val="16"/>
        <w:szCs w:val="16"/>
      </w:rPr>
      <w:fldChar w:fldCharType="separate"/>
    </w:r>
    <w:r w:rsidR="00B56A59">
      <w:rPr>
        <w:noProof/>
        <w:color w:val="5F5F5F"/>
        <w:sz w:val="16"/>
        <w:szCs w:val="16"/>
      </w:rPr>
      <w:t>2</w:t>
    </w:r>
    <w:r>
      <w:rPr>
        <w:color w:val="5F5F5F"/>
        <w:sz w:val="16"/>
        <w:szCs w:val="16"/>
      </w:rPr>
      <w:fldChar w:fldCharType="end"/>
    </w:r>
    <w:r>
      <w:rPr>
        <w:color w:val="5F5F5F"/>
        <w:sz w:val="16"/>
        <w:szCs w:val="16"/>
      </w:rPr>
      <w:t xml:space="preserve"> of </w:t>
    </w:r>
    <w:r>
      <w:rPr>
        <w:color w:val="5F5F5F"/>
        <w:sz w:val="16"/>
        <w:szCs w:val="16"/>
      </w:rPr>
      <w:fldChar w:fldCharType="begin"/>
    </w:r>
    <w:r>
      <w:rPr>
        <w:color w:val="5F5F5F"/>
        <w:sz w:val="16"/>
        <w:szCs w:val="16"/>
      </w:rPr>
      <w:instrText>NUMPAGES</w:instrText>
    </w:r>
    <w:r>
      <w:rPr>
        <w:color w:val="5F5F5F"/>
        <w:sz w:val="16"/>
        <w:szCs w:val="16"/>
      </w:rPr>
      <w:fldChar w:fldCharType="separate"/>
    </w:r>
    <w:r w:rsidR="00B56A59">
      <w:rPr>
        <w:noProof/>
        <w:color w:val="5F5F5F"/>
        <w:sz w:val="16"/>
        <w:szCs w:val="16"/>
      </w:rPr>
      <w:t>3</w:t>
    </w:r>
    <w:r>
      <w:rPr>
        <w:color w:val="5F5F5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E1C9A" w14:textId="77777777" w:rsidR="00F6281C" w:rsidRDefault="00F6281C">
      <w:r>
        <w:separator/>
      </w:r>
    </w:p>
  </w:footnote>
  <w:footnote w:type="continuationSeparator" w:id="0">
    <w:p w14:paraId="730B1777" w14:textId="77777777" w:rsidR="00F6281C" w:rsidRDefault="00F62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34DF7" w14:textId="77777777" w:rsidR="00F960C2" w:rsidRDefault="00000000">
    <w:pPr>
      <w:pBdr>
        <w:bottom w:val="single" w:sz="4" w:space="4" w:color="0E5C5B"/>
      </w:pBdr>
      <w:tabs>
        <w:tab w:val="right" w:pos="9360"/>
      </w:tabs>
    </w:pPr>
    <w:r>
      <w:rPr>
        <w:b/>
        <w:bCs/>
        <w:color w:val="0E5C5B"/>
        <w:sz w:val="16"/>
        <w:szCs w:val="16"/>
      </w:rPr>
      <w:t>Assessment of Acute Knee Pain</w:t>
    </w:r>
    <w:r>
      <w:rPr>
        <w:color w:val="B07410"/>
        <w:sz w:val="16"/>
        <w:szCs w:val="16"/>
      </w:rPr>
      <w:tab/>
      <w:t>Bradford VTS Teaching Aids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77D1"/>
    <w:multiLevelType w:val="hybridMultilevel"/>
    <w:tmpl w:val="DFD47C16"/>
    <w:lvl w:ilvl="0" w:tplc="D8E2D78C">
      <w:start w:val="1"/>
      <w:numFmt w:val="bullet"/>
      <w:lvlText w:val="•"/>
      <w:lvlJc w:val="left"/>
      <w:pPr>
        <w:ind w:left="360" w:hanging="240"/>
      </w:pPr>
      <w:rPr>
        <w:color w:val="B07410"/>
      </w:rPr>
    </w:lvl>
    <w:lvl w:ilvl="1" w:tplc="BC524F3A">
      <w:numFmt w:val="decimal"/>
      <w:lvlText w:val=""/>
      <w:lvlJc w:val="left"/>
    </w:lvl>
    <w:lvl w:ilvl="2" w:tplc="B8668ED2">
      <w:numFmt w:val="decimal"/>
      <w:lvlText w:val=""/>
      <w:lvlJc w:val="left"/>
    </w:lvl>
    <w:lvl w:ilvl="3" w:tplc="732A9C48">
      <w:numFmt w:val="decimal"/>
      <w:lvlText w:val=""/>
      <w:lvlJc w:val="left"/>
    </w:lvl>
    <w:lvl w:ilvl="4" w:tplc="FE0805D2">
      <w:numFmt w:val="decimal"/>
      <w:lvlText w:val=""/>
      <w:lvlJc w:val="left"/>
    </w:lvl>
    <w:lvl w:ilvl="5" w:tplc="95CACA74">
      <w:numFmt w:val="decimal"/>
      <w:lvlText w:val=""/>
      <w:lvlJc w:val="left"/>
    </w:lvl>
    <w:lvl w:ilvl="6" w:tplc="65A83332">
      <w:numFmt w:val="decimal"/>
      <w:lvlText w:val=""/>
      <w:lvlJc w:val="left"/>
    </w:lvl>
    <w:lvl w:ilvl="7" w:tplc="7AE41C58">
      <w:numFmt w:val="decimal"/>
      <w:lvlText w:val=""/>
      <w:lvlJc w:val="left"/>
    </w:lvl>
    <w:lvl w:ilvl="8" w:tplc="E744B8B6">
      <w:numFmt w:val="decimal"/>
      <w:lvlText w:val=""/>
      <w:lvlJc w:val="left"/>
    </w:lvl>
  </w:abstractNum>
  <w:abstractNum w:abstractNumId="1" w15:restartNumberingAfterBreak="0">
    <w:nsid w:val="28E62746"/>
    <w:multiLevelType w:val="hybridMultilevel"/>
    <w:tmpl w:val="A29CEA98"/>
    <w:lvl w:ilvl="0" w:tplc="5B60E8F4">
      <w:start w:val="1"/>
      <w:numFmt w:val="decimal"/>
      <w:lvlText w:val="%1."/>
      <w:lvlJc w:val="left"/>
      <w:pPr>
        <w:ind w:left="460" w:hanging="260"/>
      </w:pPr>
    </w:lvl>
    <w:lvl w:ilvl="1" w:tplc="64EAED4A">
      <w:numFmt w:val="decimal"/>
      <w:lvlText w:val=""/>
      <w:lvlJc w:val="left"/>
    </w:lvl>
    <w:lvl w:ilvl="2" w:tplc="BF14DAA2">
      <w:numFmt w:val="decimal"/>
      <w:lvlText w:val=""/>
      <w:lvlJc w:val="left"/>
    </w:lvl>
    <w:lvl w:ilvl="3" w:tplc="21CE42CC">
      <w:numFmt w:val="decimal"/>
      <w:lvlText w:val=""/>
      <w:lvlJc w:val="left"/>
    </w:lvl>
    <w:lvl w:ilvl="4" w:tplc="FE34D7DE">
      <w:numFmt w:val="decimal"/>
      <w:lvlText w:val=""/>
      <w:lvlJc w:val="left"/>
    </w:lvl>
    <w:lvl w:ilvl="5" w:tplc="E71E208A">
      <w:numFmt w:val="decimal"/>
      <w:lvlText w:val=""/>
      <w:lvlJc w:val="left"/>
    </w:lvl>
    <w:lvl w:ilvl="6" w:tplc="BC42C9F2">
      <w:numFmt w:val="decimal"/>
      <w:lvlText w:val=""/>
      <w:lvlJc w:val="left"/>
    </w:lvl>
    <w:lvl w:ilvl="7" w:tplc="F260F5A2">
      <w:numFmt w:val="decimal"/>
      <w:lvlText w:val=""/>
      <w:lvlJc w:val="left"/>
    </w:lvl>
    <w:lvl w:ilvl="8" w:tplc="C9A65AF4">
      <w:numFmt w:val="decimal"/>
      <w:lvlText w:val=""/>
      <w:lvlJc w:val="left"/>
    </w:lvl>
  </w:abstractNum>
  <w:abstractNum w:abstractNumId="2" w15:restartNumberingAfterBreak="0">
    <w:nsid w:val="3DB766CA"/>
    <w:multiLevelType w:val="hybridMultilevel"/>
    <w:tmpl w:val="4E50AE70"/>
    <w:lvl w:ilvl="0" w:tplc="6C208256">
      <w:start w:val="1"/>
      <w:numFmt w:val="bullet"/>
      <w:lvlText w:val="•"/>
      <w:lvlJc w:val="left"/>
      <w:pPr>
        <w:ind w:left="460" w:hanging="260"/>
      </w:pPr>
      <w:rPr>
        <w:color w:val="B07410"/>
      </w:rPr>
    </w:lvl>
    <w:lvl w:ilvl="1" w:tplc="8A8C8722">
      <w:numFmt w:val="decimal"/>
      <w:lvlText w:val=""/>
      <w:lvlJc w:val="left"/>
    </w:lvl>
    <w:lvl w:ilvl="2" w:tplc="B412A324">
      <w:numFmt w:val="decimal"/>
      <w:lvlText w:val=""/>
      <w:lvlJc w:val="left"/>
    </w:lvl>
    <w:lvl w:ilvl="3" w:tplc="2FF2C91C">
      <w:numFmt w:val="decimal"/>
      <w:lvlText w:val=""/>
      <w:lvlJc w:val="left"/>
    </w:lvl>
    <w:lvl w:ilvl="4" w:tplc="B93CA61E">
      <w:numFmt w:val="decimal"/>
      <w:lvlText w:val=""/>
      <w:lvlJc w:val="left"/>
    </w:lvl>
    <w:lvl w:ilvl="5" w:tplc="63866B60">
      <w:numFmt w:val="decimal"/>
      <w:lvlText w:val=""/>
      <w:lvlJc w:val="left"/>
    </w:lvl>
    <w:lvl w:ilvl="6" w:tplc="A84E4106">
      <w:numFmt w:val="decimal"/>
      <w:lvlText w:val=""/>
      <w:lvlJc w:val="left"/>
    </w:lvl>
    <w:lvl w:ilvl="7" w:tplc="0F6E591A">
      <w:numFmt w:val="decimal"/>
      <w:lvlText w:val=""/>
      <w:lvlJc w:val="left"/>
    </w:lvl>
    <w:lvl w:ilvl="8" w:tplc="BE8C971C">
      <w:numFmt w:val="decimal"/>
      <w:lvlText w:val=""/>
      <w:lvlJc w:val="left"/>
    </w:lvl>
  </w:abstractNum>
  <w:abstractNum w:abstractNumId="3" w15:restartNumberingAfterBreak="0">
    <w:nsid w:val="489967E4"/>
    <w:multiLevelType w:val="hybridMultilevel"/>
    <w:tmpl w:val="BFC2FD8A"/>
    <w:lvl w:ilvl="0" w:tplc="51102DC6">
      <w:start w:val="1"/>
      <w:numFmt w:val="bullet"/>
      <w:lvlText w:val="●"/>
      <w:lvlJc w:val="left"/>
      <w:pPr>
        <w:ind w:left="720" w:hanging="360"/>
      </w:pPr>
    </w:lvl>
    <w:lvl w:ilvl="1" w:tplc="4B6CF0E8">
      <w:start w:val="1"/>
      <w:numFmt w:val="bullet"/>
      <w:lvlText w:val="○"/>
      <w:lvlJc w:val="left"/>
      <w:pPr>
        <w:ind w:left="1440" w:hanging="360"/>
      </w:pPr>
    </w:lvl>
    <w:lvl w:ilvl="2" w:tplc="940653D6">
      <w:start w:val="1"/>
      <w:numFmt w:val="bullet"/>
      <w:lvlText w:val="■"/>
      <w:lvlJc w:val="left"/>
      <w:pPr>
        <w:ind w:left="2160" w:hanging="360"/>
      </w:pPr>
    </w:lvl>
    <w:lvl w:ilvl="3" w:tplc="93A4842A">
      <w:start w:val="1"/>
      <w:numFmt w:val="bullet"/>
      <w:lvlText w:val="●"/>
      <w:lvlJc w:val="left"/>
      <w:pPr>
        <w:ind w:left="2880" w:hanging="360"/>
      </w:pPr>
    </w:lvl>
    <w:lvl w:ilvl="4" w:tplc="E26E3940">
      <w:start w:val="1"/>
      <w:numFmt w:val="bullet"/>
      <w:lvlText w:val="○"/>
      <w:lvlJc w:val="left"/>
      <w:pPr>
        <w:ind w:left="3600" w:hanging="360"/>
      </w:pPr>
    </w:lvl>
    <w:lvl w:ilvl="5" w:tplc="A1E0AF5E">
      <w:start w:val="1"/>
      <w:numFmt w:val="bullet"/>
      <w:lvlText w:val="■"/>
      <w:lvlJc w:val="left"/>
      <w:pPr>
        <w:ind w:left="4320" w:hanging="360"/>
      </w:pPr>
    </w:lvl>
    <w:lvl w:ilvl="6" w:tplc="444C6C26">
      <w:start w:val="1"/>
      <w:numFmt w:val="bullet"/>
      <w:lvlText w:val="●"/>
      <w:lvlJc w:val="left"/>
      <w:pPr>
        <w:ind w:left="5040" w:hanging="360"/>
      </w:pPr>
    </w:lvl>
    <w:lvl w:ilvl="7" w:tplc="7C7C2534">
      <w:start w:val="1"/>
      <w:numFmt w:val="bullet"/>
      <w:lvlText w:val="●"/>
      <w:lvlJc w:val="left"/>
      <w:pPr>
        <w:ind w:left="5760" w:hanging="360"/>
      </w:pPr>
    </w:lvl>
    <w:lvl w:ilvl="8" w:tplc="9A0AEE22">
      <w:start w:val="1"/>
      <w:numFmt w:val="bullet"/>
      <w:lvlText w:val="●"/>
      <w:lvlJc w:val="left"/>
      <w:pPr>
        <w:ind w:left="6480" w:hanging="360"/>
      </w:pPr>
    </w:lvl>
  </w:abstractNum>
  <w:num w:numId="1" w16cid:durableId="569508389">
    <w:abstractNumId w:val="3"/>
    <w:lvlOverride w:ilvl="0">
      <w:startOverride w:val="1"/>
    </w:lvlOverride>
  </w:num>
  <w:num w:numId="2" w16cid:durableId="3467617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0C2"/>
    <w:rsid w:val="0022215C"/>
    <w:rsid w:val="00B56A59"/>
    <w:rsid w:val="00F6281C"/>
    <w:rsid w:val="00F96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4B03A"/>
  <w15:docId w15:val="{777BE02B-C6AF-43FD-8176-04FD4E2E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B2B2B"/>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sz w:val="2"/>
      <w:szCs w:val="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4269</Words>
  <Characters>21734</Characters>
  <Application>Microsoft Office Word</Application>
  <DocSecurity>0</DocSecurity>
  <Lines>603</Lines>
  <Paragraphs>406</Paragraphs>
  <ScaleCrop>false</ScaleCrop>
  <Company/>
  <LinksUpToDate>false</LinksUpToDate>
  <CharactersWithSpaces>25597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Acute Knee Pain</dc:title>
  <dc:creator>Bradford VTS</dc:creator>
  <cp:lastModifiedBy>Ramesh Mehay</cp:lastModifiedBy>
  <cp:revision>3</cp:revision>
  <dcterms:created xsi:type="dcterms:W3CDTF">2026-06-28T17:46:00Z</dcterms:created>
  <dcterms:modified xsi:type="dcterms:W3CDTF">2026-06-28T19:02:00Z</dcterms:modified>
</cp:coreProperties>
</file>