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73D9" w:rsidRDefault="005729EB" w:rsidP="000773D9">
      <w:pPr>
        <w:pStyle w:val="Heading2"/>
      </w:pPr>
      <w:r>
        <w:rPr>
          <w:rFonts w:ascii="Calibri Light" w:hAnsi="Calibri Light"/>
          <w:noProof/>
          <w:lang w:eastAsia="en-GB"/>
        </w:rPr>
        <w:drawing>
          <wp:anchor distT="0" distB="0" distL="114300" distR="114300" simplePos="0" relativeHeight="251658240" behindDoc="0" locked="0" layoutInCell="1" allowOverlap="1" wp14:anchorId="0825614A" wp14:editId="1D120470">
            <wp:simplePos x="0" y="0"/>
            <wp:positionH relativeFrom="column">
              <wp:posOffset>2835910</wp:posOffset>
            </wp:positionH>
            <wp:positionV relativeFrom="paragraph">
              <wp:posOffset>127000</wp:posOffset>
            </wp:positionV>
            <wp:extent cx="3621405" cy="2733675"/>
            <wp:effectExtent l="0" t="0" r="0" b="9525"/>
            <wp:wrapSquare wrapText="bothSides"/>
            <wp:docPr id="9" name="Picture 9" descr="cid:image003.png@01D03718.5FA201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png@01D03718.5FA201E0"/>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3621405" cy="2733675"/>
                    </a:xfrm>
                    <a:prstGeom prst="rect">
                      <a:avLst/>
                    </a:prstGeom>
                    <a:noFill/>
                    <a:ln>
                      <a:noFill/>
                    </a:ln>
                  </pic:spPr>
                </pic:pic>
              </a:graphicData>
            </a:graphic>
            <wp14:sizeRelH relativeFrom="page">
              <wp14:pctWidth>0</wp14:pctWidth>
            </wp14:sizeRelH>
            <wp14:sizeRelV relativeFrom="page">
              <wp14:pctHeight>0</wp14:pctHeight>
            </wp14:sizeRelV>
          </wp:anchor>
        </w:drawing>
      </w:r>
      <w:r w:rsidR="000773D9">
        <w:t>Anatomy</w:t>
      </w:r>
    </w:p>
    <w:p w:rsidR="000773D9" w:rsidRDefault="000773D9" w:rsidP="000773D9">
      <w:pPr>
        <w:jc w:val="both"/>
      </w:pPr>
      <w:r>
        <w:t>There are 32 vertebrae in the spine:</w:t>
      </w:r>
    </w:p>
    <w:p w:rsidR="000773D9" w:rsidRDefault="000773D9" w:rsidP="000773D9">
      <w:pPr>
        <w:pStyle w:val="ListParagraph"/>
        <w:numPr>
          <w:ilvl w:val="0"/>
          <w:numId w:val="27"/>
        </w:numPr>
        <w:jc w:val="both"/>
      </w:pPr>
      <w:r>
        <w:t>7 cervical</w:t>
      </w:r>
    </w:p>
    <w:p w:rsidR="000773D9" w:rsidRDefault="000773D9" w:rsidP="000773D9">
      <w:pPr>
        <w:pStyle w:val="ListParagraph"/>
        <w:numPr>
          <w:ilvl w:val="0"/>
          <w:numId w:val="27"/>
        </w:numPr>
        <w:jc w:val="both"/>
      </w:pPr>
      <w:r>
        <w:t>12 thoracic</w:t>
      </w:r>
    </w:p>
    <w:p w:rsidR="000773D9" w:rsidRDefault="000773D9" w:rsidP="000773D9">
      <w:pPr>
        <w:pStyle w:val="ListParagraph"/>
        <w:numPr>
          <w:ilvl w:val="0"/>
          <w:numId w:val="27"/>
        </w:numPr>
        <w:jc w:val="both"/>
      </w:pPr>
      <w:r>
        <w:t>5 lumbar</w:t>
      </w:r>
    </w:p>
    <w:p w:rsidR="000773D9" w:rsidRDefault="000773D9" w:rsidP="000773D9">
      <w:pPr>
        <w:pStyle w:val="ListParagraph"/>
        <w:numPr>
          <w:ilvl w:val="0"/>
          <w:numId w:val="27"/>
        </w:numPr>
        <w:jc w:val="both"/>
      </w:pPr>
      <w:r>
        <w:t>5 sacral (fused)</w:t>
      </w:r>
    </w:p>
    <w:p w:rsidR="000773D9" w:rsidRDefault="000773D9" w:rsidP="000773D9">
      <w:pPr>
        <w:pStyle w:val="ListParagraph"/>
        <w:numPr>
          <w:ilvl w:val="0"/>
          <w:numId w:val="27"/>
        </w:numPr>
        <w:jc w:val="both"/>
      </w:pPr>
      <w:r>
        <w:t>3 coccyx (fused)</w:t>
      </w:r>
    </w:p>
    <w:p w:rsidR="000773D9" w:rsidRDefault="000773D9" w:rsidP="000773D9">
      <w:pPr>
        <w:jc w:val="both"/>
      </w:pPr>
      <w:r>
        <w:t>Each vertebra has 4 facet joint articulations and an intervertebral disc between the end plates of the vertebral bodies. The greatest range of motion in the spine is between C5-T1 and the greatest load passes through the lower lumbar segments L3-S1. These are the most com</w:t>
      </w:r>
      <w:r w:rsidR="005729EB">
        <w:t>mon regions where pain is felt.</w:t>
      </w:r>
    </w:p>
    <w:p w:rsidR="000773D9" w:rsidRDefault="005729EB" w:rsidP="005729EB">
      <w:pPr>
        <w:pStyle w:val="Heading2"/>
      </w:pPr>
      <w:r>
        <w:t>Dermatomes</w:t>
      </w:r>
    </w:p>
    <w:p w:rsidR="000773D9" w:rsidRDefault="000773D9" w:rsidP="000773D9">
      <w:pPr>
        <w:jc w:val="both"/>
      </w:pPr>
      <w:r>
        <w:t xml:space="preserve">Aide </w:t>
      </w:r>
      <w:proofErr w:type="spellStart"/>
      <w:r>
        <w:t>memore</w:t>
      </w:r>
      <w:proofErr w:type="spellEnd"/>
      <w:r>
        <w:t xml:space="preserve">: you </w:t>
      </w:r>
      <w:r w:rsidR="005729EB">
        <w:t xml:space="preserve">stand on S1, Sit on S2 and you </w:t>
      </w:r>
      <w:proofErr w:type="spellStart"/>
      <w:r w:rsidR="005729EB">
        <w:t>s</w:t>
      </w:r>
      <w:r>
        <w:t>h</w:t>
      </w:r>
      <w:proofErr w:type="spellEnd"/>
      <w:r>
        <w:t>*t through S3</w:t>
      </w:r>
    </w:p>
    <w:p w:rsidR="000773D9" w:rsidRDefault="005729EB" w:rsidP="000773D9">
      <w:pPr>
        <w:jc w:val="both"/>
      </w:pPr>
      <w:r>
        <w:rPr>
          <w:rFonts w:ascii="Calibri Light" w:hAnsi="Calibri Light"/>
          <w:noProof/>
          <w:lang w:eastAsia="en-GB"/>
        </w:rPr>
        <w:drawing>
          <wp:anchor distT="0" distB="0" distL="114300" distR="114300" simplePos="0" relativeHeight="251659264" behindDoc="0" locked="0" layoutInCell="1" allowOverlap="1" wp14:anchorId="78DE9E3C" wp14:editId="0F695910">
            <wp:simplePos x="0" y="0"/>
            <wp:positionH relativeFrom="column">
              <wp:posOffset>3695700</wp:posOffset>
            </wp:positionH>
            <wp:positionV relativeFrom="paragraph">
              <wp:posOffset>2179320</wp:posOffset>
            </wp:positionV>
            <wp:extent cx="2764155" cy="3092450"/>
            <wp:effectExtent l="0" t="0" r="0" b="0"/>
            <wp:wrapSquare wrapText="bothSides"/>
            <wp:docPr id="11" name="Picture 11" descr="cid:image007.png@01D03718.5FA201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7.png@01D03718.5FA201E0"/>
                    <pic:cNvPicPr>
                      <a:picLocks noChangeAspect="1" noChangeArrowheads="1"/>
                    </pic:cNvPicPr>
                  </pic:nvPicPr>
                  <pic:blipFill rotWithShape="1">
                    <a:blip r:embed="rId9" r:link="rId10">
                      <a:extLst>
                        <a:ext uri="{28A0092B-C50C-407E-A947-70E740481C1C}">
                          <a14:useLocalDpi xmlns:a14="http://schemas.microsoft.com/office/drawing/2010/main" val="0"/>
                        </a:ext>
                      </a:extLst>
                    </a:blip>
                    <a:srcRect l="4965" r="4587"/>
                    <a:stretch/>
                  </pic:blipFill>
                  <pic:spPr bwMode="auto">
                    <a:xfrm>
                      <a:off x="0" y="0"/>
                      <a:ext cx="2764155" cy="3092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Light" w:hAnsi="Calibri Light"/>
          <w:noProof/>
          <w:lang w:eastAsia="en-GB"/>
        </w:rPr>
        <w:drawing>
          <wp:inline distT="0" distB="0" distL="0" distR="0" wp14:anchorId="62EE233A" wp14:editId="64CA5457">
            <wp:extent cx="4228942" cy="2129155"/>
            <wp:effectExtent l="0" t="0" r="635" b="4445"/>
            <wp:docPr id="10" name="Picture 10" descr="cid:image005.png@01D03718.5FA201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5.png@01D03718.5FA201E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4266208" cy="2147917"/>
                    </a:xfrm>
                    <a:prstGeom prst="rect">
                      <a:avLst/>
                    </a:prstGeom>
                    <a:noFill/>
                    <a:ln>
                      <a:noFill/>
                    </a:ln>
                  </pic:spPr>
                </pic:pic>
              </a:graphicData>
            </a:graphic>
          </wp:inline>
        </w:drawing>
      </w:r>
    </w:p>
    <w:p w:rsidR="000773D9" w:rsidRDefault="000773D9" w:rsidP="005729EB">
      <w:pPr>
        <w:pStyle w:val="Heading2"/>
      </w:pPr>
      <w:proofErr w:type="spellStart"/>
      <w:r>
        <w:t>Myotomes</w:t>
      </w:r>
      <w:proofErr w:type="spellEnd"/>
    </w:p>
    <w:tbl>
      <w:tblPr>
        <w:tblW w:w="562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59"/>
        <w:gridCol w:w="2503"/>
        <w:gridCol w:w="1667"/>
      </w:tblGrid>
      <w:tr w:rsidR="005729EB" w:rsidRPr="005729EB" w:rsidTr="005729EB">
        <w:trPr>
          <w:trHeight w:val="173"/>
        </w:trPr>
        <w:tc>
          <w:tcPr>
            <w:tcW w:w="1296" w:type="pct"/>
            <w:tcBorders>
              <w:top w:val="nil"/>
              <w:left w:val="nil"/>
              <w:bottom w:val="nil"/>
              <w:right w:val="nil"/>
            </w:tcBorders>
            <w:shd w:val="clear" w:color="auto" w:fill="999900"/>
            <w:vAlign w:val="center"/>
            <w:hideMark/>
          </w:tcPr>
          <w:p w:rsidR="005729EB" w:rsidRPr="005729EB" w:rsidRDefault="005729EB" w:rsidP="005729EB">
            <w:pPr>
              <w:spacing w:after="0" w:line="255" w:lineRule="atLeast"/>
              <w:jc w:val="center"/>
              <w:rPr>
                <w:rFonts w:ascii="Arial" w:eastAsia="Times New Roman" w:hAnsi="Arial" w:cs="Arial"/>
                <w:color w:val="4B4B4B"/>
                <w:sz w:val="21"/>
                <w:szCs w:val="21"/>
                <w:lang w:eastAsia="en-GB"/>
              </w:rPr>
            </w:pPr>
            <w:r w:rsidRPr="005729EB">
              <w:rPr>
                <w:rFonts w:ascii="Arial" w:eastAsia="Times New Roman" w:hAnsi="Arial" w:cs="Arial"/>
                <w:b/>
                <w:bCs/>
                <w:color w:val="FFFFFF"/>
                <w:sz w:val="21"/>
                <w:szCs w:val="21"/>
                <w:lang w:eastAsia="en-GB"/>
              </w:rPr>
              <w:t>Root</w:t>
            </w:r>
          </w:p>
        </w:tc>
        <w:tc>
          <w:tcPr>
            <w:tcW w:w="2223" w:type="pct"/>
            <w:tcBorders>
              <w:top w:val="nil"/>
              <w:left w:val="nil"/>
              <w:bottom w:val="nil"/>
              <w:right w:val="nil"/>
            </w:tcBorders>
            <w:shd w:val="clear" w:color="auto" w:fill="999900"/>
            <w:vAlign w:val="center"/>
            <w:hideMark/>
          </w:tcPr>
          <w:p w:rsidR="005729EB" w:rsidRPr="005729EB" w:rsidRDefault="005729EB" w:rsidP="005729EB">
            <w:pPr>
              <w:spacing w:after="0" w:line="255" w:lineRule="atLeast"/>
              <w:jc w:val="center"/>
              <w:rPr>
                <w:rFonts w:ascii="Arial" w:eastAsia="Times New Roman" w:hAnsi="Arial" w:cs="Arial"/>
                <w:color w:val="4B4B4B"/>
                <w:sz w:val="21"/>
                <w:szCs w:val="21"/>
                <w:lang w:eastAsia="en-GB"/>
              </w:rPr>
            </w:pPr>
            <w:proofErr w:type="spellStart"/>
            <w:r w:rsidRPr="005729EB">
              <w:rPr>
                <w:rFonts w:ascii="Arial" w:eastAsia="Times New Roman" w:hAnsi="Arial" w:cs="Arial"/>
                <w:b/>
                <w:bCs/>
                <w:color w:val="FFFFFF"/>
                <w:sz w:val="21"/>
                <w:szCs w:val="21"/>
                <w:lang w:eastAsia="en-GB"/>
              </w:rPr>
              <w:t>Myotome</w:t>
            </w:r>
            <w:proofErr w:type="spellEnd"/>
          </w:p>
        </w:tc>
        <w:tc>
          <w:tcPr>
            <w:tcW w:w="1481" w:type="pct"/>
            <w:tcBorders>
              <w:top w:val="nil"/>
              <w:left w:val="nil"/>
              <w:bottom w:val="nil"/>
              <w:right w:val="nil"/>
            </w:tcBorders>
            <w:shd w:val="clear" w:color="auto" w:fill="999900"/>
            <w:vAlign w:val="center"/>
            <w:hideMark/>
          </w:tcPr>
          <w:p w:rsidR="005729EB" w:rsidRPr="005729EB" w:rsidRDefault="005729EB" w:rsidP="005729EB">
            <w:pPr>
              <w:spacing w:after="0" w:line="255" w:lineRule="atLeast"/>
              <w:jc w:val="center"/>
              <w:rPr>
                <w:rFonts w:ascii="Arial" w:eastAsia="Times New Roman" w:hAnsi="Arial" w:cs="Arial"/>
                <w:color w:val="4B4B4B"/>
                <w:sz w:val="21"/>
                <w:szCs w:val="21"/>
                <w:lang w:eastAsia="en-GB"/>
              </w:rPr>
            </w:pPr>
            <w:r w:rsidRPr="005729EB">
              <w:rPr>
                <w:rFonts w:ascii="Arial" w:eastAsia="Times New Roman" w:hAnsi="Arial" w:cs="Arial"/>
                <w:b/>
                <w:bCs/>
                <w:color w:val="FFFFFF"/>
                <w:sz w:val="21"/>
                <w:szCs w:val="21"/>
                <w:lang w:eastAsia="en-GB"/>
              </w:rPr>
              <w:t>Reflex</w:t>
            </w:r>
          </w:p>
        </w:tc>
      </w:tr>
      <w:tr w:rsidR="005729EB" w:rsidRPr="005729EB" w:rsidTr="005729EB">
        <w:trPr>
          <w:trHeight w:val="339"/>
        </w:trPr>
        <w:tc>
          <w:tcPr>
            <w:tcW w:w="1296"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color w:val="4B4B4B"/>
                <w:sz w:val="16"/>
                <w:szCs w:val="21"/>
                <w:lang w:eastAsia="en-GB"/>
              </w:rPr>
            </w:pPr>
            <w:r w:rsidRPr="005729EB">
              <w:rPr>
                <w:rFonts w:ascii="Arial" w:eastAsia="Times New Roman" w:hAnsi="Arial" w:cs="Arial"/>
                <w:color w:val="4B4B4B"/>
                <w:sz w:val="16"/>
                <w:szCs w:val="21"/>
                <w:lang w:eastAsia="en-GB"/>
              </w:rPr>
              <w:t>C5</w:t>
            </w:r>
          </w:p>
        </w:tc>
        <w:tc>
          <w:tcPr>
            <w:tcW w:w="2223"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color w:val="4B4B4B"/>
                <w:sz w:val="16"/>
                <w:szCs w:val="21"/>
                <w:lang w:eastAsia="en-GB"/>
              </w:rPr>
            </w:pPr>
            <w:r w:rsidRPr="005729EB">
              <w:rPr>
                <w:rFonts w:ascii="Arial" w:eastAsia="Times New Roman" w:hAnsi="Arial" w:cs="Arial"/>
                <w:color w:val="4B4B4B"/>
                <w:sz w:val="16"/>
                <w:szCs w:val="21"/>
                <w:lang w:eastAsia="en-GB"/>
              </w:rPr>
              <w:t>Shoulder abduction</w:t>
            </w:r>
          </w:p>
        </w:tc>
        <w:tc>
          <w:tcPr>
            <w:tcW w:w="1481"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color w:val="4B4B4B"/>
                <w:sz w:val="16"/>
                <w:szCs w:val="21"/>
                <w:lang w:eastAsia="en-GB"/>
              </w:rPr>
            </w:pPr>
            <w:r w:rsidRPr="005729EB">
              <w:rPr>
                <w:rFonts w:ascii="Arial" w:eastAsia="Times New Roman" w:hAnsi="Arial" w:cs="Arial"/>
                <w:color w:val="4B4B4B"/>
                <w:sz w:val="16"/>
                <w:szCs w:val="21"/>
                <w:lang w:eastAsia="en-GB"/>
              </w:rPr>
              <w:t>Biceps</w:t>
            </w:r>
          </w:p>
        </w:tc>
      </w:tr>
      <w:tr w:rsidR="005729EB" w:rsidRPr="005729EB" w:rsidTr="005729EB">
        <w:trPr>
          <w:trHeight w:val="339"/>
        </w:trPr>
        <w:tc>
          <w:tcPr>
            <w:tcW w:w="1296"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color w:val="4B4B4B"/>
                <w:sz w:val="16"/>
                <w:szCs w:val="21"/>
                <w:lang w:eastAsia="en-GB"/>
              </w:rPr>
            </w:pPr>
            <w:r w:rsidRPr="005729EB">
              <w:rPr>
                <w:rFonts w:ascii="Arial" w:eastAsia="Times New Roman" w:hAnsi="Arial" w:cs="Arial"/>
                <w:color w:val="4B4B4B"/>
                <w:sz w:val="16"/>
                <w:szCs w:val="21"/>
                <w:lang w:eastAsia="en-GB"/>
              </w:rPr>
              <w:t>C6</w:t>
            </w:r>
          </w:p>
        </w:tc>
        <w:tc>
          <w:tcPr>
            <w:tcW w:w="2223"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color w:val="4B4B4B"/>
                <w:sz w:val="16"/>
                <w:szCs w:val="21"/>
                <w:lang w:eastAsia="en-GB"/>
              </w:rPr>
            </w:pPr>
            <w:r w:rsidRPr="005729EB">
              <w:rPr>
                <w:rFonts w:ascii="Arial" w:eastAsia="Times New Roman" w:hAnsi="Arial" w:cs="Arial"/>
                <w:color w:val="4B4B4B"/>
                <w:sz w:val="16"/>
                <w:szCs w:val="21"/>
                <w:lang w:eastAsia="en-GB"/>
              </w:rPr>
              <w:t>Elbow flexion, wrist extension</w:t>
            </w:r>
          </w:p>
        </w:tc>
        <w:tc>
          <w:tcPr>
            <w:tcW w:w="1481"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color w:val="4B4B4B"/>
                <w:sz w:val="16"/>
                <w:szCs w:val="21"/>
                <w:lang w:eastAsia="en-GB"/>
              </w:rPr>
            </w:pPr>
            <w:proofErr w:type="spellStart"/>
            <w:r w:rsidRPr="005729EB">
              <w:rPr>
                <w:rFonts w:ascii="Arial" w:eastAsia="Times New Roman" w:hAnsi="Arial" w:cs="Arial"/>
                <w:color w:val="4B4B4B"/>
                <w:sz w:val="16"/>
                <w:szCs w:val="21"/>
                <w:lang w:eastAsia="en-GB"/>
              </w:rPr>
              <w:t>Brachioradialis</w:t>
            </w:r>
            <w:proofErr w:type="spellEnd"/>
          </w:p>
        </w:tc>
      </w:tr>
      <w:tr w:rsidR="005729EB" w:rsidRPr="005729EB" w:rsidTr="005729EB">
        <w:trPr>
          <w:trHeight w:val="339"/>
        </w:trPr>
        <w:tc>
          <w:tcPr>
            <w:tcW w:w="1296"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color w:val="4B4B4B"/>
                <w:sz w:val="16"/>
                <w:szCs w:val="21"/>
                <w:lang w:eastAsia="en-GB"/>
              </w:rPr>
            </w:pPr>
            <w:r w:rsidRPr="005729EB">
              <w:rPr>
                <w:rFonts w:ascii="Arial" w:eastAsia="Times New Roman" w:hAnsi="Arial" w:cs="Arial"/>
                <w:color w:val="4B4B4B"/>
                <w:sz w:val="16"/>
                <w:szCs w:val="21"/>
                <w:lang w:eastAsia="en-GB"/>
              </w:rPr>
              <w:t>C7</w:t>
            </w:r>
          </w:p>
        </w:tc>
        <w:tc>
          <w:tcPr>
            <w:tcW w:w="2223"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color w:val="4B4B4B"/>
                <w:sz w:val="16"/>
                <w:szCs w:val="21"/>
                <w:lang w:eastAsia="en-GB"/>
              </w:rPr>
            </w:pPr>
            <w:r w:rsidRPr="005729EB">
              <w:rPr>
                <w:rFonts w:ascii="Arial" w:eastAsia="Times New Roman" w:hAnsi="Arial" w:cs="Arial"/>
                <w:color w:val="4B4B4B"/>
                <w:sz w:val="16"/>
                <w:szCs w:val="21"/>
                <w:lang w:eastAsia="en-GB"/>
              </w:rPr>
              <w:t>Elbow extension, wrist flexion</w:t>
            </w:r>
          </w:p>
        </w:tc>
        <w:tc>
          <w:tcPr>
            <w:tcW w:w="1481"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color w:val="4B4B4B"/>
                <w:sz w:val="16"/>
                <w:szCs w:val="21"/>
                <w:lang w:eastAsia="en-GB"/>
              </w:rPr>
            </w:pPr>
            <w:r w:rsidRPr="005729EB">
              <w:rPr>
                <w:rFonts w:ascii="Arial" w:eastAsia="Times New Roman" w:hAnsi="Arial" w:cs="Arial"/>
                <w:color w:val="4B4B4B"/>
                <w:sz w:val="16"/>
                <w:szCs w:val="21"/>
                <w:lang w:eastAsia="en-GB"/>
              </w:rPr>
              <w:t>Triceps</w:t>
            </w:r>
          </w:p>
        </w:tc>
      </w:tr>
      <w:tr w:rsidR="005729EB" w:rsidRPr="005729EB" w:rsidTr="005729EB">
        <w:trPr>
          <w:trHeight w:val="339"/>
        </w:trPr>
        <w:tc>
          <w:tcPr>
            <w:tcW w:w="1296"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color w:val="4B4B4B"/>
                <w:sz w:val="16"/>
                <w:szCs w:val="21"/>
                <w:lang w:eastAsia="en-GB"/>
              </w:rPr>
            </w:pPr>
            <w:r w:rsidRPr="005729EB">
              <w:rPr>
                <w:rFonts w:ascii="Arial" w:eastAsia="Times New Roman" w:hAnsi="Arial" w:cs="Arial"/>
                <w:color w:val="4B4B4B"/>
                <w:sz w:val="16"/>
                <w:szCs w:val="21"/>
                <w:lang w:eastAsia="en-GB"/>
              </w:rPr>
              <w:t>C8</w:t>
            </w:r>
          </w:p>
        </w:tc>
        <w:tc>
          <w:tcPr>
            <w:tcW w:w="2223"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color w:val="4B4B4B"/>
                <w:sz w:val="16"/>
                <w:szCs w:val="21"/>
                <w:lang w:eastAsia="en-GB"/>
              </w:rPr>
            </w:pPr>
            <w:r w:rsidRPr="005729EB">
              <w:rPr>
                <w:rFonts w:ascii="Arial" w:eastAsia="Times New Roman" w:hAnsi="Arial" w:cs="Arial"/>
                <w:color w:val="4B4B4B"/>
                <w:sz w:val="16"/>
                <w:szCs w:val="21"/>
                <w:lang w:eastAsia="en-GB"/>
              </w:rPr>
              <w:t>Finger flexion</w:t>
            </w:r>
          </w:p>
        </w:tc>
        <w:tc>
          <w:tcPr>
            <w:tcW w:w="1481" w:type="pct"/>
            <w:tcBorders>
              <w:top w:val="nil"/>
              <w:left w:val="nil"/>
              <w:bottom w:val="nil"/>
              <w:right w:val="nil"/>
            </w:tcBorders>
            <w:shd w:val="clear" w:color="auto" w:fill="FFFFFF"/>
            <w:hideMark/>
          </w:tcPr>
          <w:p w:rsidR="005729EB" w:rsidRPr="005729EB" w:rsidRDefault="005729EB" w:rsidP="005729EB">
            <w:pPr>
              <w:spacing w:after="0" w:line="240" w:lineRule="auto"/>
              <w:rPr>
                <w:rFonts w:ascii="Arial" w:eastAsia="Times New Roman" w:hAnsi="Arial" w:cs="Arial"/>
                <w:color w:val="4B4B4B"/>
                <w:sz w:val="16"/>
                <w:szCs w:val="21"/>
                <w:lang w:eastAsia="en-GB"/>
              </w:rPr>
            </w:pPr>
          </w:p>
        </w:tc>
      </w:tr>
      <w:tr w:rsidR="005729EB" w:rsidRPr="005729EB" w:rsidTr="005729EB">
        <w:trPr>
          <w:trHeight w:val="339"/>
        </w:trPr>
        <w:tc>
          <w:tcPr>
            <w:tcW w:w="1296"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color w:val="4B4B4B"/>
                <w:sz w:val="16"/>
                <w:szCs w:val="21"/>
                <w:lang w:eastAsia="en-GB"/>
              </w:rPr>
            </w:pPr>
            <w:r w:rsidRPr="005729EB">
              <w:rPr>
                <w:rFonts w:ascii="Arial" w:eastAsia="Times New Roman" w:hAnsi="Arial" w:cs="Arial"/>
                <w:color w:val="4B4B4B"/>
                <w:sz w:val="16"/>
                <w:szCs w:val="21"/>
                <w:lang w:eastAsia="en-GB"/>
              </w:rPr>
              <w:t>T1</w:t>
            </w:r>
          </w:p>
        </w:tc>
        <w:tc>
          <w:tcPr>
            <w:tcW w:w="2223"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color w:val="4B4B4B"/>
                <w:sz w:val="16"/>
                <w:szCs w:val="21"/>
                <w:lang w:eastAsia="en-GB"/>
              </w:rPr>
            </w:pPr>
            <w:r w:rsidRPr="005729EB">
              <w:rPr>
                <w:rFonts w:ascii="Arial" w:eastAsia="Times New Roman" w:hAnsi="Arial" w:cs="Arial"/>
                <w:color w:val="4B4B4B"/>
                <w:sz w:val="16"/>
                <w:szCs w:val="21"/>
                <w:lang w:eastAsia="en-GB"/>
              </w:rPr>
              <w:t>Finger abduction</w:t>
            </w:r>
          </w:p>
        </w:tc>
        <w:tc>
          <w:tcPr>
            <w:tcW w:w="1481"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color w:val="4B4B4B"/>
                <w:sz w:val="16"/>
                <w:szCs w:val="21"/>
                <w:lang w:eastAsia="en-GB"/>
              </w:rPr>
            </w:pPr>
            <w:r w:rsidRPr="005729EB">
              <w:rPr>
                <w:rFonts w:ascii="Arial" w:eastAsia="Times New Roman" w:hAnsi="Arial" w:cs="Arial"/>
                <w:color w:val="4B4B4B"/>
                <w:sz w:val="16"/>
                <w:szCs w:val="21"/>
                <w:lang w:eastAsia="en-GB"/>
              </w:rPr>
              <w:t>Fingers</w:t>
            </w:r>
          </w:p>
        </w:tc>
      </w:tr>
      <w:tr w:rsidR="005729EB" w:rsidRPr="005729EB" w:rsidTr="005729EB">
        <w:trPr>
          <w:trHeight w:val="339"/>
        </w:trPr>
        <w:tc>
          <w:tcPr>
            <w:tcW w:w="1296"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b/>
                <w:color w:val="4B4B4B"/>
                <w:sz w:val="16"/>
                <w:szCs w:val="21"/>
                <w:lang w:eastAsia="en-GB"/>
              </w:rPr>
            </w:pPr>
            <w:r w:rsidRPr="005729EB">
              <w:rPr>
                <w:rFonts w:ascii="Arial" w:eastAsia="Times New Roman" w:hAnsi="Arial" w:cs="Arial"/>
                <w:b/>
                <w:color w:val="4B4B4B"/>
                <w:sz w:val="16"/>
                <w:szCs w:val="21"/>
                <w:lang w:eastAsia="en-GB"/>
              </w:rPr>
              <w:t>L4</w:t>
            </w:r>
          </w:p>
        </w:tc>
        <w:tc>
          <w:tcPr>
            <w:tcW w:w="2223"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b/>
                <w:color w:val="4B4B4B"/>
                <w:sz w:val="16"/>
                <w:szCs w:val="21"/>
                <w:lang w:eastAsia="en-GB"/>
              </w:rPr>
            </w:pPr>
            <w:r w:rsidRPr="005729EB">
              <w:rPr>
                <w:rFonts w:ascii="Arial" w:eastAsia="Times New Roman" w:hAnsi="Arial" w:cs="Arial"/>
                <w:b/>
                <w:color w:val="4B4B4B"/>
                <w:sz w:val="16"/>
                <w:szCs w:val="21"/>
                <w:lang w:eastAsia="en-GB"/>
              </w:rPr>
              <w:t>Ankle dorsiflexion</w:t>
            </w:r>
          </w:p>
        </w:tc>
        <w:tc>
          <w:tcPr>
            <w:tcW w:w="1481"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b/>
                <w:color w:val="4B4B4B"/>
                <w:sz w:val="16"/>
                <w:szCs w:val="21"/>
                <w:lang w:eastAsia="en-GB"/>
              </w:rPr>
            </w:pPr>
            <w:r w:rsidRPr="005729EB">
              <w:rPr>
                <w:rFonts w:ascii="Arial" w:eastAsia="Times New Roman" w:hAnsi="Arial" w:cs="Arial"/>
                <w:b/>
                <w:color w:val="4B4B4B"/>
                <w:sz w:val="16"/>
                <w:szCs w:val="21"/>
                <w:lang w:eastAsia="en-GB"/>
              </w:rPr>
              <w:t>Knee</w:t>
            </w:r>
          </w:p>
        </w:tc>
      </w:tr>
      <w:tr w:rsidR="005729EB" w:rsidRPr="005729EB" w:rsidTr="005729EB">
        <w:trPr>
          <w:trHeight w:val="339"/>
        </w:trPr>
        <w:tc>
          <w:tcPr>
            <w:tcW w:w="1296"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b/>
                <w:color w:val="4B4B4B"/>
                <w:sz w:val="16"/>
                <w:szCs w:val="21"/>
                <w:lang w:eastAsia="en-GB"/>
              </w:rPr>
            </w:pPr>
            <w:r w:rsidRPr="005729EB">
              <w:rPr>
                <w:rFonts w:ascii="Arial" w:eastAsia="Times New Roman" w:hAnsi="Arial" w:cs="Arial"/>
                <w:b/>
                <w:color w:val="4B4B4B"/>
                <w:sz w:val="16"/>
                <w:szCs w:val="21"/>
                <w:lang w:eastAsia="en-GB"/>
              </w:rPr>
              <w:t>L5</w:t>
            </w:r>
          </w:p>
        </w:tc>
        <w:tc>
          <w:tcPr>
            <w:tcW w:w="2223"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b/>
                <w:color w:val="4B4B4B"/>
                <w:sz w:val="16"/>
                <w:szCs w:val="21"/>
                <w:lang w:eastAsia="en-GB"/>
              </w:rPr>
            </w:pPr>
            <w:r w:rsidRPr="005729EB">
              <w:rPr>
                <w:rFonts w:ascii="Arial" w:eastAsia="Times New Roman" w:hAnsi="Arial" w:cs="Arial"/>
                <w:b/>
                <w:color w:val="4B4B4B"/>
                <w:sz w:val="16"/>
                <w:szCs w:val="21"/>
                <w:lang w:eastAsia="en-GB"/>
              </w:rPr>
              <w:t>Hallux extension (walk on heels)</w:t>
            </w:r>
          </w:p>
        </w:tc>
        <w:tc>
          <w:tcPr>
            <w:tcW w:w="1481" w:type="pct"/>
            <w:tcBorders>
              <w:top w:val="nil"/>
              <w:left w:val="nil"/>
              <w:bottom w:val="nil"/>
              <w:right w:val="nil"/>
            </w:tcBorders>
            <w:shd w:val="clear" w:color="auto" w:fill="FFFFFF"/>
            <w:hideMark/>
          </w:tcPr>
          <w:p w:rsidR="005729EB" w:rsidRPr="005729EB" w:rsidRDefault="005729EB" w:rsidP="005729EB">
            <w:pPr>
              <w:spacing w:after="0" w:line="240" w:lineRule="auto"/>
              <w:rPr>
                <w:rFonts w:ascii="Arial" w:eastAsia="Times New Roman" w:hAnsi="Arial" w:cs="Arial"/>
                <w:b/>
                <w:color w:val="4B4B4B"/>
                <w:sz w:val="16"/>
                <w:szCs w:val="21"/>
                <w:lang w:eastAsia="en-GB"/>
              </w:rPr>
            </w:pPr>
          </w:p>
        </w:tc>
      </w:tr>
      <w:tr w:rsidR="005729EB" w:rsidRPr="005729EB" w:rsidTr="005729EB">
        <w:trPr>
          <w:trHeight w:val="339"/>
        </w:trPr>
        <w:tc>
          <w:tcPr>
            <w:tcW w:w="1296"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b/>
                <w:color w:val="4B4B4B"/>
                <w:sz w:val="16"/>
                <w:szCs w:val="21"/>
                <w:lang w:eastAsia="en-GB"/>
              </w:rPr>
            </w:pPr>
            <w:r w:rsidRPr="005729EB">
              <w:rPr>
                <w:rFonts w:ascii="Arial" w:eastAsia="Times New Roman" w:hAnsi="Arial" w:cs="Arial"/>
                <w:b/>
                <w:color w:val="4B4B4B"/>
                <w:sz w:val="16"/>
                <w:szCs w:val="21"/>
                <w:lang w:eastAsia="en-GB"/>
              </w:rPr>
              <w:t>S1</w:t>
            </w:r>
          </w:p>
        </w:tc>
        <w:tc>
          <w:tcPr>
            <w:tcW w:w="2223" w:type="pct"/>
            <w:tcBorders>
              <w:top w:val="nil"/>
              <w:left w:val="nil"/>
              <w:bottom w:val="nil"/>
              <w:right w:val="nil"/>
            </w:tcBorders>
            <w:shd w:val="clear" w:color="auto" w:fill="FFFFFF"/>
            <w:hideMark/>
          </w:tcPr>
          <w:p w:rsidR="005729EB" w:rsidRPr="005729EB" w:rsidRDefault="00C34ECF" w:rsidP="005729EB">
            <w:pPr>
              <w:spacing w:after="240" w:line="255" w:lineRule="atLeast"/>
              <w:jc w:val="center"/>
              <w:rPr>
                <w:rFonts w:ascii="Arial" w:eastAsia="Times New Roman" w:hAnsi="Arial" w:cs="Arial"/>
                <w:b/>
                <w:color w:val="4B4B4B"/>
                <w:sz w:val="16"/>
                <w:szCs w:val="21"/>
                <w:lang w:eastAsia="en-GB"/>
              </w:rPr>
            </w:pPr>
            <w:proofErr w:type="spellStart"/>
            <w:r w:rsidRPr="00C34ECF">
              <w:rPr>
                <w:rFonts w:ascii="Arial" w:eastAsia="Times New Roman" w:hAnsi="Arial" w:cs="Arial"/>
                <w:b/>
                <w:color w:val="4B4B4B"/>
                <w:sz w:val="16"/>
                <w:szCs w:val="21"/>
                <w:lang w:eastAsia="en-GB"/>
              </w:rPr>
              <w:t>Plantarflexion</w:t>
            </w:r>
            <w:proofErr w:type="spellEnd"/>
            <w:r w:rsidR="005729EB" w:rsidRPr="005729EB">
              <w:rPr>
                <w:rFonts w:ascii="Arial" w:eastAsia="Times New Roman" w:hAnsi="Arial" w:cs="Arial"/>
                <w:b/>
                <w:color w:val="4B4B4B"/>
                <w:sz w:val="16"/>
                <w:szCs w:val="21"/>
                <w:lang w:eastAsia="en-GB"/>
              </w:rPr>
              <w:t xml:space="preserve"> (walk on tip-toes)</w:t>
            </w:r>
          </w:p>
        </w:tc>
        <w:tc>
          <w:tcPr>
            <w:tcW w:w="1481" w:type="pct"/>
            <w:tcBorders>
              <w:top w:val="nil"/>
              <w:left w:val="nil"/>
              <w:bottom w:val="nil"/>
              <w:right w:val="nil"/>
            </w:tcBorders>
            <w:shd w:val="clear" w:color="auto" w:fill="FFFFFF"/>
            <w:hideMark/>
          </w:tcPr>
          <w:p w:rsidR="005729EB" w:rsidRPr="005729EB" w:rsidRDefault="005729EB" w:rsidP="005729EB">
            <w:pPr>
              <w:spacing w:after="240" w:line="255" w:lineRule="atLeast"/>
              <w:jc w:val="center"/>
              <w:rPr>
                <w:rFonts w:ascii="Arial" w:eastAsia="Times New Roman" w:hAnsi="Arial" w:cs="Arial"/>
                <w:b/>
                <w:color w:val="4B4B4B"/>
                <w:sz w:val="16"/>
                <w:szCs w:val="21"/>
                <w:lang w:eastAsia="en-GB"/>
              </w:rPr>
            </w:pPr>
            <w:r w:rsidRPr="005729EB">
              <w:rPr>
                <w:rFonts w:ascii="Arial" w:eastAsia="Times New Roman" w:hAnsi="Arial" w:cs="Arial"/>
                <w:b/>
                <w:color w:val="4B4B4B"/>
                <w:sz w:val="16"/>
                <w:szCs w:val="21"/>
                <w:lang w:eastAsia="en-GB"/>
              </w:rPr>
              <w:t>Ankle</w:t>
            </w:r>
          </w:p>
        </w:tc>
      </w:tr>
    </w:tbl>
    <w:p w:rsidR="005729EB" w:rsidRPr="005729EB" w:rsidRDefault="00C34ECF" w:rsidP="005729EB">
      <w:pPr>
        <w:spacing w:after="0" w:line="240" w:lineRule="auto"/>
        <w:rPr>
          <w:rFonts w:ascii="Calibri Light" w:eastAsia="Times New Roman" w:hAnsi="Calibri Light" w:cs="Times New Roman"/>
          <w:color w:val="1F497D"/>
        </w:rPr>
      </w:pPr>
      <w:r w:rsidRPr="00C34ECF">
        <w:rPr>
          <w:rFonts w:ascii="Calibri Light" w:eastAsia="Times New Roman" w:hAnsi="Calibri Light" w:cs="Times New Roman"/>
          <w:b/>
          <w:color w:val="1F497D"/>
        </w:rPr>
        <w:lastRenderedPageBreak/>
        <w:t>Top tip:</w:t>
      </w:r>
      <w:r>
        <w:rPr>
          <w:rFonts w:ascii="Calibri Light" w:eastAsia="Times New Roman" w:hAnsi="Calibri Light" w:cs="Times New Roman"/>
          <w:color w:val="1F497D"/>
        </w:rPr>
        <w:t xml:space="preserve"> Back pain pathology (if any), is going to be related to L3-S1.  Therefore, rather than remembering all the </w:t>
      </w:r>
      <w:proofErr w:type="spellStart"/>
      <w:r>
        <w:rPr>
          <w:rFonts w:ascii="Calibri Light" w:eastAsia="Times New Roman" w:hAnsi="Calibri Light" w:cs="Times New Roman"/>
          <w:color w:val="1F497D"/>
        </w:rPr>
        <w:t>myotomes</w:t>
      </w:r>
      <w:proofErr w:type="spellEnd"/>
      <w:r>
        <w:rPr>
          <w:rFonts w:ascii="Calibri Light" w:eastAsia="Times New Roman" w:hAnsi="Calibri Light" w:cs="Times New Roman"/>
          <w:color w:val="1F497D"/>
        </w:rPr>
        <w:t>, just test for L4, L5 and S1 = ankle dorsiflexion, plantar flexion (walk tip toe), hallux extension (walk on heels).</w:t>
      </w:r>
    </w:p>
    <w:p w:rsidR="000773D9" w:rsidRDefault="000773D9" w:rsidP="000773D9">
      <w:pPr>
        <w:jc w:val="both"/>
      </w:pPr>
    </w:p>
    <w:p w:rsidR="000773D9" w:rsidRPr="00C34ECF" w:rsidRDefault="000773D9" w:rsidP="00C34ECF">
      <w:pPr>
        <w:pStyle w:val="Title"/>
        <w:rPr>
          <w:color w:val="0070C0"/>
        </w:rPr>
      </w:pPr>
      <w:r w:rsidRPr="00C34ECF">
        <w:rPr>
          <w:color w:val="0070C0"/>
        </w:rPr>
        <w:t>BACK PAIN</w:t>
      </w:r>
    </w:p>
    <w:p w:rsidR="000773D9" w:rsidRPr="00C34ECF" w:rsidRDefault="00C34ECF" w:rsidP="00C34ECF">
      <w:pPr>
        <w:pStyle w:val="ListParagraph"/>
        <w:numPr>
          <w:ilvl w:val="0"/>
          <w:numId w:val="28"/>
        </w:numPr>
        <w:jc w:val="both"/>
        <w:rPr>
          <w:b/>
        </w:rPr>
      </w:pPr>
      <w:r w:rsidRPr="00C34ECF">
        <w:rPr>
          <w:b/>
        </w:rPr>
        <w:t xml:space="preserve">5% of all GP consultations.    </w:t>
      </w:r>
      <w:r w:rsidR="000773D9">
        <w:t>Prevalence 20-30% of the population at any one time.</w:t>
      </w:r>
    </w:p>
    <w:p w:rsidR="000773D9" w:rsidRDefault="000773D9" w:rsidP="00C34ECF">
      <w:pPr>
        <w:pStyle w:val="ListParagraph"/>
        <w:numPr>
          <w:ilvl w:val="0"/>
          <w:numId w:val="28"/>
        </w:numPr>
        <w:jc w:val="both"/>
      </w:pPr>
      <w:r>
        <w:t>70% of the population will experience significant back pain at some time in their lives.</w:t>
      </w:r>
    </w:p>
    <w:p w:rsidR="000773D9" w:rsidRDefault="000773D9" w:rsidP="000773D9">
      <w:pPr>
        <w:pStyle w:val="ListParagraph"/>
        <w:numPr>
          <w:ilvl w:val="0"/>
          <w:numId w:val="28"/>
        </w:numPr>
        <w:jc w:val="both"/>
      </w:pPr>
      <w:r>
        <w:t>Costs a lot in terms of working days lost and health care costs/incapacity payments etc.</w:t>
      </w:r>
    </w:p>
    <w:p w:rsidR="00BA2D33" w:rsidRDefault="00BA2D33" w:rsidP="000773D9">
      <w:pPr>
        <w:pStyle w:val="ListParagraph"/>
        <w:numPr>
          <w:ilvl w:val="0"/>
          <w:numId w:val="28"/>
        </w:numPr>
        <w:jc w:val="both"/>
      </w:pPr>
      <w:r>
        <w:t>£1billion for NHS cost, £3 billion for DHS benefit, 8 billion lost work days.</w:t>
      </w:r>
    </w:p>
    <w:p w:rsidR="000773D9" w:rsidRDefault="00C34ECF" w:rsidP="00C34ECF">
      <w:pPr>
        <w:pStyle w:val="Heading2"/>
      </w:pPr>
      <w:r>
        <w:t>Risk Factors</w:t>
      </w:r>
    </w:p>
    <w:p w:rsidR="000773D9" w:rsidRDefault="000773D9" w:rsidP="00C34ECF">
      <w:pPr>
        <w:pStyle w:val="ListParagraph"/>
        <w:numPr>
          <w:ilvl w:val="0"/>
          <w:numId w:val="29"/>
        </w:numPr>
        <w:jc w:val="both"/>
      </w:pPr>
      <w:r>
        <w:t>Age – increases with age up to age 50.  Then decreases in men but increases in women!</w:t>
      </w:r>
    </w:p>
    <w:p w:rsidR="000773D9" w:rsidRDefault="000773D9" w:rsidP="00C34ECF">
      <w:pPr>
        <w:pStyle w:val="ListParagraph"/>
        <w:numPr>
          <w:ilvl w:val="0"/>
          <w:numId w:val="29"/>
        </w:numPr>
        <w:jc w:val="both"/>
      </w:pPr>
      <w:r>
        <w:t>Gender – multiparous women 3x risk</w:t>
      </w:r>
    </w:p>
    <w:p w:rsidR="000773D9" w:rsidRDefault="000773D9" w:rsidP="00C34ECF">
      <w:pPr>
        <w:pStyle w:val="ListParagraph"/>
        <w:numPr>
          <w:ilvl w:val="0"/>
          <w:numId w:val="29"/>
        </w:numPr>
        <w:jc w:val="both"/>
      </w:pPr>
      <w:r>
        <w:t>Smoking – strong link with it and sciatica</w:t>
      </w:r>
    </w:p>
    <w:p w:rsidR="000773D9" w:rsidRDefault="000773D9" w:rsidP="00C34ECF">
      <w:pPr>
        <w:pStyle w:val="ListParagraph"/>
        <w:numPr>
          <w:ilvl w:val="0"/>
          <w:numId w:val="29"/>
        </w:numPr>
        <w:jc w:val="both"/>
      </w:pPr>
      <w:r>
        <w:t>Physical Work</w:t>
      </w:r>
    </w:p>
    <w:p w:rsidR="000773D9" w:rsidRDefault="000773D9" w:rsidP="00C34ECF">
      <w:pPr>
        <w:pStyle w:val="ListParagraph"/>
        <w:numPr>
          <w:ilvl w:val="0"/>
          <w:numId w:val="29"/>
        </w:numPr>
        <w:jc w:val="both"/>
      </w:pPr>
      <w:r>
        <w:t>Occupation – standing sedentary jobs or where exposure to vibration</w:t>
      </w:r>
    </w:p>
    <w:p w:rsidR="000773D9" w:rsidRDefault="000773D9" w:rsidP="000773D9">
      <w:pPr>
        <w:pStyle w:val="ListParagraph"/>
        <w:numPr>
          <w:ilvl w:val="0"/>
          <w:numId w:val="29"/>
        </w:numPr>
        <w:jc w:val="both"/>
      </w:pPr>
      <w:r>
        <w:t xml:space="preserve">Decreased fitness </w:t>
      </w:r>
    </w:p>
    <w:p w:rsidR="000773D9" w:rsidRDefault="000773D9" w:rsidP="00C34ECF">
      <w:pPr>
        <w:pStyle w:val="Heading2"/>
      </w:pPr>
      <w:r>
        <w:t>Prognosis</w:t>
      </w:r>
    </w:p>
    <w:p w:rsidR="000773D9" w:rsidRDefault="000773D9" w:rsidP="000773D9">
      <w:pPr>
        <w:jc w:val="both"/>
      </w:pPr>
      <w:r>
        <w:t xml:space="preserve">Most </w:t>
      </w:r>
      <w:r w:rsidR="00C34ECF">
        <w:t>is mechanical or self-limiting.  And m</w:t>
      </w:r>
      <w:r>
        <w:t>o</w:t>
      </w:r>
      <w:r w:rsidR="007E1922">
        <w:t xml:space="preserve">st stop consulting GP within 3m.  </w:t>
      </w:r>
      <w:r>
        <w:t>But 60% can still have pain thereafter and just not come back – GPs need to identify th</w:t>
      </w:r>
      <w:r w:rsidR="007E1922">
        <w:t xml:space="preserve">ese and get them going again.  </w:t>
      </w:r>
    </w:p>
    <w:p w:rsidR="000773D9" w:rsidRDefault="000773D9" w:rsidP="007E1922">
      <w:pPr>
        <w:pStyle w:val="Heading2"/>
      </w:pPr>
      <w:r>
        <w:t>What sort of back pain happens when?</w:t>
      </w:r>
    </w:p>
    <w:p w:rsidR="007E1922" w:rsidRDefault="007E1922" w:rsidP="007E1922">
      <w:pPr>
        <w:spacing w:after="0"/>
        <w:jc w:val="both"/>
      </w:pPr>
    </w:p>
    <w:tbl>
      <w:tblPr>
        <w:tblStyle w:val="GridTable4-Accent2"/>
        <w:tblW w:w="0" w:type="auto"/>
        <w:tblLook w:val="04A0" w:firstRow="1" w:lastRow="0" w:firstColumn="1" w:lastColumn="0" w:noHBand="0" w:noVBand="1"/>
      </w:tblPr>
      <w:tblGrid>
        <w:gridCol w:w="2434"/>
        <w:gridCol w:w="2434"/>
        <w:gridCol w:w="2434"/>
        <w:gridCol w:w="2434"/>
      </w:tblGrid>
      <w:tr w:rsidR="007E1922" w:rsidTr="007E19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4" w:type="dxa"/>
          </w:tcPr>
          <w:p w:rsidR="007E1922" w:rsidRPr="007E1922" w:rsidRDefault="007E1922" w:rsidP="007E1922">
            <w:pPr>
              <w:jc w:val="center"/>
            </w:pPr>
            <w:r w:rsidRPr="007E1922">
              <w:t>&lt;18</w:t>
            </w:r>
          </w:p>
        </w:tc>
        <w:tc>
          <w:tcPr>
            <w:tcW w:w="2434" w:type="dxa"/>
          </w:tcPr>
          <w:p w:rsidR="007E1922" w:rsidRDefault="007E1922" w:rsidP="007E1922">
            <w:pPr>
              <w:jc w:val="center"/>
              <w:cnfStyle w:val="100000000000" w:firstRow="1" w:lastRow="0" w:firstColumn="0" w:lastColumn="0" w:oddVBand="0" w:evenVBand="0" w:oddHBand="0" w:evenHBand="0" w:firstRowFirstColumn="0" w:firstRowLastColumn="0" w:lastRowFirstColumn="0" w:lastRowLastColumn="0"/>
            </w:pPr>
            <w:r>
              <w:t>18-45</w:t>
            </w:r>
          </w:p>
        </w:tc>
        <w:tc>
          <w:tcPr>
            <w:tcW w:w="2434" w:type="dxa"/>
          </w:tcPr>
          <w:p w:rsidR="007E1922" w:rsidRDefault="007E1922" w:rsidP="007E1922">
            <w:pPr>
              <w:jc w:val="center"/>
              <w:cnfStyle w:val="100000000000" w:firstRow="1" w:lastRow="0" w:firstColumn="0" w:lastColumn="0" w:oddVBand="0" w:evenVBand="0" w:oddHBand="0" w:evenHBand="0" w:firstRowFirstColumn="0" w:firstRowLastColumn="0" w:lastRowFirstColumn="0" w:lastRowLastColumn="0"/>
            </w:pPr>
            <w:r>
              <w:t>45-65</w:t>
            </w:r>
          </w:p>
        </w:tc>
        <w:tc>
          <w:tcPr>
            <w:tcW w:w="2434" w:type="dxa"/>
          </w:tcPr>
          <w:p w:rsidR="007E1922" w:rsidRDefault="007E1922" w:rsidP="007E1922">
            <w:pPr>
              <w:jc w:val="center"/>
              <w:cnfStyle w:val="100000000000" w:firstRow="1" w:lastRow="0" w:firstColumn="0" w:lastColumn="0" w:oddVBand="0" w:evenVBand="0" w:oddHBand="0" w:evenHBand="0" w:firstRowFirstColumn="0" w:firstRowLastColumn="0" w:lastRowFirstColumn="0" w:lastRowLastColumn="0"/>
            </w:pPr>
            <w:r>
              <w:t>65+</w:t>
            </w:r>
          </w:p>
        </w:tc>
      </w:tr>
      <w:tr w:rsidR="007E1922" w:rsidTr="007E19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4" w:type="dxa"/>
          </w:tcPr>
          <w:p w:rsidR="007E1922" w:rsidRPr="007E1922" w:rsidRDefault="007E1922" w:rsidP="007E1922">
            <w:pPr>
              <w:jc w:val="both"/>
              <w:rPr>
                <w:b w:val="0"/>
              </w:rPr>
            </w:pPr>
            <w:r w:rsidRPr="007E1922">
              <w:rPr>
                <w:b w:val="0"/>
              </w:rPr>
              <w:t>Scoliosis</w:t>
            </w:r>
          </w:p>
          <w:p w:rsidR="007E1922" w:rsidRPr="007E1922" w:rsidRDefault="007E1922" w:rsidP="007E1922">
            <w:pPr>
              <w:jc w:val="both"/>
              <w:rPr>
                <w:b w:val="0"/>
              </w:rPr>
            </w:pPr>
            <w:proofErr w:type="spellStart"/>
            <w:r w:rsidRPr="007E1922">
              <w:rPr>
                <w:b w:val="0"/>
              </w:rPr>
              <w:t>Spina</w:t>
            </w:r>
            <w:proofErr w:type="spellEnd"/>
            <w:r w:rsidRPr="007E1922">
              <w:rPr>
                <w:b w:val="0"/>
              </w:rPr>
              <w:t xml:space="preserve"> bifida </w:t>
            </w:r>
          </w:p>
        </w:tc>
        <w:tc>
          <w:tcPr>
            <w:tcW w:w="2434" w:type="dxa"/>
          </w:tcPr>
          <w:p w:rsidR="007E1922" w:rsidRDefault="007E1922" w:rsidP="007E1922">
            <w:pPr>
              <w:jc w:val="both"/>
              <w:cnfStyle w:val="000000100000" w:firstRow="0" w:lastRow="0" w:firstColumn="0" w:lastColumn="0" w:oddVBand="0" w:evenVBand="0" w:oddHBand="1" w:evenHBand="0" w:firstRowFirstColumn="0" w:firstRowLastColumn="0" w:lastRowFirstColumn="0" w:lastRowLastColumn="0"/>
            </w:pPr>
            <w:r>
              <w:t>Ankylosing spondylosis</w:t>
            </w:r>
          </w:p>
          <w:p w:rsidR="007E1922" w:rsidRDefault="007E1922" w:rsidP="007E1922">
            <w:pPr>
              <w:jc w:val="both"/>
              <w:cnfStyle w:val="000000100000" w:firstRow="0" w:lastRow="0" w:firstColumn="0" w:lastColumn="0" w:oddVBand="0" w:evenVBand="0" w:oddHBand="1" w:evenHBand="0" w:firstRowFirstColumn="0" w:firstRowLastColumn="0" w:lastRowFirstColumn="0" w:lastRowLastColumn="0"/>
            </w:pPr>
            <w:r>
              <w:t>whiplash</w:t>
            </w:r>
          </w:p>
        </w:tc>
        <w:tc>
          <w:tcPr>
            <w:tcW w:w="2434" w:type="dxa"/>
          </w:tcPr>
          <w:p w:rsidR="007E1922" w:rsidRDefault="007E1922" w:rsidP="007E1922">
            <w:pPr>
              <w:jc w:val="both"/>
              <w:cnfStyle w:val="000000100000" w:firstRow="0" w:lastRow="0" w:firstColumn="0" w:lastColumn="0" w:oddVBand="0" w:evenVBand="0" w:oddHBand="1" w:evenHBand="0" w:firstRowFirstColumn="0" w:firstRowLastColumn="0" w:lastRowFirstColumn="0" w:lastRowLastColumn="0"/>
            </w:pPr>
            <w:r>
              <w:t>Non-specific back pain</w:t>
            </w:r>
          </w:p>
          <w:p w:rsidR="007E1922" w:rsidRDefault="007E1922" w:rsidP="007E1922">
            <w:pPr>
              <w:jc w:val="both"/>
              <w:cnfStyle w:val="000000100000" w:firstRow="0" w:lastRow="0" w:firstColumn="0" w:lastColumn="0" w:oddVBand="0" w:evenVBand="0" w:oddHBand="1" w:evenHBand="0" w:firstRowFirstColumn="0" w:firstRowLastColumn="0" w:lastRowFirstColumn="0" w:lastRowLastColumn="0"/>
            </w:pPr>
            <w:r>
              <w:t>Non-specific neck pain</w:t>
            </w:r>
          </w:p>
          <w:p w:rsidR="007E1922" w:rsidRDefault="007E1922" w:rsidP="007E1922">
            <w:pPr>
              <w:jc w:val="both"/>
              <w:cnfStyle w:val="000000100000" w:firstRow="0" w:lastRow="0" w:firstColumn="0" w:lastColumn="0" w:oddVBand="0" w:evenVBand="0" w:oddHBand="1" w:evenHBand="0" w:firstRowFirstColumn="0" w:firstRowLastColumn="0" w:lastRowFirstColumn="0" w:lastRowLastColumn="0"/>
            </w:pPr>
            <w:r>
              <w:t>Sciatica</w:t>
            </w:r>
          </w:p>
        </w:tc>
        <w:tc>
          <w:tcPr>
            <w:tcW w:w="2434" w:type="dxa"/>
          </w:tcPr>
          <w:p w:rsidR="007E1922" w:rsidRDefault="007E1922" w:rsidP="007E1922">
            <w:pPr>
              <w:jc w:val="both"/>
              <w:cnfStyle w:val="000000100000" w:firstRow="0" w:lastRow="0" w:firstColumn="0" w:lastColumn="0" w:oddVBand="0" w:evenVBand="0" w:oddHBand="1" w:evenHBand="0" w:firstRowFirstColumn="0" w:firstRowLastColumn="0" w:lastRowFirstColumn="0" w:lastRowLastColumn="0"/>
            </w:pPr>
            <w:r>
              <w:t>Spinal canal stenosis</w:t>
            </w:r>
          </w:p>
          <w:p w:rsidR="007E1922" w:rsidRDefault="007E1922" w:rsidP="007E1922">
            <w:pPr>
              <w:jc w:val="both"/>
              <w:cnfStyle w:val="000000100000" w:firstRow="0" w:lastRow="0" w:firstColumn="0" w:lastColumn="0" w:oddVBand="0" w:evenVBand="0" w:oddHBand="1" w:evenHBand="0" w:firstRowFirstColumn="0" w:firstRowLastColumn="0" w:lastRowFirstColumn="0" w:lastRowLastColumn="0"/>
            </w:pPr>
            <w:r>
              <w:t>Cancer</w:t>
            </w:r>
          </w:p>
          <w:p w:rsidR="007E1922" w:rsidRDefault="007E1922" w:rsidP="007E1922">
            <w:pPr>
              <w:jc w:val="both"/>
              <w:cnfStyle w:val="000000100000" w:firstRow="0" w:lastRow="0" w:firstColumn="0" w:lastColumn="0" w:oddVBand="0" w:evenVBand="0" w:oddHBand="1" w:evenHBand="0" w:firstRowFirstColumn="0" w:firstRowLastColumn="0" w:lastRowFirstColumn="0" w:lastRowLastColumn="0"/>
            </w:pPr>
            <w:r>
              <w:t>Crush fracture</w:t>
            </w:r>
          </w:p>
        </w:tc>
      </w:tr>
    </w:tbl>
    <w:p w:rsidR="000773D9" w:rsidRDefault="000773D9" w:rsidP="000773D9">
      <w:pPr>
        <w:jc w:val="both"/>
      </w:pPr>
    </w:p>
    <w:p w:rsidR="000773D9" w:rsidRDefault="000773D9" w:rsidP="007E1922">
      <w:pPr>
        <w:pStyle w:val="Heading2"/>
      </w:pPr>
      <w:r>
        <w:t>Red flags</w:t>
      </w:r>
    </w:p>
    <w:p w:rsidR="000773D9" w:rsidRDefault="000773D9" w:rsidP="007E1922">
      <w:pPr>
        <w:pStyle w:val="ListParagraph"/>
        <w:numPr>
          <w:ilvl w:val="0"/>
          <w:numId w:val="29"/>
        </w:numPr>
        <w:ind w:left="709" w:hanging="283"/>
        <w:jc w:val="both"/>
      </w:pPr>
      <w:r w:rsidRPr="007E1922">
        <w:rPr>
          <w:b/>
        </w:rPr>
        <w:t>Aortic aneurysm</w:t>
      </w:r>
      <w:r>
        <w:t xml:space="preserve"> - Pulsating abdominal mass, presence of cardiovascular risk factors</w:t>
      </w:r>
    </w:p>
    <w:p w:rsidR="000773D9" w:rsidRDefault="000773D9" w:rsidP="007E1922">
      <w:pPr>
        <w:pStyle w:val="ListParagraph"/>
        <w:numPr>
          <w:ilvl w:val="0"/>
          <w:numId w:val="29"/>
        </w:numPr>
        <w:ind w:left="709" w:hanging="283"/>
        <w:jc w:val="both"/>
      </w:pPr>
      <w:r w:rsidRPr="007E1922">
        <w:rPr>
          <w:b/>
        </w:rPr>
        <w:t>Cancer</w:t>
      </w:r>
      <w:r>
        <w:t xml:space="preserve"> - Previous history of malignancy, night pain, intractable pain, unable to find position of comfort, weight loss, widespread neurological symptoms or signs, thoracic pain</w:t>
      </w:r>
    </w:p>
    <w:p w:rsidR="000773D9" w:rsidRDefault="000773D9" w:rsidP="007E1922">
      <w:pPr>
        <w:pStyle w:val="ListParagraph"/>
        <w:numPr>
          <w:ilvl w:val="0"/>
          <w:numId w:val="29"/>
        </w:numPr>
        <w:ind w:left="709" w:hanging="283"/>
        <w:jc w:val="both"/>
      </w:pPr>
      <w:r w:rsidRPr="007E1922">
        <w:rPr>
          <w:b/>
        </w:rPr>
        <w:t>Infection</w:t>
      </w:r>
      <w:r>
        <w:t xml:space="preserve"> - Fever, malaise, rigors, systemically unwell, IVDU/HIV, thoracic pain</w:t>
      </w:r>
    </w:p>
    <w:p w:rsidR="000773D9" w:rsidRDefault="000773D9" w:rsidP="007E1922">
      <w:pPr>
        <w:pStyle w:val="ListParagraph"/>
        <w:numPr>
          <w:ilvl w:val="0"/>
          <w:numId w:val="29"/>
        </w:numPr>
        <w:ind w:left="709" w:hanging="283"/>
        <w:jc w:val="both"/>
      </w:pPr>
      <w:r w:rsidRPr="007E1922">
        <w:rPr>
          <w:b/>
        </w:rPr>
        <w:t>Inflammation</w:t>
      </w:r>
      <w:r>
        <w:t xml:space="preserve"> </w:t>
      </w:r>
      <w:proofErr w:type="spellStart"/>
      <w:r>
        <w:t>eg</w:t>
      </w:r>
      <w:proofErr w:type="spellEnd"/>
      <w:r>
        <w:t xml:space="preserve"> </w:t>
      </w:r>
      <w:proofErr w:type="spellStart"/>
      <w:r>
        <w:t>Ank</w:t>
      </w:r>
      <w:proofErr w:type="spellEnd"/>
      <w:r>
        <w:t xml:space="preserve"> </w:t>
      </w:r>
      <w:proofErr w:type="spellStart"/>
      <w:r>
        <w:t>Spond</w:t>
      </w:r>
      <w:proofErr w:type="spellEnd"/>
      <w:r>
        <w:t xml:space="preserve"> - Gradual onset (usually aged less than 40), marked morning stiffness</w:t>
      </w:r>
      <w:r w:rsidR="00A205BC">
        <w:t xml:space="preserve"> (</w:t>
      </w:r>
      <w:proofErr w:type="spellStart"/>
      <w:r w:rsidR="00A205BC">
        <w:t>i.e</w:t>
      </w:r>
      <w:proofErr w:type="spellEnd"/>
      <w:r w:rsidR="00A205BC">
        <w:t xml:space="preserve"> better in afternoon)</w:t>
      </w:r>
      <w:r>
        <w:t>, improves with activity</w:t>
      </w:r>
      <w:r w:rsidR="00A205BC">
        <w:t>/exercise</w:t>
      </w:r>
      <w:r>
        <w:t>, family history, history of psoriasis or inflammatory bowel disease</w:t>
      </w:r>
    </w:p>
    <w:p w:rsidR="000773D9" w:rsidRDefault="000773D9" w:rsidP="007E1922">
      <w:pPr>
        <w:pStyle w:val="ListParagraph"/>
        <w:numPr>
          <w:ilvl w:val="0"/>
          <w:numId w:val="29"/>
        </w:numPr>
        <w:ind w:left="709" w:hanging="283"/>
        <w:jc w:val="both"/>
      </w:pPr>
      <w:r w:rsidRPr="007E1922">
        <w:rPr>
          <w:b/>
        </w:rPr>
        <w:t>Trauma/Fracture</w:t>
      </w:r>
      <w:r>
        <w:t xml:space="preserve"> - Significant mechanism of injury, known previous fragility fracture, systemic steroid use, structural deformity, thoracic pain</w:t>
      </w:r>
    </w:p>
    <w:p w:rsidR="000773D9" w:rsidRDefault="000773D9" w:rsidP="000773D9">
      <w:pPr>
        <w:pStyle w:val="ListParagraph"/>
        <w:numPr>
          <w:ilvl w:val="0"/>
          <w:numId w:val="29"/>
        </w:numPr>
        <w:ind w:left="709" w:hanging="283"/>
        <w:jc w:val="both"/>
      </w:pPr>
      <w:r w:rsidRPr="007E1922">
        <w:rPr>
          <w:b/>
        </w:rPr>
        <w:t xml:space="preserve">Significant neural compromise/cauda </w:t>
      </w:r>
      <w:proofErr w:type="spellStart"/>
      <w:r w:rsidRPr="007E1922">
        <w:rPr>
          <w:b/>
        </w:rPr>
        <w:t>equina</w:t>
      </w:r>
      <w:proofErr w:type="spellEnd"/>
      <w:r>
        <w:t xml:space="preserve"> - Saddle anaesthesia, urinary retention/incontinence, sphincter disturbance</w:t>
      </w:r>
      <w:r w:rsidR="007E1922">
        <w:t>,</w:t>
      </w:r>
      <w:r>
        <w:t xml:space="preserve"> bilateral referred leg pain, priapism, gait disturbance</w:t>
      </w:r>
    </w:p>
    <w:p w:rsidR="000773D9" w:rsidRDefault="000773D9" w:rsidP="007E1922">
      <w:pPr>
        <w:pStyle w:val="Heading2"/>
      </w:pPr>
      <w:r>
        <w:t>Diagnosis</w:t>
      </w:r>
    </w:p>
    <w:p w:rsidR="000773D9" w:rsidRDefault="000773D9" w:rsidP="00EB4FB9">
      <w:pPr>
        <w:jc w:val="both"/>
      </w:pPr>
      <w:r>
        <w:t xml:space="preserve">Exact tissue diagnosis IS NOT required – most experts don’t even know.  You need an idea of what is going on – </w:t>
      </w:r>
      <w:proofErr w:type="spellStart"/>
      <w:r>
        <w:t>eg</w:t>
      </w:r>
      <w:proofErr w:type="spellEnd"/>
      <w:r>
        <w:t xml:space="preserve"> is it a muscle, joint, red flags etc.  This is what helps you develop a competent management plan, not a tissue diagnosis!</w:t>
      </w:r>
    </w:p>
    <w:p w:rsidR="004B6C62" w:rsidRDefault="004B6C62" w:rsidP="00EB4FB9">
      <w:pPr>
        <w:pStyle w:val="ListParagraph"/>
        <w:numPr>
          <w:ilvl w:val="0"/>
          <w:numId w:val="32"/>
        </w:numPr>
        <w:jc w:val="both"/>
      </w:pPr>
      <w:r w:rsidRPr="00EB4FB9">
        <w:rPr>
          <w:b/>
        </w:rPr>
        <w:lastRenderedPageBreak/>
        <w:t>First work out if there is</w:t>
      </w:r>
      <w:r>
        <w:t xml:space="preserve"> </w:t>
      </w:r>
      <w:r w:rsidRPr="00EB4FB9">
        <w:rPr>
          <w:b/>
        </w:rPr>
        <w:t>serious spinal pathology</w:t>
      </w:r>
      <w:r w:rsidR="00EB4FB9">
        <w:t xml:space="preserve">  </w:t>
      </w:r>
      <w:r w:rsidR="00EB4FB9">
        <w:sym w:font="Wingdings" w:char="F0E0"/>
      </w:r>
      <w:r w:rsidR="00EB4FB9">
        <w:t xml:space="preserve"> always need referral</w:t>
      </w:r>
    </w:p>
    <w:p w:rsidR="00EB4FB9" w:rsidRPr="00D3435B" w:rsidRDefault="00EB4FB9" w:rsidP="00D3435B">
      <w:pPr>
        <w:pStyle w:val="ListParagraph"/>
        <w:ind w:left="1080"/>
        <w:jc w:val="both"/>
        <w:rPr>
          <w:i/>
        </w:rPr>
      </w:pPr>
      <w:r w:rsidRPr="00EB4FB9">
        <w:rPr>
          <w:i/>
        </w:rPr>
        <w:t xml:space="preserve">Age &lt;20 or &gt;55, non-mechanical pain, thoracic pain, PH carcinoma, steroid use, HIV+, constitutional symptoms (unwell, weight loss), widespread </w:t>
      </w:r>
      <w:r w:rsidR="00BA2D33">
        <w:rPr>
          <w:i/>
        </w:rPr>
        <w:t xml:space="preserve">neurology, structural deforming, cauda </w:t>
      </w:r>
      <w:proofErr w:type="spellStart"/>
      <w:r w:rsidR="00BA2D33">
        <w:rPr>
          <w:i/>
        </w:rPr>
        <w:t>equina</w:t>
      </w:r>
      <w:proofErr w:type="spellEnd"/>
      <w:r w:rsidR="00BA2D33">
        <w:rPr>
          <w:i/>
        </w:rPr>
        <w:t xml:space="preserve"> symptoms/signs (incontinence, saddle anaesthesia – anal </w:t>
      </w:r>
      <w:r w:rsidR="00D3435B">
        <w:rPr>
          <w:i/>
        </w:rPr>
        <w:t xml:space="preserve">sensation loss), </w:t>
      </w:r>
      <w:r w:rsidR="00D3435B" w:rsidRPr="00EB4FB9">
        <w:rPr>
          <w:i/>
        </w:rPr>
        <w:t>severe progressive motor weakness</w:t>
      </w:r>
    </w:p>
    <w:p w:rsidR="00EB4FB9" w:rsidRDefault="00EB4FB9" w:rsidP="00EB4FB9">
      <w:pPr>
        <w:pStyle w:val="ListParagraph"/>
        <w:numPr>
          <w:ilvl w:val="0"/>
          <w:numId w:val="32"/>
        </w:numPr>
        <w:jc w:val="both"/>
      </w:pPr>
      <w:r w:rsidRPr="00EB4FB9">
        <w:rPr>
          <w:b/>
        </w:rPr>
        <w:t>Second work out if there is a Nerve Root Problem</w:t>
      </w:r>
      <w:r>
        <w:t xml:space="preserve"> </w:t>
      </w:r>
      <w:r>
        <w:sym w:font="Wingdings" w:char="F0E0"/>
      </w:r>
      <w:r>
        <w:t xml:space="preserve"> may need referral</w:t>
      </w:r>
    </w:p>
    <w:p w:rsidR="00D3435B" w:rsidRDefault="00EB4FB9" w:rsidP="00D3435B">
      <w:pPr>
        <w:pStyle w:val="ListParagraph"/>
        <w:ind w:left="1080"/>
        <w:jc w:val="both"/>
        <w:rPr>
          <w:i/>
        </w:rPr>
      </w:pPr>
      <w:r w:rsidRPr="00EB4FB9">
        <w:rPr>
          <w:i/>
        </w:rPr>
        <w:t xml:space="preserve">Unilateral leg pain &gt; LBP, radiates to foot/toes, numbness in same distribution, SLR </w:t>
      </w:r>
      <w:r w:rsidRPr="00EB4FB9">
        <w:rPr>
          <w:i/>
        </w:rPr>
        <w:sym w:font="Wingdings" w:char="F0E0"/>
      </w:r>
      <w:r w:rsidRPr="00EB4FB9">
        <w:rPr>
          <w:i/>
        </w:rPr>
        <w:t xml:space="preserve"> leg pain +++, localised neurology, </w:t>
      </w:r>
    </w:p>
    <w:p w:rsidR="00EB4FB9" w:rsidRDefault="00EB4FB9" w:rsidP="00D3435B">
      <w:pPr>
        <w:pStyle w:val="ListParagraph"/>
        <w:ind w:left="1080"/>
        <w:jc w:val="both"/>
      </w:pPr>
      <w:r w:rsidRPr="00EB4FB9">
        <w:rPr>
          <w:b/>
        </w:rPr>
        <w:t>Otherwise, it is likely to be simple back ache</w:t>
      </w:r>
      <w:r>
        <w:t xml:space="preserve"> </w:t>
      </w:r>
      <w:r>
        <w:sym w:font="Wingdings" w:char="F0E0"/>
      </w:r>
      <w:r>
        <w:t xml:space="preserve"> manage in primary care</w:t>
      </w:r>
    </w:p>
    <w:p w:rsidR="00EB4FB9" w:rsidRPr="00EB4FB9" w:rsidRDefault="00EB4FB9" w:rsidP="00EB4FB9">
      <w:pPr>
        <w:pStyle w:val="ListParagraph"/>
        <w:ind w:left="1080"/>
        <w:jc w:val="both"/>
        <w:rPr>
          <w:i/>
        </w:rPr>
      </w:pPr>
      <w:r w:rsidRPr="00EB4FB9">
        <w:rPr>
          <w:i/>
        </w:rPr>
        <w:t>Presentation 20-55y, lumbosacral, buttocks &amp; thighs, mechanical pain, patient otherwise well.</w:t>
      </w:r>
    </w:p>
    <w:p w:rsidR="005B7499" w:rsidRDefault="005B7499" w:rsidP="005B7499">
      <w:pPr>
        <w:pStyle w:val="Heading2"/>
      </w:pPr>
      <w:r>
        <w:t>Investigations</w:t>
      </w:r>
    </w:p>
    <w:p w:rsidR="005B7499" w:rsidRDefault="005B7499" w:rsidP="005B7499">
      <w:pPr>
        <w:jc w:val="both"/>
      </w:pPr>
      <w:r>
        <w:t xml:space="preserve">Only if there are red flags.   Otherwise, avoid bloods, x-ray and MRI.  </w:t>
      </w:r>
    </w:p>
    <w:p w:rsidR="005B7499" w:rsidRPr="00D5115E" w:rsidRDefault="005B7499" w:rsidP="005B7499">
      <w:pPr>
        <w:rPr>
          <w:u w:val="single"/>
        </w:rPr>
      </w:pPr>
      <w:r w:rsidRPr="00D5115E">
        <w:rPr>
          <w:u w:val="single"/>
        </w:rPr>
        <w:t>Abnormal findings on x-rays and MRIs are common – and often mean nothing!</w:t>
      </w:r>
    </w:p>
    <w:p w:rsidR="005B7499" w:rsidRDefault="005B7499" w:rsidP="005B7499">
      <w:pPr>
        <w:pStyle w:val="ListParagraph"/>
        <w:numPr>
          <w:ilvl w:val="0"/>
          <w:numId w:val="37"/>
        </w:numPr>
        <w:jc w:val="both"/>
      </w:pPr>
      <w:r>
        <w:t xml:space="preserve">The dose of radiation from a set of lumbar spine x-rays is equivalent to 120 chest x-rays. </w:t>
      </w:r>
    </w:p>
    <w:p w:rsidR="005B7499" w:rsidRDefault="005B7499" w:rsidP="005B7499">
      <w:pPr>
        <w:pStyle w:val="ListParagraph"/>
        <w:numPr>
          <w:ilvl w:val="0"/>
          <w:numId w:val="37"/>
        </w:numPr>
        <w:jc w:val="both"/>
      </w:pPr>
      <w:r>
        <w:t>Minor abnormalities are common on x-ray films even in subjects without pain, but their presence may be damaging to patients in the way they think about their pain.   How would you feel if you were told you had moderate levels of degenerative back disease but functionally felt fine?</w:t>
      </w:r>
    </w:p>
    <w:p w:rsidR="005B7499" w:rsidRDefault="005B7499" w:rsidP="005B7499">
      <w:pPr>
        <w:pStyle w:val="ListParagraph"/>
        <w:numPr>
          <w:ilvl w:val="0"/>
          <w:numId w:val="37"/>
        </w:numPr>
        <w:jc w:val="both"/>
      </w:pPr>
      <w:r>
        <w:t>There is a poor correlation between findings on imaging and the level of functional deficit or pain.  For instance, a lot of people over the age of 65 will have degenerative disease of their spines.  But a large majority of these have no back pain and carry on with life as normal.    As for MRI scanning, abnormalities are found on 80% of scans which have no impact on the individual’s real life!  100% of people aged &gt;60 will have evidence of degeneration and 80% will have a bulging disc, even if they are asymptomatic (compared to 33% of asymptomatic people aged &lt;60). 20% of asymptomatic people aged over 60 have spinal stenosis, which does not need treatment. The presence of 'incidental' abnormalities may be damaging to patients in the way they think about their pain.</w:t>
      </w:r>
    </w:p>
    <w:p w:rsidR="005B7499" w:rsidRPr="00D5115E" w:rsidRDefault="005B7499" w:rsidP="005B7499">
      <w:pPr>
        <w:jc w:val="both"/>
        <w:rPr>
          <w:u w:val="single"/>
        </w:rPr>
      </w:pPr>
      <w:r>
        <w:rPr>
          <w:u w:val="single"/>
        </w:rPr>
        <w:t>When should you do an MRI?</w:t>
      </w:r>
    </w:p>
    <w:p w:rsidR="005B7499" w:rsidRDefault="005B7499" w:rsidP="005B7499">
      <w:pPr>
        <w:pStyle w:val="ListParagraph"/>
        <w:numPr>
          <w:ilvl w:val="0"/>
          <w:numId w:val="37"/>
        </w:numPr>
        <w:jc w:val="both"/>
      </w:pPr>
      <w:r>
        <w:t>Red flags (though an admission may be more appropriate)</w:t>
      </w:r>
    </w:p>
    <w:p w:rsidR="005B7499" w:rsidRDefault="005B7499" w:rsidP="005B7499">
      <w:pPr>
        <w:pStyle w:val="ListParagraph"/>
        <w:numPr>
          <w:ilvl w:val="0"/>
          <w:numId w:val="37"/>
        </w:numPr>
        <w:jc w:val="both"/>
      </w:pPr>
      <w:r>
        <w:t>Progressive neurological symptoms</w:t>
      </w:r>
    </w:p>
    <w:p w:rsidR="005B7499" w:rsidRDefault="005B7499" w:rsidP="005B7499">
      <w:pPr>
        <w:pStyle w:val="ListParagraph"/>
        <w:numPr>
          <w:ilvl w:val="0"/>
          <w:numId w:val="37"/>
        </w:numPr>
        <w:jc w:val="both"/>
      </w:pPr>
      <w:r>
        <w:t xml:space="preserve">Radicular pain (referred pain e.g. </w:t>
      </w:r>
      <w:proofErr w:type="spellStart"/>
      <w:r>
        <w:t>brachalgia</w:t>
      </w:r>
      <w:proofErr w:type="spellEnd"/>
      <w:r>
        <w:t xml:space="preserve"> or sciatica) not improving at 6 weeks</w:t>
      </w:r>
    </w:p>
    <w:p w:rsidR="000773D9" w:rsidRDefault="005B7499" w:rsidP="000773D9">
      <w:pPr>
        <w:pStyle w:val="ListParagraph"/>
        <w:numPr>
          <w:ilvl w:val="0"/>
          <w:numId w:val="37"/>
        </w:numPr>
        <w:jc w:val="both"/>
      </w:pPr>
      <w:r>
        <w:t xml:space="preserve">Neurological signs (weakness, numbness </w:t>
      </w:r>
      <w:proofErr w:type="spellStart"/>
      <w:r>
        <w:t>etc</w:t>
      </w:r>
      <w:proofErr w:type="spellEnd"/>
      <w:r>
        <w:t>) not improving at 6 weeks</w:t>
      </w:r>
    </w:p>
    <w:p w:rsidR="000773D9" w:rsidRPr="00705A5B" w:rsidRDefault="007E1922" w:rsidP="00705A5B">
      <w:pPr>
        <w:pStyle w:val="Heading2"/>
      </w:pPr>
      <w:proofErr w:type="gramStart"/>
      <w:r w:rsidRPr="00705A5B">
        <w:t>Management</w:t>
      </w:r>
      <w:r w:rsidR="00D3435B" w:rsidRPr="00705A5B">
        <w:t xml:space="preserve"> </w:t>
      </w:r>
      <w:r w:rsidR="00705A5B" w:rsidRPr="00705A5B">
        <w:t xml:space="preserve"> -</w:t>
      </w:r>
      <w:proofErr w:type="gramEnd"/>
      <w:r w:rsidR="00705A5B" w:rsidRPr="00705A5B">
        <w:t xml:space="preserve"> Explore ICE &amp; psycho-social</w:t>
      </w:r>
    </w:p>
    <w:p w:rsidR="00D3435B" w:rsidRDefault="000773D9" w:rsidP="000773D9">
      <w:pPr>
        <w:jc w:val="both"/>
      </w:pPr>
      <w:r>
        <w:t>Identify psychosocial barriers to recovery - if psychosocial flags are present, the person is at higher risk of developing chronic pain or having a prolon</w:t>
      </w:r>
      <w:r w:rsidR="00D3435B">
        <w:t>ged period of absence from work.  So e</w:t>
      </w:r>
      <w:r>
        <w:t xml:space="preserve">xplore the person, their </w:t>
      </w:r>
      <w:r w:rsidR="00D3435B">
        <w:t xml:space="preserve">social context, work context </w:t>
      </w:r>
      <w:r w:rsidR="00D3435B">
        <w:sym w:font="Wingdings" w:char="F0E0"/>
      </w:r>
      <w:r w:rsidR="00D3435B">
        <w:t xml:space="preserve"> in a NEUTRAL way (i.e. without judging the patient or apportioning blame).  You are trying to work out additional contributors to the back pain problem, and thus where you might help them additionally.  We as GPs think we are good at exploring ICE and the psychosocial, but we aren’t.  The </w:t>
      </w:r>
      <w:proofErr w:type="spellStart"/>
      <w:r w:rsidR="00D3435B">
        <w:t>Keele</w:t>
      </w:r>
      <w:proofErr w:type="spellEnd"/>
      <w:r w:rsidR="00D3435B">
        <w:t xml:space="preserve"> Start Back 9 item tool has been developed to help us.  </w:t>
      </w:r>
    </w:p>
    <w:p w:rsidR="005B7499" w:rsidRDefault="005B7499" w:rsidP="005B7499">
      <w:pPr>
        <w:jc w:val="both"/>
      </w:pPr>
      <w:r>
        <w:t>Early identification and early intervention on psychosocial and physical barriers is what makes a big difference to back pain outcome.  Impairment - how it is affecting activities of daily living or working</w:t>
      </w:r>
      <w:proofErr w:type="gramStart"/>
      <w:r>
        <w:t>..</w:t>
      </w:r>
      <w:proofErr w:type="gramEnd"/>
      <w:r>
        <w:t xml:space="preserve">  Distress - the effect the impairment is having on the individual (e.g. change in mood, irritability, depression, anxiety, bad thoughts, </w:t>
      </w:r>
      <w:proofErr w:type="spellStart"/>
      <w:r>
        <w:t>catastrophising</w:t>
      </w:r>
      <w:proofErr w:type="spellEnd"/>
      <w:r>
        <w:t>, abnormal perceptions)</w:t>
      </w:r>
      <w:proofErr w:type="gramStart"/>
      <w:r>
        <w:t>..</w:t>
      </w:r>
      <w:proofErr w:type="gramEnd"/>
      <w:r>
        <w:t xml:space="preserve">  Expectations - what the patient is hoping for.</w:t>
      </w:r>
    </w:p>
    <w:p w:rsidR="005B7499" w:rsidRPr="005B7499" w:rsidRDefault="005B7499" w:rsidP="000773D9">
      <w:pPr>
        <w:jc w:val="both"/>
        <w:rPr>
          <w:b/>
        </w:rPr>
      </w:pPr>
      <w:r w:rsidRPr="005044D9">
        <w:rPr>
          <w:b/>
        </w:rPr>
        <w:lastRenderedPageBreak/>
        <w:t>Examination is an essential part of the assessment of patients with back pain and patients exp</w:t>
      </w:r>
      <w:r>
        <w:rPr>
          <w:b/>
        </w:rPr>
        <w:t>ect to be examined by their GP.</w:t>
      </w:r>
    </w:p>
    <w:p w:rsidR="00D3435B" w:rsidRDefault="00D3435B" w:rsidP="000773D9">
      <w:pPr>
        <w:jc w:val="both"/>
      </w:pPr>
      <w:r>
        <w:rPr>
          <w:noProof/>
          <w:lang w:eastAsia="en-GB"/>
        </w:rPr>
        <w:drawing>
          <wp:inline distT="0" distB="0" distL="0" distR="0">
            <wp:extent cx="6519489" cy="3857625"/>
            <wp:effectExtent l="0" t="0" r="0" b="0"/>
            <wp:docPr id="13" name="Picture 13" descr="STarT Back Screening T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TarT Back Screening Tool"/>
                    <pic:cNvPicPr>
                      <a:picLocks noChangeAspect="1" noChangeArrowheads="1"/>
                    </pic:cNvPicPr>
                  </pic:nvPicPr>
                  <pic:blipFill rotWithShape="1">
                    <a:blip r:embed="rId13">
                      <a:extLst>
                        <a:ext uri="{28A0092B-C50C-407E-A947-70E740481C1C}">
                          <a14:useLocalDpi xmlns:a14="http://schemas.microsoft.com/office/drawing/2010/main" val="0"/>
                        </a:ext>
                      </a:extLst>
                    </a:blip>
                    <a:srcRect l="2541" t="7498" r="8882" b="10681"/>
                    <a:stretch/>
                  </pic:blipFill>
                  <pic:spPr bwMode="auto">
                    <a:xfrm>
                      <a:off x="0" y="0"/>
                      <a:ext cx="6583447" cy="3895469"/>
                    </a:xfrm>
                    <a:prstGeom prst="rect">
                      <a:avLst/>
                    </a:prstGeom>
                    <a:noFill/>
                    <a:ln>
                      <a:noFill/>
                    </a:ln>
                    <a:extLst>
                      <a:ext uri="{53640926-AAD7-44D8-BBD7-CCE9431645EC}">
                        <a14:shadowObscured xmlns:a14="http://schemas.microsoft.com/office/drawing/2010/main"/>
                      </a:ext>
                    </a:extLst>
                  </pic:spPr>
                </pic:pic>
              </a:graphicData>
            </a:graphic>
          </wp:inline>
        </w:drawing>
      </w:r>
    </w:p>
    <w:p w:rsidR="000773D9" w:rsidRDefault="005044D9" w:rsidP="005044D9">
      <w:pPr>
        <w:pStyle w:val="Heading2"/>
      </w:pPr>
      <w:r>
        <w:t>Management - Explanation</w:t>
      </w:r>
    </w:p>
    <w:p w:rsidR="000773D9" w:rsidRDefault="000773D9" w:rsidP="000773D9">
      <w:pPr>
        <w:jc w:val="both"/>
      </w:pPr>
      <w:r>
        <w:t>When explaining the diagnosis to patients with musculoskeletal pain, the language used has significant implications on how patients perceive their problem. Avoid damaging terms which carry connotations of erosion, destruct</w:t>
      </w:r>
      <w:r w:rsidR="005044D9">
        <w:t xml:space="preserve">ion and inevitable chronic pain like Ruptured disc, Torn muscle, Crumbly spine, </w:t>
      </w:r>
      <w:r>
        <w:t>Degenerative</w:t>
      </w:r>
      <w:r w:rsidR="005044D9">
        <w:t xml:space="preserve">, Knackered, </w:t>
      </w:r>
      <w:proofErr w:type="gramStart"/>
      <w:r w:rsidR="005044D9">
        <w:t>Worn</w:t>
      </w:r>
      <w:proofErr w:type="gramEnd"/>
      <w:r w:rsidR="005044D9">
        <w:t xml:space="preserve"> Out.  </w:t>
      </w:r>
      <w:r>
        <w:t xml:space="preserve">How would you feel if you had been told you had torn a muscle?  </w:t>
      </w:r>
      <w:r w:rsidR="005044D9">
        <w:t>Or what if I decided to sell you my house and told you that most of it was okay except one bit was a bit crumbly?  You’d be horrified, and this is no different for patients when we use these sort of terms.  G</w:t>
      </w:r>
      <w:r>
        <w:t>ive positive messages instead, rather than using suc</w:t>
      </w:r>
      <w:r w:rsidR="005044D9">
        <w:t xml:space="preserve">h negative language.   </w:t>
      </w:r>
      <w:r>
        <w:t>So, explain that</w:t>
      </w:r>
    </w:p>
    <w:p w:rsidR="000773D9" w:rsidRDefault="000773D9" w:rsidP="005044D9">
      <w:pPr>
        <w:pStyle w:val="ListParagraph"/>
        <w:numPr>
          <w:ilvl w:val="0"/>
          <w:numId w:val="32"/>
        </w:numPr>
        <w:jc w:val="both"/>
      </w:pPr>
      <w:r>
        <w:t>Pain does not mean more damage</w:t>
      </w:r>
    </w:p>
    <w:p w:rsidR="000773D9" w:rsidRDefault="000773D9" w:rsidP="005044D9">
      <w:pPr>
        <w:pStyle w:val="ListParagraph"/>
        <w:numPr>
          <w:ilvl w:val="0"/>
          <w:numId w:val="32"/>
        </w:numPr>
        <w:jc w:val="both"/>
      </w:pPr>
      <w:r>
        <w:t>Encourage to try and engage in activity and build up to what they did before – it is achievable.</w:t>
      </w:r>
    </w:p>
    <w:p w:rsidR="000773D9" w:rsidRDefault="000773D9" w:rsidP="000773D9">
      <w:pPr>
        <w:pStyle w:val="ListParagraph"/>
        <w:numPr>
          <w:ilvl w:val="0"/>
          <w:numId w:val="32"/>
        </w:numPr>
        <w:jc w:val="both"/>
      </w:pPr>
      <w:r>
        <w:t>Promote</w:t>
      </w:r>
      <w:r w:rsidR="005044D9">
        <w:t xml:space="preserve"> a positive outlook (but don’t l</w:t>
      </w:r>
      <w:r>
        <w:t>ie)</w:t>
      </w:r>
    </w:p>
    <w:p w:rsidR="004C1F03" w:rsidRDefault="004C1F03" w:rsidP="004C1F03">
      <w:pPr>
        <w:pStyle w:val="ListParagraph"/>
        <w:numPr>
          <w:ilvl w:val="0"/>
          <w:numId w:val="32"/>
        </w:numPr>
        <w:jc w:val="both"/>
      </w:pPr>
      <w:r>
        <w:t xml:space="preserve">Patients are empowered by explanations.  Empathise.  </w:t>
      </w:r>
    </w:p>
    <w:p w:rsidR="000773D9" w:rsidRPr="005044D9" w:rsidRDefault="005044D9" w:rsidP="000773D9">
      <w:pPr>
        <w:jc w:val="both"/>
        <w:rPr>
          <w:i/>
        </w:rPr>
      </w:pPr>
      <w:r>
        <w:rPr>
          <w:i/>
        </w:rPr>
        <w:t>‘</w:t>
      </w:r>
      <w:r w:rsidR="000773D9" w:rsidRPr="005044D9">
        <w:rPr>
          <w:i/>
        </w:rPr>
        <w:t>Having listened to you telling me what happened and from examining you I can tell you that, even though it is causing you a lot of pain, there is no serious injury to your back. Back pain happens to most people during their life and for most people the pain will get better without needing treatment. What we need to do is manage the pain and get you more comfortable so that you can get back to normal activities as soon as possible. The less pain you are in the quicker you will get better.'</w:t>
      </w:r>
    </w:p>
    <w:p w:rsidR="000773D9" w:rsidRDefault="005044D9" w:rsidP="005044D9">
      <w:pPr>
        <w:pStyle w:val="Heading2"/>
      </w:pPr>
      <w:r>
        <w:t>Management - medication</w:t>
      </w:r>
    </w:p>
    <w:p w:rsidR="000773D9" w:rsidRDefault="000773D9" w:rsidP="00EF5AA8">
      <w:pPr>
        <w:pStyle w:val="ListParagraph"/>
        <w:numPr>
          <w:ilvl w:val="0"/>
          <w:numId w:val="35"/>
        </w:numPr>
        <w:jc w:val="both"/>
      </w:pPr>
      <w:r>
        <w:t xml:space="preserve">If v severe and muscle spasm +++ </w:t>
      </w:r>
      <w:r w:rsidR="00EF5AA8">
        <w:sym w:font="Wingdings" w:char="F0E0"/>
      </w:r>
      <w:r>
        <w:t xml:space="preserve"> short term </w:t>
      </w:r>
      <w:r w:rsidRPr="00EF5AA8">
        <w:rPr>
          <w:b/>
        </w:rPr>
        <w:t>diazepam</w:t>
      </w:r>
      <w:r>
        <w:t xml:space="preserve"> 2-5mg </w:t>
      </w:r>
      <w:proofErr w:type="spellStart"/>
      <w:r>
        <w:t>tds</w:t>
      </w:r>
      <w:proofErr w:type="spellEnd"/>
      <w:r>
        <w:t xml:space="preserve">  for 2-5</w:t>
      </w:r>
      <w:r w:rsidR="00EF5AA8">
        <w:t xml:space="preserve"> days (note in doses above 5mg </w:t>
      </w:r>
      <w:r w:rsidR="00EF5AA8">
        <w:sym w:font="Wingdings" w:char="F0E0"/>
      </w:r>
      <w:r>
        <w:t xml:space="preserve"> significant deterioration in alertness)</w:t>
      </w:r>
    </w:p>
    <w:p w:rsidR="000773D9" w:rsidRDefault="000773D9" w:rsidP="00EF5AA8">
      <w:pPr>
        <w:pStyle w:val="ListParagraph"/>
        <w:numPr>
          <w:ilvl w:val="0"/>
          <w:numId w:val="35"/>
        </w:numPr>
        <w:jc w:val="both"/>
      </w:pPr>
      <w:r>
        <w:t xml:space="preserve">Otherwise, most patients should be started on </w:t>
      </w:r>
      <w:proofErr w:type="spellStart"/>
      <w:r w:rsidRPr="00EF5AA8">
        <w:rPr>
          <w:b/>
        </w:rPr>
        <w:t>Paracetamol</w:t>
      </w:r>
      <w:proofErr w:type="spellEnd"/>
      <w:r>
        <w:t xml:space="preserve"> 1g </w:t>
      </w:r>
      <w:proofErr w:type="spellStart"/>
      <w:r>
        <w:t>qds</w:t>
      </w:r>
      <w:proofErr w:type="spellEnd"/>
    </w:p>
    <w:p w:rsidR="000773D9" w:rsidRDefault="000773D9" w:rsidP="00EF5AA8">
      <w:pPr>
        <w:pStyle w:val="ListParagraph"/>
        <w:numPr>
          <w:ilvl w:val="0"/>
          <w:numId w:val="35"/>
        </w:numPr>
        <w:jc w:val="both"/>
      </w:pPr>
      <w:r>
        <w:lastRenderedPageBreak/>
        <w:t xml:space="preserve">If that fails then…. </w:t>
      </w:r>
      <w:r w:rsidRPr="00EF5AA8">
        <w:rPr>
          <w:b/>
        </w:rPr>
        <w:t>NSAID</w:t>
      </w:r>
      <w:r>
        <w:t xml:space="preserve"> (Naproxen 500mg </w:t>
      </w:r>
      <w:proofErr w:type="spellStart"/>
      <w:r>
        <w:t>bd</w:t>
      </w:r>
      <w:proofErr w:type="spellEnd"/>
      <w:r>
        <w:t xml:space="preserve">) or </w:t>
      </w:r>
      <w:r w:rsidRPr="00EF5AA8">
        <w:rPr>
          <w:b/>
        </w:rPr>
        <w:t>COX2</w:t>
      </w:r>
      <w:r>
        <w:t xml:space="preserve"> </w:t>
      </w:r>
      <w:r w:rsidRPr="00EF5AA8">
        <w:rPr>
          <w:b/>
        </w:rPr>
        <w:t>inhibitor</w:t>
      </w:r>
      <w:r>
        <w:t xml:space="preserve"> OR </w:t>
      </w:r>
      <w:r w:rsidRPr="00EF5AA8">
        <w:rPr>
          <w:b/>
        </w:rPr>
        <w:t>weak</w:t>
      </w:r>
      <w:r>
        <w:t xml:space="preserve"> </w:t>
      </w:r>
      <w:r w:rsidRPr="00EF5AA8">
        <w:rPr>
          <w:b/>
        </w:rPr>
        <w:t>opioid</w:t>
      </w:r>
      <w:r>
        <w:t xml:space="preserve"> (</w:t>
      </w:r>
      <w:proofErr w:type="spellStart"/>
      <w:r>
        <w:t>Cocodamol</w:t>
      </w:r>
      <w:proofErr w:type="spellEnd"/>
      <w:r>
        <w:t xml:space="preserve"> 8-30/</w:t>
      </w:r>
      <w:proofErr w:type="gramStart"/>
      <w:r>
        <w:t>500  2</w:t>
      </w:r>
      <w:proofErr w:type="gramEnd"/>
      <w:r>
        <w:t xml:space="preserve"> </w:t>
      </w:r>
      <w:proofErr w:type="spellStart"/>
      <w:r>
        <w:t>qds</w:t>
      </w:r>
      <w:proofErr w:type="spellEnd"/>
      <w:r>
        <w:t>; DF118 30mg od or tramadol low dose</w:t>
      </w:r>
      <w:r w:rsidR="00EF5AA8">
        <w:t>)</w:t>
      </w:r>
      <w:r>
        <w:t>.  For NSAIDS/COX2, give PPI if over age 45</w:t>
      </w:r>
    </w:p>
    <w:p w:rsidR="000773D9" w:rsidRDefault="000773D9" w:rsidP="00EF5AA8">
      <w:pPr>
        <w:pStyle w:val="ListParagraph"/>
        <w:numPr>
          <w:ilvl w:val="0"/>
          <w:numId w:val="35"/>
        </w:numPr>
        <w:jc w:val="both"/>
      </w:pPr>
      <w:r>
        <w:t xml:space="preserve">If that fails then try </w:t>
      </w:r>
      <w:r w:rsidRPr="00EF5AA8">
        <w:rPr>
          <w:b/>
        </w:rPr>
        <w:t>NSAID</w:t>
      </w:r>
      <w:r>
        <w:t xml:space="preserve"> </w:t>
      </w:r>
      <w:r w:rsidR="00EF5AA8">
        <w:rPr>
          <w:b/>
        </w:rPr>
        <w:t>PLUS</w:t>
      </w:r>
      <w:r w:rsidRPr="00EF5AA8">
        <w:rPr>
          <w:b/>
        </w:rPr>
        <w:t xml:space="preserve"> tramadol</w:t>
      </w:r>
    </w:p>
    <w:p w:rsidR="000773D9" w:rsidRDefault="000773D9" w:rsidP="00EF5AA8">
      <w:pPr>
        <w:pStyle w:val="ListParagraph"/>
        <w:numPr>
          <w:ilvl w:val="0"/>
          <w:numId w:val="35"/>
        </w:numPr>
        <w:jc w:val="both"/>
      </w:pPr>
      <w:r>
        <w:t xml:space="preserve">If that fails, add </w:t>
      </w:r>
      <w:r w:rsidRPr="00EF5AA8">
        <w:rPr>
          <w:b/>
        </w:rPr>
        <w:t>Amitriptyline</w:t>
      </w:r>
      <w:r>
        <w:t xml:space="preserve"> – taken 2h before bedtime, n</w:t>
      </w:r>
      <w:r w:rsidR="00EF5AA8">
        <w:t>o later than 8pm.  Start 1</w:t>
      </w:r>
      <w:r>
        <w:t>0mg and titrate upwards</w:t>
      </w:r>
      <w:r w:rsidR="00EF5AA8">
        <w:t xml:space="preserve"> to 75mg.  Effect on sleep </w:t>
      </w:r>
      <w:r>
        <w:t>usually im</w:t>
      </w:r>
      <w:r w:rsidR="00EF5AA8">
        <w:t>mediate, but effect on pain/mood takes 2-6w.</w:t>
      </w:r>
      <w:r>
        <w:t xml:space="preserve">  </w:t>
      </w:r>
    </w:p>
    <w:p w:rsidR="000773D9" w:rsidRDefault="000773D9" w:rsidP="000773D9">
      <w:pPr>
        <w:pStyle w:val="ListParagraph"/>
        <w:numPr>
          <w:ilvl w:val="0"/>
          <w:numId w:val="35"/>
        </w:numPr>
        <w:jc w:val="both"/>
      </w:pPr>
      <w:r>
        <w:t xml:space="preserve">If all of this fails, </w:t>
      </w:r>
      <w:r w:rsidRPr="00EF5AA8">
        <w:rPr>
          <w:b/>
        </w:rPr>
        <w:t>review diagnosis.</w:t>
      </w:r>
      <w:r>
        <w:t xml:space="preserve">  Discuss with other docs whether referral (</w:t>
      </w:r>
      <w:proofErr w:type="spellStart"/>
      <w:r>
        <w:t>physio</w:t>
      </w:r>
      <w:proofErr w:type="spellEnd"/>
      <w:r>
        <w:t xml:space="preserve">, MSK) or </w:t>
      </w:r>
      <w:r w:rsidRPr="00EF5AA8">
        <w:rPr>
          <w:b/>
        </w:rPr>
        <w:t>stronger opioid</w:t>
      </w:r>
      <w:r>
        <w:t xml:space="preserve"> indicated for the SHORT TERM (like tramadol high dose, buprenorphine, oxycodone, fentanyl – for say acute disc herniation</w:t>
      </w:r>
      <w:proofErr w:type="gramStart"/>
      <w:r>
        <w:t>)-</w:t>
      </w:r>
      <w:proofErr w:type="gramEnd"/>
      <w:r>
        <w:t xml:space="preserve"> do not prescribe PRN, prescribe a scheduled dose (*and remember, short term!)</w:t>
      </w:r>
    </w:p>
    <w:p w:rsidR="000773D9" w:rsidRPr="00EF5AA8" w:rsidRDefault="000773D9" w:rsidP="000773D9">
      <w:pPr>
        <w:jc w:val="both"/>
        <w:rPr>
          <w:b/>
        </w:rPr>
      </w:pPr>
      <w:r w:rsidRPr="00EF5AA8">
        <w:rPr>
          <w:b/>
        </w:rPr>
        <w:t>Facet joint injections, epidurals, trigger point and sclerosant injections have not been shown to be effective for back pain and sciatica. NICE guidelines do not recommend injecti</w:t>
      </w:r>
      <w:r w:rsidR="00EF5AA8">
        <w:rPr>
          <w:b/>
        </w:rPr>
        <w:t>ons for non-specific back pain.</w:t>
      </w:r>
    </w:p>
    <w:p w:rsidR="000773D9" w:rsidRPr="00EF5AA8" w:rsidRDefault="000773D9" w:rsidP="000773D9">
      <w:pPr>
        <w:jc w:val="both"/>
        <w:rPr>
          <w:u w:val="single"/>
        </w:rPr>
      </w:pPr>
      <w:r w:rsidRPr="00EF5AA8">
        <w:rPr>
          <w:u w:val="single"/>
        </w:rPr>
        <w:t>Opioid Risk Tool</w:t>
      </w:r>
    </w:p>
    <w:p w:rsidR="000773D9" w:rsidRDefault="00EF5AA8" w:rsidP="000773D9">
      <w:pPr>
        <w:jc w:val="both"/>
      </w:pPr>
      <w:r>
        <w:t>Be careful prescribing opioids if….</w:t>
      </w:r>
    </w:p>
    <w:p w:rsidR="000773D9" w:rsidRDefault="000773D9" w:rsidP="00EF5AA8">
      <w:pPr>
        <w:pStyle w:val="ListParagraph"/>
        <w:numPr>
          <w:ilvl w:val="0"/>
          <w:numId w:val="36"/>
        </w:numPr>
        <w:jc w:val="both"/>
      </w:pPr>
      <w:r>
        <w:t>FH of substance use (alcohol, illegal drugs, prescription drugs)</w:t>
      </w:r>
    </w:p>
    <w:p w:rsidR="000773D9" w:rsidRDefault="000773D9" w:rsidP="00EF5AA8">
      <w:pPr>
        <w:pStyle w:val="ListParagraph"/>
        <w:numPr>
          <w:ilvl w:val="0"/>
          <w:numId w:val="36"/>
        </w:numPr>
        <w:jc w:val="both"/>
      </w:pPr>
      <w:r>
        <w:t>Personal history of substance misuse (alcohol, illegal drugs, prescription drugs)</w:t>
      </w:r>
    </w:p>
    <w:p w:rsidR="000773D9" w:rsidRDefault="000773D9" w:rsidP="00EF5AA8">
      <w:pPr>
        <w:pStyle w:val="ListParagraph"/>
        <w:numPr>
          <w:ilvl w:val="0"/>
          <w:numId w:val="36"/>
        </w:numPr>
        <w:jc w:val="both"/>
      </w:pPr>
      <w:r>
        <w:t>History preadolescent sexual abuse</w:t>
      </w:r>
    </w:p>
    <w:p w:rsidR="000773D9" w:rsidRDefault="000773D9" w:rsidP="00EF5AA8">
      <w:pPr>
        <w:pStyle w:val="ListParagraph"/>
        <w:numPr>
          <w:ilvl w:val="0"/>
          <w:numId w:val="36"/>
        </w:numPr>
        <w:jc w:val="both"/>
      </w:pPr>
      <w:r>
        <w:t>Psychological problems – OCD, anxiety, depression, schizophrenia, bipolar</w:t>
      </w:r>
    </w:p>
    <w:p w:rsidR="000773D9" w:rsidRDefault="000773D9" w:rsidP="000773D9">
      <w:pPr>
        <w:pStyle w:val="ListParagraph"/>
        <w:numPr>
          <w:ilvl w:val="0"/>
          <w:numId w:val="36"/>
        </w:numPr>
        <w:jc w:val="both"/>
      </w:pPr>
      <w:r>
        <w:t>Age 16-45 years</w:t>
      </w:r>
    </w:p>
    <w:p w:rsidR="005B7499" w:rsidRDefault="005B7499" w:rsidP="005B7499">
      <w:pPr>
        <w:pStyle w:val="Heading2"/>
      </w:pPr>
      <w:r>
        <w:t>Nerve Root symptoms</w:t>
      </w:r>
      <w:r w:rsidR="00401E87">
        <w:t xml:space="preserve"> present</w:t>
      </w:r>
    </w:p>
    <w:p w:rsidR="005B7499" w:rsidRDefault="005B7499" w:rsidP="005B7499">
      <w:pPr>
        <w:jc w:val="both"/>
      </w:pPr>
      <w:proofErr w:type="gramStart"/>
      <w:r>
        <w:t>If  a</w:t>
      </w:r>
      <w:proofErr w:type="gramEnd"/>
      <w:r>
        <w:t xml:space="preserve"> patient of yours has symptoms of nerve root irritation (pain, numbness, paraesthesia or neurological signs; usually single and unilateral, limb pain worse than LBP</w:t>
      </w:r>
      <w:r w:rsidR="00401E87">
        <w:t>/neck pain</w:t>
      </w:r>
      <w:r>
        <w:t>)….</w:t>
      </w:r>
    </w:p>
    <w:p w:rsidR="005B7499" w:rsidRDefault="005B7499" w:rsidP="005B7499">
      <w:pPr>
        <w:pStyle w:val="ListParagraph"/>
        <w:numPr>
          <w:ilvl w:val="0"/>
          <w:numId w:val="37"/>
        </w:numPr>
        <w:jc w:val="both"/>
      </w:pPr>
      <w:r>
        <w:t xml:space="preserve">Conservative </w:t>
      </w:r>
      <w:proofErr w:type="spellStart"/>
      <w:r>
        <w:t>Mx</w:t>
      </w:r>
      <w:proofErr w:type="spellEnd"/>
      <w:r>
        <w:t xml:space="preserve"> for 6w.</w:t>
      </w:r>
    </w:p>
    <w:p w:rsidR="005B7499" w:rsidRDefault="005B7499" w:rsidP="005B7499">
      <w:pPr>
        <w:pStyle w:val="ListParagraph"/>
        <w:numPr>
          <w:ilvl w:val="0"/>
          <w:numId w:val="37"/>
        </w:numPr>
        <w:jc w:val="both"/>
      </w:pPr>
      <w:r>
        <w:t>After 6w….</w:t>
      </w:r>
    </w:p>
    <w:p w:rsidR="005B7499" w:rsidRDefault="005B7499" w:rsidP="005B7499">
      <w:pPr>
        <w:pStyle w:val="ListParagraph"/>
        <w:numPr>
          <w:ilvl w:val="1"/>
          <w:numId w:val="40"/>
        </w:numPr>
        <w:jc w:val="both"/>
      </w:pPr>
      <w:r>
        <w:t xml:space="preserve">50% of patients will have improved.    </w:t>
      </w:r>
    </w:p>
    <w:p w:rsidR="005B7499" w:rsidRDefault="005B7499" w:rsidP="005B7499">
      <w:pPr>
        <w:pStyle w:val="ListParagraph"/>
        <w:numPr>
          <w:ilvl w:val="1"/>
          <w:numId w:val="40"/>
        </w:numPr>
        <w:jc w:val="both"/>
      </w:pPr>
      <w:r>
        <w:t xml:space="preserve">For the 50% that have NOT improved: consider MRI (with consideration of x-ray guided nerve root block) </w:t>
      </w:r>
    </w:p>
    <w:p w:rsidR="005B7499" w:rsidRDefault="005B7499" w:rsidP="005B7499">
      <w:pPr>
        <w:pStyle w:val="ListParagraph"/>
        <w:numPr>
          <w:ilvl w:val="1"/>
          <w:numId w:val="40"/>
        </w:numPr>
        <w:jc w:val="both"/>
      </w:pPr>
      <w:r>
        <w:t>If progressive motor weakness, refer urgently to specialist (1-2w)</w:t>
      </w:r>
    </w:p>
    <w:p w:rsidR="005B7499" w:rsidRDefault="005B7499" w:rsidP="005B7499">
      <w:pPr>
        <w:pStyle w:val="ListParagraph"/>
        <w:numPr>
          <w:ilvl w:val="1"/>
          <w:numId w:val="40"/>
        </w:numPr>
        <w:jc w:val="both"/>
      </w:pPr>
      <w:r>
        <w:t xml:space="preserve">If severe neurological symptoms (e.g. more than one nerve root or </w:t>
      </w:r>
      <w:proofErr w:type="spellStart"/>
      <w:r>
        <w:t>myotome</w:t>
      </w:r>
      <w:proofErr w:type="spellEnd"/>
      <w:r>
        <w:t xml:space="preserve"> affected) – again, refer urgently to specialist (1-2w).</w:t>
      </w:r>
    </w:p>
    <w:p w:rsidR="00401E87" w:rsidRPr="00401E87" w:rsidRDefault="00401E87" w:rsidP="00401E87">
      <w:pPr>
        <w:jc w:val="both"/>
        <w:rPr>
          <w:sz w:val="2"/>
        </w:rPr>
      </w:pPr>
    </w:p>
    <w:p w:rsidR="005B7499" w:rsidRDefault="005B7499" w:rsidP="00401E87">
      <w:pPr>
        <w:pStyle w:val="ListParagraph"/>
        <w:numPr>
          <w:ilvl w:val="0"/>
          <w:numId w:val="41"/>
        </w:numPr>
        <w:ind w:left="426" w:hanging="284"/>
        <w:jc w:val="both"/>
      </w:pPr>
      <w:r>
        <w:t>In the cervical spine, C5/6-C7/T1 are the most common places for nerve root compromise (</w:t>
      </w:r>
      <w:proofErr w:type="spellStart"/>
      <w:r>
        <w:t>brachialgia</w:t>
      </w:r>
      <w:proofErr w:type="spellEnd"/>
      <w:r>
        <w:t xml:space="preserve">). </w:t>
      </w:r>
    </w:p>
    <w:p w:rsidR="005B7499" w:rsidRDefault="005B7499" w:rsidP="00401E87">
      <w:pPr>
        <w:pStyle w:val="ListParagraph"/>
        <w:numPr>
          <w:ilvl w:val="0"/>
          <w:numId w:val="41"/>
        </w:numPr>
        <w:ind w:left="426" w:hanging="284"/>
        <w:jc w:val="both"/>
      </w:pPr>
      <w:r>
        <w:t xml:space="preserve">In the lumbar spine, L4/5-L5/S1 are the most common places for nerve root compromise (sciatica). </w:t>
      </w:r>
    </w:p>
    <w:p w:rsidR="000773D9" w:rsidRDefault="005B7499" w:rsidP="000773D9">
      <w:pPr>
        <w:pStyle w:val="ListParagraph"/>
        <w:numPr>
          <w:ilvl w:val="0"/>
          <w:numId w:val="41"/>
        </w:numPr>
        <w:ind w:left="426" w:hanging="284"/>
        <w:jc w:val="both"/>
      </w:pPr>
      <w:r>
        <w:t xml:space="preserve">Multi-level or bilateral neurological signs are a red flag and if present, warrant an urgent onward referral for MRI scan and spinal/neurology assessment. </w:t>
      </w:r>
    </w:p>
    <w:p w:rsidR="00401E87" w:rsidRDefault="00401E87" w:rsidP="00401E87">
      <w:pPr>
        <w:pStyle w:val="Heading2"/>
      </w:pPr>
      <w:r>
        <w:t>Review your patient!</w:t>
      </w:r>
    </w:p>
    <w:p w:rsidR="00401E87" w:rsidRDefault="00401E87" w:rsidP="00401E87">
      <w:pPr>
        <w:jc w:val="both"/>
      </w:pPr>
      <w:r>
        <w:t>Always arrange follow up.  1 w if the pain is v bad.  Aim for symptomatic relief of pain.  Maintain activity levels. Revisit psychosocial factors and address.</w:t>
      </w:r>
      <w:r w:rsidR="004C1F03">
        <w:t xml:space="preserve">  If patient not getting better, review diagnosis and re-examine.</w:t>
      </w:r>
    </w:p>
    <w:p w:rsidR="004C1F03" w:rsidRDefault="004C1F03" w:rsidP="004C1F03">
      <w:pPr>
        <w:pStyle w:val="Heading2"/>
      </w:pPr>
      <w:r>
        <w:t>Surgery</w:t>
      </w:r>
    </w:p>
    <w:p w:rsidR="004C1F03" w:rsidRDefault="004C1F03" w:rsidP="004C1F03">
      <w:pPr>
        <w:pStyle w:val="ListParagraph"/>
        <w:numPr>
          <w:ilvl w:val="0"/>
          <w:numId w:val="42"/>
        </w:numPr>
        <w:jc w:val="both"/>
      </w:pPr>
      <w:r>
        <w:t>Generally isn’t v good.</w:t>
      </w:r>
    </w:p>
    <w:p w:rsidR="004C1F03" w:rsidRDefault="004C1F03" w:rsidP="00401E87">
      <w:pPr>
        <w:pStyle w:val="ListParagraph"/>
        <w:numPr>
          <w:ilvl w:val="0"/>
          <w:numId w:val="42"/>
        </w:numPr>
        <w:jc w:val="both"/>
      </w:pPr>
      <w:proofErr w:type="spellStart"/>
      <w:r>
        <w:t>Microdiscectomy</w:t>
      </w:r>
      <w:proofErr w:type="spellEnd"/>
      <w:r>
        <w:t xml:space="preserve"> helps with reducing pain than more invasive surgery.  Tends to relieve limb pain rather than spinal pain.  </w:t>
      </w:r>
    </w:p>
    <w:p w:rsidR="004C1F03" w:rsidRDefault="004C1F03" w:rsidP="004C1F03">
      <w:pPr>
        <w:pStyle w:val="Heading2"/>
      </w:pPr>
      <w:r>
        <w:lastRenderedPageBreak/>
        <w:t xml:space="preserve">Work  </w:t>
      </w:r>
    </w:p>
    <w:p w:rsidR="004C1F03" w:rsidRDefault="004C1F03" w:rsidP="004C1F03">
      <w:pPr>
        <w:jc w:val="both"/>
      </w:pPr>
      <w:r>
        <w:t xml:space="preserve">Try and get people back to work.  Facilitate the return.  Be sensitive.  Get them to come up with </w:t>
      </w:r>
      <w:proofErr w:type="spellStart"/>
      <w:r>
        <w:t>suggestions</w:t>
      </w:r>
      <w:proofErr w:type="gramStart"/>
      <w:r>
        <w:t>.‘</w:t>
      </w:r>
      <w:proofErr w:type="gramEnd"/>
      <w:r>
        <w:t>What</w:t>
      </w:r>
      <w:proofErr w:type="spellEnd"/>
      <w:r>
        <w:t xml:space="preserve"> can be done at work to help?’  The longer a patient is off work, the greater the risk of developing chronic pain and disability and less likely they are to ever return to work. If a patient is off work for six weeks, there is a 10-40% chance they will be off work in one year. If a patient is off work for 6 to 12 months, there is a 90% chance that they might never return to any form of work (Waddell, 2002).  </w:t>
      </w:r>
    </w:p>
    <w:p w:rsidR="004C1F03" w:rsidRDefault="004C1F03" w:rsidP="004C1F03">
      <w:pPr>
        <w:jc w:val="both"/>
      </w:pPr>
      <w:r>
        <w:t>You can facilitate return to work in the following ways:</w:t>
      </w:r>
    </w:p>
    <w:p w:rsidR="004C1F03" w:rsidRDefault="004C1F03" w:rsidP="004C1F03">
      <w:pPr>
        <w:pStyle w:val="ListParagraph"/>
        <w:numPr>
          <w:ilvl w:val="0"/>
          <w:numId w:val="40"/>
        </w:numPr>
        <w:jc w:val="both"/>
      </w:pPr>
      <w:proofErr w:type="spellStart"/>
      <w:r>
        <w:t>Mythbusting</w:t>
      </w:r>
      <w:proofErr w:type="spellEnd"/>
      <w:r>
        <w:t>: You don’t have to be 100% better to return to work</w:t>
      </w:r>
    </w:p>
    <w:p w:rsidR="004C1F03" w:rsidRDefault="004C1F03" w:rsidP="004C1F03">
      <w:pPr>
        <w:pStyle w:val="ListParagraph"/>
        <w:numPr>
          <w:ilvl w:val="0"/>
          <w:numId w:val="40"/>
        </w:numPr>
        <w:jc w:val="both"/>
      </w:pPr>
      <w:r>
        <w:t>Ask the patient to focus on what they can do, not what they can’t</w:t>
      </w:r>
    </w:p>
    <w:p w:rsidR="004C1F03" w:rsidRDefault="004C1F03" w:rsidP="004C1F03">
      <w:pPr>
        <w:pStyle w:val="ListParagraph"/>
        <w:numPr>
          <w:ilvl w:val="0"/>
          <w:numId w:val="40"/>
        </w:numPr>
        <w:jc w:val="both"/>
      </w:pPr>
      <w:r>
        <w:t>Make sure the patient has spoken to their employer</w:t>
      </w:r>
    </w:p>
    <w:p w:rsidR="004C1F03" w:rsidRDefault="004C1F03" w:rsidP="004C1F03">
      <w:pPr>
        <w:pStyle w:val="ListParagraph"/>
        <w:numPr>
          <w:ilvl w:val="0"/>
          <w:numId w:val="40"/>
        </w:numPr>
        <w:jc w:val="both"/>
      </w:pPr>
      <w:r>
        <w:t>Use the fit note to communicate with employers. The worker knows best and can suggest workplace modifications.  Consider return to work part-time if possible</w:t>
      </w:r>
    </w:p>
    <w:p w:rsidR="004C1F03" w:rsidRDefault="004C1F03" w:rsidP="004C1F03">
      <w:pPr>
        <w:pStyle w:val="ListParagraph"/>
        <w:numPr>
          <w:ilvl w:val="0"/>
          <w:numId w:val="40"/>
        </w:numPr>
        <w:jc w:val="both"/>
      </w:pPr>
      <w:r>
        <w:t>Think about using a tool such as the ‘fit note decision aid’ (see resources) to help identify obstacles to return to work</w:t>
      </w:r>
    </w:p>
    <w:p w:rsidR="004C1F03" w:rsidRDefault="004C1F03" w:rsidP="004C1F03">
      <w:pPr>
        <w:pStyle w:val="ListParagraph"/>
        <w:numPr>
          <w:ilvl w:val="0"/>
          <w:numId w:val="40"/>
        </w:numPr>
        <w:jc w:val="both"/>
      </w:pPr>
      <w:r>
        <w:t>Use occupational health at work.</w:t>
      </w:r>
    </w:p>
    <w:p w:rsidR="000773D9" w:rsidRDefault="00401E87" w:rsidP="00401E87">
      <w:pPr>
        <w:pStyle w:val="Heading2"/>
      </w:pPr>
      <w:r>
        <w:t>Specific conditions</w:t>
      </w:r>
    </w:p>
    <w:p w:rsidR="000773D9" w:rsidRDefault="000773D9" w:rsidP="000773D9">
      <w:pPr>
        <w:jc w:val="both"/>
      </w:pPr>
      <w:r w:rsidRPr="00401E87">
        <w:rPr>
          <w:b/>
        </w:rPr>
        <w:t>Central disc protrusion</w:t>
      </w:r>
      <w:r w:rsidR="00635741">
        <w:rPr>
          <w:b/>
        </w:rPr>
        <w:t xml:space="preserve">/Cauda </w:t>
      </w:r>
      <w:proofErr w:type="spellStart"/>
      <w:r w:rsidR="00635741">
        <w:rPr>
          <w:b/>
        </w:rPr>
        <w:t>equina</w:t>
      </w:r>
      <w:proofErr w:type="spellEnd"/>
      <w:r>
        <w:t xml:space="preserve"> </w:t>
      </w:r>
      <w:r w:rsidR="00635741">
        <w:t>–</w:t>
      </w:r>
      <w:r>
        <w:t xml:space="preserve"> </w:t>
      </w:r>
      <w:r w:rsidR="00635741">
        <w:t xml:space="preserve">Usually (but not always) sudden onset, </w:t>
      </w:r>
      <w:proofErr w:type="gramStart"/>
      <w:r>
        <w:t>Bilateral</w:t>
      </w:r>
      <w:proofErr w:type="gramEnd"/>
      <w:r>
        <w:t xml:space="preserve"> leg pain, gait or sphincter disturbance, saddle anaesthes</w:t>
      </w:r>
      <w:r w:rsidR="002162C9">
        <w:t>ia.  Back pain may or may not be present. T</w:t>
      </w:r>
      <w:r>
        <w:t>his is a neurosurgical</w:t>
      </w:r>
      <w:r w:rsidR="00635741">
        <w:t xml:space="preserve"> emergency - refer immediately.  Usually from L4/L5 and L5/S1 disc herniation.</w:t>
      </w:r>
    </w:p>
    <w:p w:rsidR="000773D9" w:rsidRDefault="000773D9" w:rsidP="000773D9">
      <w:pPr>
        <w:jc w:val="both"/>
      </w:pPr>
      <w:r w:rsidRPr="00401E87">
        <w:rPr>
          <w:b/>
        </w:rPr>
        <w:t>Nerve root irritation/compression</w:t>
      </w:r>
      <w:r>
        <w:t xml:space="preserve"> - There is a </w:t>
      </w:r>
      <w:proofErr w:type="spellStart"/>
      <w:r>
        <w:t>dermatomal</w:t>
      </w:r>
      <w:proofErr w:type="spellEnd"/>
      <w:r>
        <w:t xml:space="preserve"> distribution of pain, numbness or paraesthesia with loss of reflexes or weakness in </w:t>
      </w:r>
      <w:proofErr w:type="spellStart"/>
      <w:r>
        <w:t>corr</w:t>
      </w:r>
      <w:bookmarkStart w:id="0" w:name="_GoBack"/>
      <w:bookmarkEnd w:id="0"/>
      <w:r>
        <w:t>responding</w:t>
      </w:r>
      <w:proofErr w:type="spellEnd"/>
      <w:r>
        <w:t xml:space="preserve"> </w:t>
      </w:r>
      <w:proofErr w:type="spellStart"/>
      <w:r>
        <w:t>myotomes</w:t>
      </w:r>
      <w:proofErr w:type="spellEnd"/>
      <w:r>
        <w:t>. It is usually single level. If more than one level is affected, the patient needs urgent assessment. Often, pain in the limbs is greater</w:t>
      </w:r>
      <w:r w:rsidR="004C1F03">
        <w:t xml:space="preserve"> than pain in the back or neck</w:t>
      </w:r>
    </w:p>
    <w:p w:rsidR="000773D9" w:rsidRDefault="000773D9" w:rsidP="000773D9">
      <w:pPr>
        <w:jc w:val="both"/>
      </w:pPr>
      <w:r w:rsidRPr="00401E87">
        <w:rPr>
          <w:b/>
        </w:rPr>
        <w:t>Referred myofascial pain</w:t>
      </w:r>
      <w:r>
        <w:t xml:space="preserve"> (trapezius, gluteal muscles, </w:t>
      </w:r>
      <w:proofErr w:type="spellStart"/>
      <w:r>
        <w:t>paraspinal</w:t>
      </w:r>
      <w:proofErr w:type="spellEnd"/>
      <w:r>
        <w:t xml:space="preserve"> muscles) - The pattern of pain is often deep or aching, usually involving proximal muscle groups (thighs/shoulders). It doesn’t usually extend to hands or feet. Nerve stretch tests such as straight leg rai</w:t>
      </w:r>
      <w:r w:rsidR="005B7499">
        <w:t xml:space="preserve">se are not provocative of pain </w:t>
      </w:r>
    </w:p>
    <w:p w:rsidR="000773D9" w:rsidRDefault="000773D9" w:rsidP="000773D9">
      <w:pPr>
        <w:jc w:val="both"/>
      </w:pPr>
      <w:r w:rsidRPr="00401E87">
        <w:rPr>
          <w:b/>
        </w:rPr>
        <w:t>Piriformis syndrome</w:t>
      </w:r>
      <w:r>
        <w:t xml:space="preserve"> - The sciatic nerve passes through the piriformis muscle (a hip external rotator) in less than 10% of the population. Pain distribution is similar to sciatica but tends to be worse during or after exercise. Reflexes, motor and sensory testing are usually normal and nerve stretch tests such as the s</w:t>
      </w:r>
      <w:r w:rsidR="005B7499">
        <w:t xml:space="preserve">traight leg raise are negative </w:t>
      </w:r>
    </w:p>
    <w:p w:rsidR="000773D9" w:rsidRDefault="000773D9" w:rsidP="000773D9">
      <w:pPr>
        <w:jc w:val="both"/>
      </w:pPr>
      <w:r w:rsidRPr="00401E87">
        <w:rPr>
          <w:b/>
        </w:rPr>
        <w:t>Spinal canal stenosis</w:t>
      </w:r>
      <w:r>
        <w:t xml:space="preserve"> - Caused by narrowing of the spinal canal or neural foramina producing root ischaemia and neurogenic claudication. Stenosis of the spinal canal is most often caused by a combination of loss of disc space, osteophytes and a hypertrophic </w:t>
      </w:r>
      <w:proofErr w:type="spellStart"/>
      <w:r>
        <w:t>ligamentum</w:t>
      </w:r>
      <w:proofErr w:type="spellEnd"/>
      <w:r>
        <w:t xml:space="preserve"> </w:t>
      </w:r>
      <w:proofErr w:type="spellStart"/>
      <w:r>
        <w:t>flavum</w:t>
      </w:r>
      <w:proofErr w:type="spellEnd"/>
      <w:r>
        <w:t>. Patients are usually aged over 60 and present with spinal claudication – unilateral or bilateral leg pain, +/- back pain, numbness and weakness which develop after the patient walks a predictable distance. Patients often report it is easier to walk uphill rather than down. It is important to rule out peripheral vascular disease as a differential diagnosis</w:t>
      </w:r>
    </w:p>
    <w:p w:rsidR="000773D9" w:rsidRDefault="000773D9" w:rsidP="000773D9">
      <w:pPr>
        <w:jc w:val="both"/>
      </w:pPr>
    </w:p>
    <w:p w:rsidR="008F4DDC" w:rsidRPr="004C1F03" w:rsidRDefault="000773D9" w:rsidP="004C1F03">
      <w:pPr>
        <w:jc w:val="center"/>
        <w:rPr>
          <w:b/>
          <w:sz w:val="28"/>
        </w:rPr>
      </w:pPr>
      <w:r w:rsidRPr="004C1F03">
        <w:rPr>
          <w:b/>
          <w:sz w:val="28"/>
        </w:rPr>
        <w:t>Don’t blame the patient if your treatments aren</w:t>
      </w:r>
      <w:r w:rsidR="00EF5AA8" w:rsidRPr="004C1F03">
        <w:rPr>
          <w:b/>
          <w:sz w:val="28"/>
        </w:rPr>
        <w:t>’t making much of a difference!</w:t>
      </w:r>
    </w:p>
    <w:sectPr w:rsidR="008F4DDC" w:rsidRPr="004C1F03" w:rsidSect="00315709">
      <w:headerReference w:type="even" r:id="rId14"/>
      <w:headerReference w:type="default" r:id="rId15"/>
      <w:footerReference w:type="even" r:id="rId16"/>
      <w:footerReference w:type="default" r:id="rId17"/>
      <w:headerReference w:type="first" r:id="rId18"/>
      <w:footerReference w:type="first" r:id="rId19"/>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5227" w:rsidRDefault="00345227" w:rsidP="00315709">
      <w:pPr>
        <w:spacing w:after="0" w:line="240" w:lineRule="auto"/>
      </w:pPr>
      <w:r>
        <w:separator/>
      </w:r>
    </w:p>
  </w:endnote>
  <w:endnote w:type="continuationSeparator" w:id="0">
    <w:p w:rsidR="00345227" w:rsidRDefault="00345227" w:rsidP="003157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7217" w:rsidRDefault="00CB72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7217" w:rsidRDefault="00CB721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7217" w:rsidRDefault="00CB72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5227" w:rsidRDefault="00345227" w:rsidP="00315709">
      <w:pPr>
        <w:spacing w:after="0" w:line="240" w:lineRule="auto"/>
      </w:pPr>
      <w:r>
        <w:separator/>
      </w:r>
    </w:p>
  </w:footnote>
  <w:footnote w:type="continuationSeparator" w:id="0">
    <w:p w:rsidR="00345227" w:rsidRDefault="00345227" w:rsidP="003157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7217" w:rsidRDefault="00CB72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5709" w:rsidRPr="00315709" w:rsidRDefault="000773D9" w:rsidP="00315709">
    <w:pPr>
      <w:pStyle w:val="Title"/>
      <w:jc w:val="center"/>
      <w:rPr>
        <w:color w:val="0070C0"/>
      </w:rPr>
    </w:pPr>
    <w:r>
      <w:rPr>
        <w:color w:val="0070C0"/>
      </w:rPr>
      <w:t>Back and Neck</w:t>
    </w:r>
    <w:r w:rsidR="00CB7217">
      <w:rPr>
        <w:color w:val="0070C0"/>
      </w:rPr>
      <w:t xml:space="preserve"> Pain</w:t>
    </w:r>
    <w:r w:rsidR="00315709" w:rsidRPr="007D6196">
      <w:rPr>
        <w:color w:val="0070C0"/>
      </w:rPr>
      <w:t xml:space="preserve"> for GPs</w:t>
    </w:r>
  </w:p>
  <w:p w:rsidR="00315709" w:rsidRDefault="0031570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7217" w:rsidRDefault="00CB721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22B19"/>
    <w:multiLevelType w:val="hybridMultilevel"/>
    <w:tmpl w:val="6F2079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BB4266"/>
    <w:multiLevelType w:val="hybridMultilevel"/>
    <w:tmpl w:val="548877FA"/>
    <w:lvl w:ilvl="0" w:tplc="8774F53A">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44F7146"/>
    <w:multiLevelType w:val="hybridMultilevel"/>
    <w:tmpl w:val="94DAE986"/>
    <w:lvl w:ilvl="0" w:tplc="91E45B72">
      <w:start w:val="7"/>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6DE1092"/>
    <w:multiLevelType w:val="hybridMultilevel"/>
    <w:tmpl w:val="C1D0ED7C"/>
    <w:lvl w:ilvl="0" w:tplc="08090009">
      <w:start w:val="1"/>
      <w:numFmt w:val="bullet"/>
      <w:lvlText w:val=""/>
      <w:lvlJc w:val="left"/>
      <w:pPr>
        <w:ind w:left="1080" w:hanging="720"/>
      </w:pPr>
      <w:rPr>
        <w:rFonts w:ascii="Wingdings" w:hAnsi="Wingdings" w:hint="default"/>
      </w:rPr>
    </w:lvl>
    <w:lvl w:ilvl="1" w:tplc="08090003">
      <w:start w:val="1"/>
      <w:numFmt w:val="bullet"/>
      <w:lvlText w:val="o"/>
      <w:lvlJc w:val="left"/>
      <w:pPr>
        <w:ind w:left="1800" w:hanging="72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AA17E11"/>
    <w:multiLevelType w:val="hybridMultilevel"/>
    <w:tmpl w:val="58E4A7FC"/>
    <w:lvl w:ilvl="0" w:tplc="91E45B72">
      <w:start w:val="7"/>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BB13992"/>
    <w:multiLevelType w:val="hybridMultilevel"/>
    <w:tmpl w:val="87601712"/>
    <w:lvl w:ilvl="0" w:tplc="91E45B72">
      <w:start w:val="7"/>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D6476C7"/>
    <w:multiLevelType w:val="hybridMultilevel"/>
    <w:tmpl w:val="26CCB010"/>
    <w:lvl w:ilvl="0" w:tplc="91E45B72">
      <w:start w:val="7"/>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D7F0178"/>
    <w:multiLevelType w:val="hybridMultilevel"/>
    <w:tmpl w:val="1C2C0F1A"/>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36D7AE3"/>
    <w:multiLevelType w:val="hybridMultilevel"/>
    <w:tmpl w:val="0C22B1E0"/>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3F847F5"/>
    <w:multiLevelType w:val="hybridMultilevel"/>
    <w:tmpl w:val="8B7ECC38"/>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61A29F6"/>
    <w:multiLevelType w:val="hybridMultilevel"/>
    <w:tmpl w:val="E1947E2E"/>
    <w:lvl w:ilvl="0" w:tplc="91E45B72">
      <w:start w:val="7"/>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CD25E24"/>
    <w:multiLevelType w:val="hybridMultilevel"/>
    <w:tmpl w:val="9FF28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6676E52"/>
    <w:multiLevelType w:val="hybridMultilevel"/>
    <w:tmpl w:val="183069DC"/>
    <w:lvl w:ilvl="0" w:tplc="91E45B72">
      <w:start w:val="7"/>
      <w:numFmt w:val="bullet"/>
      <w:lvlText w:val="•"/>
      <w:lvlJc w:val="left"/>
      <w:pPr>
        <w:ind w:left="1080" w:hanging="72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8601624"/>
    <w:multiLevelType w:val="hybridMultilevel"/>
    <w:tmpl w:val="2BA6FD86"/>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ABD5F75"/>
    <w:multiLevelType w:val="multilevel"/>
    <w:tmpl w:val="BCB4D2B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nsid w:val="2CBA1708"/>
    <w:multiLevelType w:val="hybridMultilevel"/>
    <w:tmpl w:val="C3D8ABC8"/>
    <w:lvl w:ilvl="0" w:tplc="E31E912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ED718E0"/>
    <w:multiLevelType w:val="hybridMultilevel"/>
    <w:tmpl w:val="E4D8BB42"/>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4C52E1B"/>
    <w:multiLevelType w:val="hybridMultilevel"/>
    <w:tmpl w:val="D7D49D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9F62363"/>
    <w:multiLevelType w:val="hybridMultilevel"/>
    <w:tmpl w:val="AB849088"/>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B217B7C"/>
    <w:multiLevelType w:val="hybridMultilevel"/>
    <w:tmpl w:val="4030F43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D811D30"/>
    <w:multiLevelType w:val="hybridMultilevel"/>
    <w:tmpl w:val="03CE765E"/>
    <w:lvl w:ilvl="0" w:tplc="91E45B72">
      <w:start w:val="7"/>
      <w:numFmt w:val="bullet"/>
      <w:lvlText w:val="•"/>
      <w:lvlJc w:val="left"/>
      <w:pPr>
        <w:ind w:left="1080" w:hanging="72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DB1452C"/>
    <w:multiLevelType w:val="hybridMultilevel"/>
    <w:tmpl w:val="107A7D32"/>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313370A"/>
    <w:multiLevelType w:val="hybridMultilevel"/>
    <w:tmpl w:val="8C541DA2"/>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37B5B13"/>
    <w:multiLevelType w:val="hybridMultilevel"/>
    <w:tmpl w:val="6E16D49C"/>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4DD7A63"/>
    <w:multiLevelType w:val="hybridMultilevel"/>
    <w:tmpl w:val="131A0AE0"/>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6AF2E33"/>
    <w:multiLevelType w:val="hybridMultilevel"/>
    <w:tmpl w:val="18A0FE64"/>
    <w:lvl w:ilvl="0" w:tplc="AFE45F64">
      <w:start w:val="3"/>
      <w:numFmt w:val="bullet"/>
      <w:lvlText w:val="•"/>
      <w:lvlJc w:val="left"/>
      <w:pPr>
        <w:ind w:left="1080" w:hanging="720"/>
      </w:pPr>
      <w:rPr>
        <w:rFonts w:ascii="Calibri" w:eastAsiaTheme="minorHAnsi" w:hAnsi="Calibri" w:cstheme="minorBidi" w:hint="default"/>
      </w:rPr>
    </w:lvl>
    <w:lvl w:ilvl="1" w:tplc="08090003">
      <w:start w:val="1"/>
      <w:numFmt w:val="bullet"/>
      <w:lvlText w:val="o"/>
      <w:lvlJc w:val="left"/>
      <w:pPr>
        <w:ind w:left="1800" w:hanging="72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5C5D2690"/>
    <w:multiLevelType w:val="hybridMultilevel"/>
    <w:tmpl w:val="42B0C288"/>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5CFA34FD"/>
    <w:multiLevelType w:val="hybridMultilevel"/>
    <w:tmpl w:val="35182B66"/>
    <w:lvl w:ilvl="0" w:tplc="3D72AA0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E6B6996"/>
    <w:multiLevelType w:val="hybridMultilevel"/>
    <w:tmpl w:val="D9B0D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E78761F"/>
    <w:multiLevelType w:val="hybridMultilevel"/>
    <w:tmpl w:val="C3ECCC94"/>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5F4F3310"/>
    <w:multiLevelType w:val="hybridMultilevel"/>
    <w:tmpl w:val="3EC45CB2"/>
    <w:lvl w:ilvl="0" w:tplc="91E45B72">
      <w:start w:val="7"/>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60B2460A"/>
    <w:multiLevelType w:val="hybridMultilevel"/>
    <w:tmpl w:val="58C841F8"/>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668E23CC"/>
    <w:multiLevelType w:val="hybridMultilevel"/>
    <w:tmpl w:val="6E0413AA"/>
    <w:lvl w:ilvl="0" w:tplc="AFE45F64">
      <w:start w:val="3"/>
      <w:numFmt w:val="bullet"/>
      <w:lvlText w:val="•"/>
      <w:lvlJc w:val="left"/>
      <w:pPr>
        <w:ind w:left="1080" w:hanging="720"/>
      </w:pPr>
      <w:rPr>
        <w:rFonts w:ascii="Calibri" w:eastAsiaTheme="minorHAnsi" w:hAnsi="Calibri" w:cstheme="minorBidi" w:hint="default"/>
      </w:rPr>
    </w:lvl>
    <w:lvl w:ilvl="1" w:tplc="C7BAAE54">
      <w:start w:val="6"/>
      <w:numFmt w:val="bullet"/>
      <w:lvlText w:val=""/>
      <w:lvlJc w:val="left"/>
      <w:pPr>
        <w:ind w:left="1800" w:hanging="720"/>
      </w:pPr>
      <w:rPr>
        <w:rFonts w:ascii="Symbol" w:eastAsiaTheme="minorHAnsi" w:hAnsi="Symbol"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68537EDC"/>
    <w:multiLevelType w:val="hybridMultilevel"/>
    <w:tmpl w:val="13B801A0"/>
    <w:lvl w:ilvl="0" w:tplc="91E45B72">
      <w:start w:val="7"/>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69925944"/>
    <w:multiLevelType w:val="hybridMultilevel"/>
    <w:tmpl w:val="87D43A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6B5B62B0"/>
    <w:multiLevelType w:val="hybridMultilevel"/>
    <w:tmpl w:val="7072463C"/>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6D297FB1"/>
    <w:multiLevelType w:val="hybridMultilevel"/>
    <w:tmpl w:val="FD4876A6"/>
    <w:lvl w:ilvl="0" w:tplc="91E45B72">
      <w:start w:val="7"/>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6F45044A"/>
    <w:multiLevelType w:val="hybridMultilevel"/>
    <w:tmpl w:val="B6241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6FFC58DB"/>
    <w:multiLevelType w:val="hybridMultilevel"/>
    <w:tmpl w:val="786A1DB0"/>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70E37B28"/>
    <w:multiLevelType w:val="hybridMultilevel"/>
    <w:tmpl w:val="0F6E2B12"/>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711922E7"/>
    <w:multiLevelType w:val="hybridMultilevel"/>
    <w:tmpl w:val="756E5B6E"/>
    <w:lvl w:ilvl="0" w:tplc="3D72AA0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73431778"/>
    <w:multiLevelType w:val="hybridMultilevel"/>
    <w:tmpl w:val="FE908AF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77AB1FEB"/>
    <w:multiLevelType w:val="hybridMultilevel"/>
    <w:tmpl w:val="48069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7"/>
  </w:num>
  <w:num w:numId="2">
    <w:abstractNumId w:val="40"/>
  </w:num>
  <w:num w:numId="3">
    <w:abstractNumId w:val="4"/>
  </w:num>
  <w:num w:numId="4">
    <w:abstractNumId w:val="20"/>
  </w:num>
  <w:num w:numId="5">
    <w:abstractNumId w:val="10"/>
  </w:num>
  <w:num w:numId="6">
    <w:abstractNumId w:val="6"/>
  </w:num>
  <w:num w:numId="7">
    <w:abstractNumId w:val="30"/>
  </w:num>
  <w:num w:numId="8">
    <w:abstractNumId w:val="12"/>
  </w:num>
  <w:num w:numId="9">
    <w:abstractNumId w:val="2"/>
  </w:num>
  <w:num w:numId="10">
    <w:abstractNumId w:val="33"/>
  </w:num>
  <w:num w:numId="11">
    <w:abstractNumId w:val="5"/>
  </w:num>
  <w:num w:numId="12">
    <w:abstractNumId w:val="36"/>
  </w:num>
  <w:num w:numId="13">
    <w:abstractNumId w:val="37"/>
  </w:num>
  <w:num w:numId="14">
    <w:abstractNumId w:val="11"/>
  </w:num>
  <w:num w:numId="15">
    <w:abstractNumId w:val="34"/>
  </w:num>
  <w:num w:numId="16">
    <w:abstractNumId w:val="15"/>
  </w:num>
  <w:num w:numId="17">
    <w:abstractNumId w:val="42"/>
  </w:num>
  <w:num w:numId="18">
    <w:abstractNumId w:val="8"/>
  </w:num>
  <w:num w:numId="19">
    <w:abstractNumId w:val="28"/>
  </w:num>
  <w:num w:numId="20">
    <w:abstractNumId w:val="19"/>
  </w:num>
  <w:num w:numId="21">
    <w:abstractNumId w:val="39"/>
  </w:num>
  <w:num w:numId="22">
    <w:abstractNumId w:val="23"/>
  </w:num>
  <w:num w:numId="23">
    <w:abstractNumId w:val="24"/>
  </w:num>
  <w:num w:numId="24">
    <w:abstractNumId w:val="7"/>
  </w:num>
  <w:num w:numId="25">
    <w:abstractNumId w:val="14"/>
  </w:num>
  <w:num w:numId="26">
    <w:abstractNumId w:val="29"/>
  </w:num>
  <w:num w:numId="27">
    <w:abstractNumId w:val="38"/>
  </w:num>
  <w:num w:numId="28">
    <w:abstractNumId w:val="16"/>
  </w:num>
  <w:num w:numId="29">
    <w:abstractNumId w:val="18"/>
  </w:num>
  <w:num w:numId="30">
    <w:abstractNumId w:val="35"/>
  </w:num>
  <w:num w:numId="31">
    <w:abstractNumId w:val="9"/>
  </w:num>
  <w:num w:numId="32">
    <w:abstractNumId w:val="21"/>
  </w:num>
  <w:num w:numId="33">
    <w:abstractNumId w:val="0"/>
  </w:num>
  <w:num w:numId="34">
    <w:abstractNumId w:val="17"/>
  </w:num>
  <w:num w:numId="35">
    <w:abstractNumId w:val="1"/>
  </w:num>
  <w:num w:numId="36">
    <w:abstractNumId w:val="31"/>
  </w:num>
  <w:num w:numId="37">
    <w:abstractNumId w:val="32"/>
  </w:num>
  <w:num w:numId="38">
    <w:abstractNumId w:val="13"/>
  </w:num>
  <w:num w:numId="39">
    <w:abstractNumId w:val="26"/>
  </w:num>
  <w:num w:numId="40">
    <w:abstractNumId w:val="25"/>
  </w:num>
  <w:num w:numId="41">
    <w:abstractNumId w:val="3"/>
  </w:num>
  <w:num w:numId="42">
    <w:abstractNumId w:val="41"/>
  </w:num>
  <w:num w:numId="43">
    <w:abstractNumId w:val="2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196"/>
    <w:rsid w:val="000378AA"/>
    <w:rsid w:val="000500F3"/>
    <w:rsid w:val="000773D9"/>
    <w:rsid w:val="000903EF"/>
    <w:rsid w:val="000D2788"/>
    <w:rsid w:val="00185E00"/>
    <w:rsid w:val="002162C9"/>
    <w:rsid w:val="002D372F"/>
    <w:rsid w:val="00315709"/>
    <w:rsid w:val="00345227"/>
    <w:rsid w:val="003B432F"/>
    <w:rsid w:val="00401E87"/>
    <w:rsid w:val="00421AFB"/>
    <w:rsid w:val="00453DD3"/>
    <w:rsid w:val="004575C0"/>
    <w:rsid w:val="00464A72"/>
    <w:rsid w:val="0048539A"/>
    <w:rsid w:val="004A24E0"/>
    <w:rsid w:val="004B6C62"/>
    <w:rsid w:val="004C1F03"/>
    <w:rsid w:val="005044D9"/>
    <w:rsid w:val="00544C16"/>
    <w:rsid w:val="005536D7"/>
    <w:rsid w:val="0056019F"/>
    <w:rsid w:val="005729EB"/>
    <w:rsid w:val="005B7499"/>
    <w:rsid w:val="006209E4"/>
    <w:rsid w:val="00635741"/>
    <w:rsid w:val="00652D2C"/>
    <w:rsid w:val="00705A5B"/>
    <w:rsid w:val="007128C2"/>
    <w:rsid w:val="00723E12"/>
    <w:rsid w:val="00796759"/>
    <w:rsid w:val="007C4253"/>
    <w:rsid w:val="007D6196"/>
    <w:rsid w:val="007E1922"/>
    <w:rsid w:val="008453FE"/>
    <w:rsid w:val="008B63AE"/>
    <w:rsid w:val="008C06EC"/>
    <w:rsid w:val="008F4DDC"/>
    <w:rsid w:val="00995845"/>
    <w:rsid w:val="009F5F76"/>
    <w:rsid w:val="00A11B0E"/>
    <w:rsid w:val="00A205BC"/>
    <w:rsid w:val="00A41134"/>
    <w:rsid w:val="00A75C1E"/>
    <w:rsid w:val="00AE6F99"/>
    <w:rsid w:val="00B3348C"/>
    <w:rsid w:val="00BA18EB"/>
    <w:rsid w:val="00BA2D33"/>
    <w:rsid w:val="00C34ECF"/>
    <w:rsid w:val="00C378CB"/>
    <w:rsid w:val="00CB7217"/>
    <w:rsid w:val="00D3435B"/>
    <w:rsid w:val="00D5115E"/>
    <w:rsid w:val="00D7544E"/>
    <w:rsid w:val="00E36D21"/>
    <w:rsid w:val="00E8363D"/>
    <w:rsid w:val="00E85B8A"/>
    <w:rsid w:val="00E86A53"/>
    <w:rsid w:val="00EB4FB9"/>
    <w:rsid w:val="00EF32DB"/>
    <w:rsid w:val="00EF5AA8"/>
    <w:rsid w:val="00F314FA"/>
    <w:rsid w:val="00FC6F1E"/>
    <w:rsid w:val="00FF13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6AB936-C857-4206-9F01-8C7014988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D619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7544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23E1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8F4DDC"/>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D619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6196"/>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7D6196"/>
    <w:pPr>
      <w:ind w:left="720"/>
      <w:contextualSpacing/>
    </w:pPr>
  </w:style>
  <w:style w:type="character" w:customStyle="1" w:styleId="Heading1Char">
    <w:name w:val="Heading 1 Char"/>
    <w:basedOn w:val="DefaultParagraphFont"/>
    <w:link w:val="Heading1"/>
    <w:uiPriority w:val="9"/>
    <w:rsid w:val="007D6196"/>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3157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5709"/>
  </w:style>
  <w:style w:type="paragraph" w:styleId="Footer">
    <w:name w:val="footer"/>
    <w:basedOn w:val="Normal"/>
    <w:link w:val="FooterChar"/>
    <w:uiPriority w:val="99"/>
    <w:unhideWhenUsed/>
    <w:rsid w:val="003157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5709"/>
  </w:style>
  <w:style w:type="character" w:customStyle="1" w:styleId="Heading2Char">
    <w:name w:val="Heading 2 Char"/>
    <w:basedOn w:val="DefaultParagraphFont"/>
    <w:link w:val="Heading2"/>
    <w:uiPriority w:val="9"/>
    <w:rsid w:val="00D7544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723E12"/>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6209E4"/>
    <w:rPr>
      <w:color w:val="0563C1" w:themeColor="hyperlink"/>
      <w:u w:val="single"/>
    </w:rPr>
  </w:style>
  <w:style w:type="character" w:customStyle="1" w:styleId="Heading4Char">
    <w:name w:val="Heading 4 Char"/>
    <w:basedOn w:val="DefaultParagraphFont"/>
    <w:link w:val="Heading4"/>
    <w:uiPriority w:val="9"/>
    <w:rsid w:val="008F4DDC"/>
    <w:rPr>
      <w:rFonts w:asciiTheme="majorHAnsi" w:eastAsiaTheme="majorEastAsia" w:hAnsiTheme="majorHAnsi" w:cstheme="majorBidi"/>
      <w:i/>
      <w:iCs/>
      <w:color w:val="2E74B5" w:themeColor="accent1" w:themeShade="BF"/>
    </w:rPr>
  </w:style>
  <w:style w:type="character" w:styleId="Strong">
    <w:name w:val="Strong"/>
    <w:basedOn w:val="DefaultParagraphFont"/>
    <w:uiPriority w:val="22"/>
    <w:qFormat/>
    <w:rsid w:val="000903EF"/>
    <w:rPr>
      <w:rFonts w:cs="Times New Roman"/>
      <w:b/>
      <w:bCs/>
    </w:rPr>
  </w:style>
  <w:style w:type="table" w:styleId="TableGrid">
    <w:name w:val="Table Grid"/>
    <w:basedOn w:val="TableNormal"/>
    <w:uiPriority w:val="39"/>
    <w:rsid w:val="007E19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2">
    <w:name w:val="Grid Table 4 Accent 2"/>
    <w:basedOn w:val="TableNormal"/>
    <w:uiPriority w:val="49"/>
    <w:rsid w:val="007E1922"/>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2129033">
      <w:bodyDiv w:val="1"/>
      <w:marLeft w:val="0"/>
      <w:marRight w:val="0"/>
      <w:marTop w:val="0"/>
      <w:marBottom w:val="0"/>
      <w:divBdr>
        <w:top w:val="none" w:sz="0" w:space="0" w:color="auto"/>
        <w:left w:val="none" w:sz="0" w:space="0" w:color="auto"/>
        <w:bottom w:val="none" w:sz="0" w:space="0" w:color="auto"/>
        <w:right w:val="none" w:sz="0" w:space="0" w:color="auto"/>
      </w:divBdr>
    </w:div>
    <w:div w:id="1255480370">
      <w:bodyDiv w:val="1"/>
      <w:marLeft w:val="0"/>
      <w:marRight w:val="0"/>
      <w:marTop w:val="0"/>
      <w:marBottom w:val="0"/>
      <w:divBdr>
        <w:top w:val="none" w:sz="0" w:space="0" w:color="auto"/>
        <w:left w:val="none" w:sz="0" w:space="0" w:color="auto"/>
        <w:bottom w:val="none" w:sz="0" w:space="0" w:color="auto"/>
        <w:right w:val="none" w:sz="0" w:space="0" w:color="auto"/>
      </w:divBdr>
    </w:div>
    <w:div w:id="1758941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3.png@01D03718.5FA201E0" TargetMode="External"/><Relationship Id="rId13" Type="http://schemas.openxmlformats.org/officeDocument/2006/relationships/image" Target="media/image4.jpe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cid:image005.png@01D03718.5FA201E0"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cid:image007.png@01D03718.5FA201E0"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6</Pages>
  <Words>2114</Words>
  <Characters>12050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3</cp:revision>
  <dcterms:created xsi:type="dcterms:W3CDTF">2015-01-31T07:25:00Z</dcterms:created>
  <dcterms:modified xsi:type="dcterms:W3CDTF">2015-01-31T08:04:00Z</dcterms:modified>
</cp:coreProperties>
</file>