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F1E" w:rsidRPr="00995845" w:rsidRDefault="00FC6F1E" w:rsidP="00E85B8A">
      <w:pPr>
        <w:pStyle w:val="Title"/>
        <w:jc w:val="both"/>
        <w:rPr>
          <w:color w:val="0070C0"/>
        </w:rPr>
      </w:pPr>
      <w:r w:rsidRPr="00FC6F1E">
        <w:rPr>
          <w:color w:val="0070C0"/>
        </w:rPr>
        <w:t>PMR</w:t>
      </w:r>
    </w:p>
    <w:p w:rsidR="00FC6F1E" w:rsidRPr="00796759" w:rsidRDefault="00FC6F1E" w:rsidP="00E85B8A">
      <w:pPr>
        <w:pStyle w:val="Heading2"/>
        <w:jc w:val="both"/>
      </w:pPr>
      <w:r w:rsidRPr="00796759">
        <w:t>Core Diagnostic criteria (essential):</w:t>
      </w:r>
    </w:p>
    <w:p w:rsidR="00FC6F1E" w:rsidRPr="00796759" w:rsidRDefault="00FC6F1E" w:rsidP="00E85B8A">
      <w:pPr>
        <w:pStyle w:val="ListParagraph"/>
        <w:numPr>
          <w:ilvl w:val="0"/>
          <w:numId w:val="30"/>
        </w:numPr>
        <w:jc w:val="both"/>
      </w:pPr>
      <w:r w:rsidRPr="00796759">
        <w:t xml:space="preserve">Age &gt;50 years, duration &gt;2 weeks </w:t>
      </w:r>
    </w:p>
    <w:p w:rsidR="00FC6F1E" w:rsidRPr="00796759" w:rsidRDefault="00FC6F1E" w:rsidP="00E85B8A">
      <w:pPr>
        <w:pStyle w:val="ListParagraph"/>
        <w:numPr>
          <w:ilvl w:val="0"/>
          <w:numId w:val="30"/>
        </w:numPr>
        <w:jc w:val="both"/>
      </w:pPr>
      <w:r w:rsidRPr="00796759">
        <w:t xml:space="preserve">Bilateral shoulder or pelvic girdle aching, or both </w:t>
      </w:r>
    </w:p>
    <w:p w:rsidR="00FC6F1E" w:rsidRPr="00796759" w:rsidRDefault="00FC6F1E" w:rsidP="00E85B8A">
      <w:pPr>
        <w:pStyle w:val="ListParagraph"/>
        <w:numPr>
          <w:ilvl w:val="0"/>
          <w:numId w:val="30"/>
        </w:numPr>
        <w:jc w:val="both"/>
      </w:pPr>
      <w:r w:rsidRPr="00796759">
        <w:t xml:space="preserve">Morning stiffness for &gt;45 minutes </w:t>
      </w:r>
    </w:p>
    <w:p w:rsidR="00FC6F1E" w:rsidRPr="00796759" w:rsidRDefault="00FC6F1E" w:rsidP="00E85B8A">
      <w:pPr>
        <w:pStyle w:val="ListParagraph"/>
        <w:numPr>
          <w:ilvl w:val="0"/>
          <w:numId w:val="30"/>
        </w:numPr>
        <w:jc w:val="both"/>
      </w:pPr>
      <w:r w:rsidRPr="00796759">
        <w:t>Evidence of an acute-phase response (e.g. Raised ESR/CRP)</w:t>
      </w:r>
    </w:p>
    <w:p w:rsidR="00995845" w:rsidRPr="00995845" w:rsidRDefault="00FC6F1E" w:rsidP="00E85B8A">
      <w:pPr>
        <w:jc w:val="both"/>
        <w:rPr>
          <w:i/>
        </w:rPr>
      </w:pPr>
      <w:r w:rsidRPr="00995845">
        <w:rPr>
          <w:i/>
        </w:rPr>
        <w:t xml:space="preserve">Patient often feels ill.  </w:t>
      </w:r>
    </w:p>
    <w:p w:rsidR="00FC6F1E" w:rsidRPr="00995845" w:rsidRDefault="00FC6F1E" w:rsidP="00E85B8A">
      <w:pPr>
        <w:jc w:val="both"/>
        <w:rPr>
          <w:i/>
        </w:rPr>
      </w:pPr>
      <w:r w:rsidRPr="00995845">
        <w:rPr>
          <w:i/>
        </w:rPr>
        <w:t>Examination – range of movement is good.</w:t>
      </w:r>
    </w:p>
    <w:p w:rsidR="00995845" w:rsidRDefault="00995845" w:rsidP="00E85B8A">
      <w:pPr>
        <w:pStyle w:val="Heading2"/>
        <w:jc w:val="both"/>
      </w:pPr>
      <w:r>
        <w:t xml:space="preserve">Differentials </w:t>
      </w:r>
    </w:p>
    <w:p w:rsidR="00FC6F1E" w:rsidRPr="00796759" w:rsidRDefault="00995845" w:rsidP="00E85B8A">
      <w:pPr>
        <w:pStyle w:val="ListParagraph"/>
        <w:numPr>
          <w:ilvl w:val="0"/>
          <w:numId w:val="31"/>
        </w:numPr>
        <w:jc w:val="both"/>
      </w:pPr>
      <w:r>
        <w:t>V</w:t>
      </w:r>
      <w:r w:rsidR="00FC6F1E" w:rsidRPr="00796759">
        <w:t xml:space="preserve">iral illness, </w:t>
      </w:r>
      <w:proofErr w:type="spellStart"/>
      <w:r w:rsidR="00FC6F1E" w:rsidRPr="00796759">
        <w:t>polymyositis</w:t>
      </w:r>
      <w:proofErr w:type="spellEnd"/>
      <w:r w:rsidR="00FC6F1E" w:rsidRPr="00796759">
        <w:t>, fibromyalgia.</w:t>
      </w:r>
    </w:p>
    <w:p w:rsidR="00FC6F1E" w:rsidRPr="00995845" w:rsidRDefault="00995845" w:rsidP="00E85B8A">
      <w:pPr>
        <w:pStyle w:val="ListParagraph"/>
        <w:numPr>
          <w:ilvl w:val="0"/>
          <w:numId w:val="31"/>
        </w:numPr>
        <w:jc w:val="both"/>
        <w:rPr>
          <w:b/>
        </w:rPr>
      </w:pPr>
      <w:r w:rsidRPr="00995845">
        <w:rPr>
          <w:b/>
        </w:rPr>
        <w:t xml:space="preserve">EXCLUDE GCA </w:t>
      </w:r>
      <w:r w:rsidRPr="00995845">
        <w:sym w:font="Wingdings" w:char="F0E0"/>
      </w:r>
      <w:r w:rsidRPr="00995845">
        <w:rPr>
          <w:b/>
        </w:rPr>
        <w:t xml:space="preserve"> </w:t>
      </w:r>
      <w:r w:rsidR="00FC6F1E" w:rsidRPr="00995845">
        <w:rPr>
          <w:b/>
        </w:rPr>
        <w:t xml:space="preserve">headaches and jaw claudication.  </w:t>
      </w:r>
    </w:p>
    <w:p w:rsidR="00FC6F1E" w:rsidRPr="00796759" w:rsidRDefault="00FC6F1E" w:rsidP="00E85B8A">
      <w:pPr>
        <w:pStyle w:val="Heading2"/>
        <w:jc w:val="both"/>
      </w:pPr>
      <w:r w:rsidRPr="00796759">
        <w:t>Investigations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FBC, ESR, CRP, U&amp;Es, LFTs, TFTs, 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proofErr w:type="gramStart"/>
      <w:r w:rsidRPr="00796759">
        <w:t>bone</w:t>
      </w:r>
      <w:proofErr w:type="gramEnd"/>
      <w:r w:rsidRPr="00796759">
        <w:t xml:space="preserve"> profile, protein electrophoresis</w:t>
      </w:r>
      <w:r w:rsidR="008B63AE">
        <w:t xml:space="preserve"> / urinary </w:t>
      </w:r>
      <w:proofErr w:type="spellStart"/>
      <w:r w:rsidR="008B63AE">
        <w:t>Bence</w:t>
      </w:r>
      <w:proofErr w:type="spellEnd"/>
      <w:r w:rsidR="008B63AE">
        <w:t xml:space="preserve"> Jones protein.  </w:t>
      </w:r>
      <w:r w:rsidRPr="00796759">
        <w:t>A urine dipstick should also be checked for blood and protein.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>CK (</w:t>
      </w:r>
      <w:proofErr w:type="spellStart"/>
      <w:r w:rsidRPr="00796759">
        <w:t>polymyositis</w:t>
      </w:r>
      <w:proofErr w:type="spellEnd"/>
      <w:r w:rsidRPr="00796759">
        <w:t xml:space="preserve"> – although rare)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ANA, </w:t>
      </w:r>
      <w:proofErr w:type="spellStart"/>
      <w:r w:rsidRPr="00796759">
        <w:t>RhF</w:t>
      </w:r>
      <w:proofErr w:type="spellEnd"/>
      <w:r w:rsidRPr="00796759">
        <w:t xml:space="preserve"> and </w:t>
      </w:r>
      <w:proofErr w:type="spellStart"/>
      <w:r w:rsidRPr="00796759">
        <w:t>antiCCP</w:t>
      </w:r>
      <w:proofErr w:type="spellEnd"/>
      <w:r w:rsidRPr="00796759">
        <w:t xml:space="preserve"> (Rheumatoid arthritis can sometimes present in a similar manner to PMR)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A CXR should be considered to exclude malignancy.  </w:t>
      </w:r>
    </w:p>
    <w:p w:rsidR="00FC6F1E" w:rsidRPr="00796759" w:rsidRDefault="008B63AE" w:rsidP="00E85B8A">
      <w:pPr>
        <w:pStyle w:val="Heading2"/>
        <w:jc w:val="both"/>
      </w:pPr>
      <w:r>
        <w:t>Treatment - steroids</w:t>
      </w:r>
    </w:p>
    <w:p w:rsidR="008B63AE" w:rsidRPr="00796759" w:rsidRDefault="008B63AE" w:rsidP="00E85B8A">
      <w:pPr>
        <w:jc w:val="both"/>
      </w:pPr>
      <w:r w:rsidRPr="00796759">
        <w:t xml:space="preserve">Prescribe daily prednisolone 15 mg for three weeks, then: </w:t>
      </w:r>
    </w:p>
    <w:p w:rsidR="008B63AE" w:rsidRPr="00796759" w:rsidRDefault="008B63A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12.5 mg for three weeks </w:t>
      </w:r>
    </w:p>
    <w:p w:rsidR="008B63AE" w:rsidRPr="00796759" w:rsidRDefault="008B63A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10 mg for 4-6 weeks </w:t>
      </w:r>
    </w:p>
    <w:p w:rsidR="008B63AE" w:rsidRDefault="008B63AE" w:rsidP="00E85B8A">
      <w:pPr>
        <w:pStyle w:val="ListParagraph"/>
        <w:numPr>
          <w:ilvl w:val="0"/>
          <w:numId w:val="32"/>
        </w:numPr>
        <w:jc w:val="both"/>
      </w:pPr>
      <w:r>
        <w:t>Then</w:t>
      </w:r>
      <w:r w:rsidRPr="00796759">
        <w:t xml:space="preserve"> reduction of 1 mg every 4-8 weeks or alternate day reductions (e.g. 10/7.5 mg on alternate days </w:t>
      </w:r>
      <w:proofErr w:type="spellStart"/>
      <w:r w:rsidRPr="00796759">
        <w:t>etc</w:t>
      </w:r>
      <w:proofErr w:type="spellEnd"/>
      <w:r w:rsidRPr="00796759">
        <w:t xml:space="preserve">). Patients often find it hard to reduce the dose of prednisolone below 7.5 mg per day. </w:t>
      </w:r>
    </w:p>
    <w:p w:rsidR="008B63AE" w:rsidRDefault="008B63A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If over age 65 – bisphosphonate + </w:t>
      </w:r>
      <w:proofErr w:type="spellStart"/>
      <w:r w:rsidRPr="00796759">
        <w:t>calcichew</w:t>
      </w:r>
      <w:proofErr w:type="spellEnd"/>
      <w:r w:rsidRPr="00796759">
        <w:t xml:space="preserve"> D3 type thing for bone protection.</w:t>
      </w:r>
    </w:p>
    <w:p w:rsidR="008B63AE" w:rsidRPr="00796759" w:rsidRDefault="008B63A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Patients will be on steroids for months.  So watch for weight gain, diabetes, osteoporosis, upper GO pain, </w:t>
      </w:r>
      <w:proofErr w:type="gramStart"/>
      <w:r w:rsidRPr="00796759">
        <w:t>HTN ,</w:t>
      </w:r>
      <w:proofErr w:type="gramEnd"/>
      <w:r w:rsidRPr="00796759">
        <w:t xml:space="preserve"> lipid dysfunction.</w:t>
      </w:r>
    </w:p>
    <w:p w:rsidR="00FC6F1E" w:rsidRPr="00796759" w:rsidRDefault="00FC6F1E" w:rsidP="00E85B8A">
      <w:pPr>
        <w:jc w:val="both"/>
      </w:pPr>
      <w:r w:rsidRPr="00796759">
        <w:t xml:space="preserve">Often immediate improvement with steroids (dramatic, compared to OA and </w:t>
      </w:r>
      <w:proofErr w:type="spellStart"/>
      <w:r w:rsidRPr="00796759">
        <w:t>RhA</w:t>
      </w:r>
      <w:proofErr w:type="spellEnd"/>
      <w:r w:rsidRPr="00796759">
        <w:t xml:space="preserve">).   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If </w:t>
      </w:r>
      <w:r w:rsidR="008B63AE">
        <w:t>&gt;</w:t>
      </w:r>
      <w:r w:rsidRPr="00796759">
        <w:t xml:space="preserve"> 70% global response in </w:t>
      </w:r>
      <w:r w:rsidR="008B63AE">
        <w:t xml:space="preserve">1 week </w:t>
      </w:r>
      <w:r w:rsidR="008B63AE">
        <w:sym w:font="Wingdings" w:char="F0E0"/>
      </w:r>
      <w:r w:rsidR="008B63AE">
        <w:t xml:space="preserve"> </w:t>
      </w:r>
      <w:r w:rsidRPr="00796759">
        <w:t xml:space="preserve">diagnosis is likely to be PMR 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If </w:t>
      </w:r>
      <w:r w:rsidR="008B63AE">
        <w:t xml:space="preserve">&lt;70% response </w:t>
      </w:r>
      <w:r w:rsidR="008B63AE">
        <w:sym w:font="Wingdings" w:char="F0E0"/>
      </w:r>
      <w:r w:rsidR="008B63AE">
        <w:t xml:space="preserve"> </w:t>
      </w:r>
      <w:r w:rsidRPr="00796759">
        <w:t xml:space="preserve">increasing dose of steroid up to 20 mg prednisolone </w:t>
      </w:r>
    </w:p>
    <w:p w:rsidR="00FC6F1E" w:rsidRPr="00796759" w:rsidRDefault="00FC6F1E" w:rsidP="00E85B8A">
      <w:pPr>
        <w:pStyle w:val="ListParagraph"/>
        <w:numPr>
          <w:ilvl w:val="0"/>
          <w:numId w:val="32"/>
        </w:numPr>
        <w:jc w:val="both"/>
      </w:pPr>
      <w:r w:rsidRPr="00796759">
        <w:t xml:space="preserve">If </w:t>
      </w:r>
      <w:r w:rsidR="008B63AE">
        <w:t>still</w:t>
      </w:r>
      <w:r w:rsidRPr="00796759">
        <w:t xml:space="preserve"> &lt;70% res</w:t>
      </w:r>
      <w:r w:rsidR="008B63AE">
        <w:t>ponse, reconsider the diagnosis or refer.</w:t>
      </w:r>
    </w:p>
    <w:p w:rsidR="00FC6F1E" w:rsidRPr="00796759" w:rsidRDefault="00FC6F1E" w:rsidP="00E85B8A">
      <w:pPr>
        <w:jc w:val="both"/>
      </w:pPr>
    </w:p>
    <w:p w:rsidR="00FC6F1E" w:rsidRPr="00796759" w:rsidRDefault="00FC6F1E" w:rsidP="00E85B8A">
      <w:pPr>
        <w:jc w:val="both"/>
      </w:pPr>
    </w:p>
    <w:p w:rsidR="00FC6F1E" w:rsidRPr="00796759" w:rsidRDefault="00FC6F1E" w:rsidP="00E85B8A">
      <w:pPr>
        <w:jc w:val="both"/>
      </w:pPr>
    </w:p>
    <w:p w:rsidR="008B63AE" w:rsidRDefault="008B63AE" w:rsidP="00E85B8A">
      <w:pPr>
        <w:jc w:val="both"/>
      </w:pPr>
    </w:p>
    <w:p w:rsidR="00FC6F1E" w:rsidRPr="008B63AE" w:rsidRDefault="008B63AE" w:rsidP="00E85B8A">
      <w:pPr>
        <w:pStyle w:val="Title"/>
        <w:jc w:val="both"/>
        <w:rPr>
          <w:color w:val="0070C0"/>
        </w:rPr>
      </w:pPr>
      <w:r w:rsidRPr="008B63AE">
        <w:rPr>
          <w:color w:val="0070C0"/>
        </w:rPr>
        <w:lastRenderedPageBreak/>
        <w:t>Giant Cell Arteritis</w:t>
      </w:r>
    </w:p>
    <w:p w:rsidR="008B63AE" w:rsidRDefault="008B63AE" w:rsidP="00E85B8A">
      <w:pPr>
        <w:jc w:val="both"/>
      </w:pPr>
    </w:p>
    <w:p w:rsidR="008B63AE" w:rsidRDefault="008B63AE" w:rsidP="00E85B8A">
      <w:pPr>
        <w:pStyle w:val="Heading2"/>
        <w:jc w:val="both"/>
      </w:pPr>
      <w:r>
        <w:t>Diagnosis</w:t>
      </w:r>
    </w:p>
    <w:p w:rsidR="00FC6F1E" w:rsidRPr="00796759" w:rsidRDefault="00FC6F1E" w:rsidP="00E85B8A">
      <w:pPr>
        <w:pStyle w:val="ListParagraph"/>
        <w:numPr>
          <w:ilvl w:val="0"/>
          <w:numId w:val="35"/>
        </w:numPr>
        <w:jc w:val="both"/>
      </w:pPr>
      <w:r w:rsidRPr="00796759">
        <w:t>Tender swollen temporal arteries (eventually become thickened and pulseless), jaw claudication, headaches</w:t>
      </w:r>
    </w:p>
    <w:p w:rsidR="00E85B8A" w:rsidRDefault="00E85B8A" w:rsidP="00E85B8A">
      <w:pPr>
        <w:pStyle w:val="Heading2"/>
        <w:jc w:val="both"/>
      </w:pPr>
    </w:p>
    <w:p w:rsidR="008B63AE" w:rsidRDefault="008B63AE" w:rsidP="00E85B8A">
      <w:pPr>
        <w:pStyle w:val="Heading2"/>
        <w:jc w:val="both"/>
      </w:pPr>
      <w:r>
        <w:t>Treatment</w:t>
      </w:r>
    </w:p>
    <w:p w:rsidR="00E85B8A" w:rsidRDefault="00E85B8A" w:rsidP="00E85B8A">
      <w:pPr>
        <w:pStyle w:val="ListParagraph"/>
        <w:numPr>
          <w:ilvl w:val="0"/>
          <w:numId w:val="35"/>
        </w:numPr>
        <w:jc w:val="both"/>
      </w:pPr>
      <w:r>
        <w:t>Low dose aspirin (75mg od) to stop stroke AND</w:t>
      </w:r>
    </w:p>
    <w:p w:rsidR="00E85B8A" w:rsidRDefault="00E85B8A" w:rsidP="00E85B8A">
      <w:pPr>
        <w:pStyle w:val="ListParagraph"/>
        <w:numPr>
          <w:ilvl w:val="0"/>
          <w:numId w:val="35"/>
        </w:numPr>
        <w:jc w:val="both"/>
      </w:pPr>
      <w:r>
        <w:t>Add steroid – prednisolone 60mg od  AND</w:t>
      </w:r>
    </w:p>
    <w:p w:rsidR="00FC6F1E" w:rsidRPr="00796759" w:rsidRDefault="00E85B8A" w:rsidP="00E85B8A">
      <w:pPr>
        <w:pStyle w:val="ListParagraph"/>
        <w:numPr>
          <w:ilvl w:val="0"/>
          <w:numId w:val="35"/>
        </w:numPr>
        <w:jc w:val="both"/>
      </w:pPr>
      <w:r>
        <w:rPr>
          <w:b/>
        </w:rPr>
        <w:t>Urgent admission</w:t>
      </w:r>
      <w:r w:rsidR="00FC6F1E" w:rsidRPr="00796759">
        <w:t xml:space="preserve"> (same day) to </w:t>
      </w:r>
      <w:proofErr w:type="spellStart"/>
      <w:r w:rsidR="00FC6F1E" w:rsidRPr="00796759">
        <w:t>opth</w:t>
      </w:r>
      <w:proofErr w:type="spellEnd"/>
      <w:r w:rsidR="008B63AE">
        <w:t xml:space="preserve"> or rheum.</w:t>
      </w:r>
    </w:p>
    <w:p w:rsidR="00E85B8A" w:rsidRDefault="00E85B8A" w:rsidP="00E85B8A">
      <w:pPr>
        <w:pStyle w:val="Heading2"/>
        <w:jc w:val="both"/>
      </w:pPr>
    </w:p>
    <w:p w:rsidR="00E85B8A" w:rsidRDefault="00E85B8A" w:rsidP="00E85B8A">
      <w:pPr>
        <w:pStyle w:val="Heading2"/>
        <w:jc w:val="both"/>
      </w:pPr>
      <w:r>
        <w:t>After hospital discharge</w:t>
      </w:r>
    </w:p>
    <w:p w:rsidR="00E85B8A" w:rsidRDefault="00E85B8A" w:rsidP="00E85B8A">
      <w:pPr>
        <w:jc w:val="both"/>
      </w:pPr>
      <w:r>
        <w:t xml:space="preserve">Hospital may start </w:t>
      </w:r>
      <w:proofErr w:type="gramStart"/>
      <w:r>
        <w:t>iv</w:t>
      </w:r>
      <w:proofErr w:type="gramEnd"/>
      <w:r>
        <w:t xml:space="preserve"> </w:t>
      </w:r>
      <w:proofErr w:type="spellStart"/>
      <w:r>
        <w:t>methylpred</w:t>
      </w:r>
      <w:proofErr w:type="spellEnd"/>
      <w:r>
        <w:t xml:space="preserve"> (if it is complicated) or continue high dose oral steroids (if it is not complicated).   </w:t>
      </w:r>
      <w:r w:rsidRPr="00796759">
        <w:t>Complicated = jaw or tongue claudication, visual symp</w:t>
      </w:r>
      <w:r>
        <w:t xml:space="preserve">toms, including </w:t>
      </w:r>
      <w:proofErr w:type="spellStart"/>
      <w:r>
        <w:t>amaurosis</w:t>
      </w:r>
      <w:proofErr w:type="spellEnd"/>
      <w:r>
        <w:t xml:space="preserve"> </w:t>
      </w:r>
      <w:proofErr w:type="spellStart"/>
      <w:r>
        <w:t>fugax.</w:t>
      </w:r>
    </w:p>
    <w:p w:rsidR="00E85B8A" w:rsidRDefault="00E85B8A" w:rsidP="00E85B8A">
      <w:pPr>
        <w:jc w:val="both"/>
      </w:pPr>
      <w:proofErr w:type="spellEnd"/>
      <w:r>
        <w:t xml:space="preserve">On discharge, patient will </w:t>
      </w:r>
      <w:r w:rsidRPr="009F5F76">
        <w:rPr>
          <w:b/>
        </w:rPr>
        <w:t>stay on high dose oral steroid until resolution or normalisation of ESR</w:t>
      </w:r>
      <w:r>
        <w:t xml:space="preserve"> (usually 4+ weeks) </w:t>
      </w:r>
      <w:r w:rsidRPr="009F5F76">
        <w:rPr>
          <w:b/>
        </w:rPr>
        <w:t>after which</w:t>
      </w:r>
      <w:r w:rsidR="009F5F76" w:rsidRPr="009F5F76">
        <w:rPr>
          <w:b/>
        </w:rPr>
        <w:t xml:space="preserve"> reduce the steroids</w:t>
      </w:r>
      <w:r w:rsidR="009F5F76">
        <w:t xml:space="preserve"> as follows</w:t>
      </w:r>
    </w:p>
    <w:p w:rsidR="00E85B8A" w:rsidRDefault="00FC6F1E" w:rsidP="00E85B8A">
      <w:pPr>
        <w:pStyle w:val="ListParagraph"/>
        <w:numPr>
          <w:ilvl w:val="0"/>
          <w:numId w:val="36"/>
        </w:numPr>
        <w:jc w:val="both"/>
      </w:pPr>
      <w:r w:rsidRPr="00796759">
        <w:t xml:space="preserve">reduce 10mg every 2w until patient on 20mg od, </w:t>
      </w:r>
    </w:p>
    <w:p w:rsidR="00E85B8A" w:rsidRDefault="00FC6F1E" w:rsidP="00E85B8A">
      <w:pPr>
        <w:pStyle w:val="ListParagraph"/>
        <w:numPr>
          <w:ilvl w:val="0"/>
          <w:numId w:val="36"/>
        </w:numPr>
        <w:jc w:val="both"/>
      </w:pPr>
      <w:r w:rsidRPr="00796759">
        <w:t xml:space="preserve">then reduce 2.5mg every 2-4w to 10mg, </w:t>
      </w:r>
    </w:p>
    <w:p w:rsidR="00E85B8A" w:rsidRDefault="00FC6F1E" w:rsidP="00E85B8A">
      <w:pPr>
        <w:pStyle w:val="ListParagraph"/>
        <w:numPr>
          <w:ilvl w:val="0"/>
          <w:numId w:val="36"/>
        </w:numPr>
        <w:jc w:val="both"/>
      </w:pPr>
      <w:proofErr w:type="gramStart"/>
      <w:r w:rsidRPr="00796759">
        <w:t>then</w:t>
      </w:r>
      <w:proofErr w:type="gramEnd"/>
      <w:r w:rsidRPr="00796759">
        <w:t xml:space="preserve"> 1mg reduction every 1-2 months.  </w:t>
      </w:r>
      <w:bookmarkStart w:id="0" w:name="_GoBack"/>
      <w:bookmarkEnd w:id="0"/>
    </w:p>
    <w:p w:rsidR="00FC6F1E" w:rsidRPr="00796759" w:rsidRDefault="00FC6F1E" w:rsidP="00E85B8A">
      <w:pPr>
        <w:pStyle w:val="ListParagraph"/>
        <w:numPr>
          <w:ilvl w:val="0"/>
          <w:numId w:val="36"/>
        </w:numPr>
        <w:jc w:val="both"/>
      </w:pPr>
      <w:r w:rsidRPr="00796759">
        <w:t>If relapse at any time, push back up the dose.</w:t>
      </w:r>
    </w:p>
    <w:p w:rsidR="00FC6F1E" w:rsidRPr="00796759" w:rsidRDefault="00FC6F1E" w:rsidP="00E85B8A">
      <w:pPr>
        <w:jc w:val="both"/>
      </w:pPr>
      <w:r w:rsidRPr="00E85B8A">
        <w:rPr>
          <w:b/>
        </w:rPr>
        <w:t>Start bone protection-</w:t>
      </w:r>
      <w:r w:rsidRPr="00796759">
        <w:t xml:space="preserve"> bisphosphonate + </w:t>
      </w:r>
      <w:proofErr w:type="spellStart"/>
      <w:r w:rsidRPr="00796759">
        <w:t>calcichew</w:t>
      </w:r>
      <w:proofErr w:type="spellEnd"/>
      <w:r w:rsidRPr="00796759">
        <w:t xml:space="preserve"> D3 at same time as steroid</w:t>
      </w:r>
    </w:p>
    <w:p w:rsidR="00FC6F1E" w:rsidRDefault="00FC6F1E" w:rsidP="00E85B8A">
      <w:pPr>
        <w:jc w:val="both"/>
      </w:pPr>
      <w:r w:rsidRPr="00796759">
        <w:t>It is usual to continue low dose oral steroids for 12-18 months. In some patients it is difficult to stop them after this period. If this is the case, then refer to a specialist so that alternative immuno-suppressants su</w:t>
      </w:r>
      <w:r w:rsidR="009F5F76">
        <w:t>ch as methotrexate can be tried</w:t>
      </w:r>
    </w:p>
    <w:p w:rsidR="009F5F76" w:rsidRPr="00796759" w:rsidRDefault="009F5F76" w:rsidP="00E85B8A">
      <w:pPr>
        <w:jc w:val="both"/>
      </w:pPr>
    </w:p>
    <w:p w:rsidR="00FC6F1E" w:rsidRPr="00796759" w:rsidRDefault="009F5F76" w:rsidP="009F5F76">
      <w:pPr>
        <w:pStyle w:val="Heading2"/>
      </w:pPr>
      <w:r>
        <w:t xml:space="preserve">Additional </w:t>
      </w:r>
      <w:r w:rsidR="00FC6F1E" w:rsidRPr="00796759">
        <w:t>Notes</w:t>
      </w:r>
    </w:p>
    <w:p w:rsidR="00FC6F1E" w:rsidRPr="00796759" w:rsidRDefault="00FC6F1E" w:rsidP="009F5F76">
      <w:pPr>
        <w:pStyle w:val="ListParagraph"/>
        <w:numPr>
          <w:ilvl w:val="0"/>
          <w:numId w:val="37"/>
        </w:numPr>
        <w:jc w:val="both"/>
      </w:pPr>
      <w:r w:rsidRPr="00796759">
        <w:t>If shoulder pain continues, patient may have co-existing sub-acromial bursitis!</w:t>
      </w:r>
    </w:p>
    <w:p w:rsidR="009F5F76" w:rsidRDefault="00FC6F1E" w:rsidP="009F5F76">
      <w:pPr>
        <w:pStyle w:val="ListParagraph"/>
        <w:numPr>
          <w:ilvl w:val="0"/>
          <w:numId w:val="37"/>
        </w:numPr>
        <w:jc w:val="both"/>
      </w:pPr>
      <w:r w:rsidRPr="00796759">
        <w:t xml:space="preserve">Remain vigilant for signs of GCA which occurs in about 5% of patients with PMR. </w:t>
      </w:r>
    </w:p>
    <w:p w:rsidR="00FC6F1E" w:rsidRPr="00796759" w:rsidRDefault="00FC6F1E" w:rsidP="009F5F76">
      <w:pPr>
        <w:pStyle w:val="ListParagraph"/>
        <w:numPr>
          <w:ilvl w:val="0"/>
          <w:numId w:val="37"/>
        </w:numPr>
        <w:jc w:val="both"/>
      </w:pPr>
      <w:r w:rsidRPr="00796759">
        <w:t>Giant cell arteritis requires treatment with much higher doses of prednisolone (e.g. starting with 60 mg) but even the low doses used in PMR may disguise symptoms</w:t>
      </w:r>
    </w:p>
    <w:p w:rsidR="00796759" w:rsidRPr="00796759" w:rsidRDefault="00796759" w:rsidP="00E85B8A">
      <w:pPr>
        <w:jc w:val="both"/>
      </w:pPr>
    </w:p>
    <w:sectPr w:rsidR="00796759" w:rsidRPr="00796759" w:rsidSect="00315709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6BD" w:rsidRDefault="003A36BD" w:rsidP="00315709">
      <w:pPr>
        <w:spacing w:after="0" w:line="240" w:lineRule="auto"/>
      </w:pPr>
      <w:r>
        <w:separator/>
      </w:r>
    </w:p>
  </w:endnote>
  <w:endnote w:type="continuationSeparator" w:id="0">
    <w:p w:rsidR="003A36BD" w:rsidRDefault="003A36BD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6BD" w:rsidRDefault="003A36BD" w:rsidP="00315709">
      <w:pPr>
        <w:spacing w:after="0" w:line="240" w:lineRule="auto"/>
      </w:pPr>
      <w:r>
        <w:separator/>
      </w:r>
    </w:p>
  </w:footnote>
  <w:footnote w:type="continuationSeparator" w:id="0">
    <w:p w:rsidR="003A36BD" w:rsidRDefault="003A36BD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FC6F1E" w:rsidP="00315709">
    <w:pPr>
      <w:pStyle w:val="Title"/>
      <w:jc w:val="center"/>
      <w:rPr>
        <w:color w:val="0070C0"/>
      </w:rPr>
    </w:pPr>
    <w:r>
      <w:rPr>
        <w:color w:val="0070C0"/>
      </w:rPr>
      <w:t>Polymyalgia Rheumatic (PMR) &amp; Giant Cell Arteritis (GCA)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B249B"/>
    <w:multiLevelType w:val="hybridMultilevel"/>
    <w:tmpl w:val="2FF63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426F7"/>
    <w:multiLevelType w:val="hybridMultilevel"/>
    <w:tmpl w:val="043E244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6D556A"/>
    <w:multiLevelType w:val="hybridMultilevel"/>
    <w:tmpl w:val="1DC6A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481C16"/>
    <w:multiLevelType w:val="hybridMultilevel"/>
    <w:tmpl w:val="52D04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FC1CE9"/>
    <w:multiLevelType w:val="hybridMultilevel"/>
    <w:tmpl w:val="7FAED59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9B7295"/>
    <w:multiLevelType w:val="hybridMultilevel"/>
    <w:tmpl w:val="8EA614E8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F56438"/>
    <w:multiLevelType w:val="hybridMultilevel"/>
    <w:tmpl w:val="0C6841A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156077"/>
    <w:multiLevelType w:val="hybridMultilevel"/>
    <w:tmpl w:val="F3163C02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757BC1"/>
    <w:multiLevelType w:val="hybridMultilevel"/>
    <w:tmpl w:val="9B989DF8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E1167C"/>
    <w:multiLevelType w:val="hybridMultilevel"/>
    <w:tmpl w:val="7B68D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5F3C3A"/>
    <w:multiLevelType w:val="hybridMultilevel"/>
    <w:tmpl w:val="7772F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DB15C6"/>
    <w:multiLevelType w:val="hybridMultilevel"/>
    <w:tmpl w:val="0E6A49D4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970D4C"/>
    <w:multiLevelType w:val="hybridMultilevel"/>
    <w:tmpl w:val="90CA1AE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647FD4"/>
    <w:multiLevelType w:val="hybridMultilevel"/>
    <w:tmpl w:val="55BEB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BB05B6"/>
    <w:multiLevelType w:val="hybridMultilevel"/>
    <w:tmpl w:val="8E8E5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AE12F0"/>
    <w:multiLevelType w:val="hybridMultilevel"/>
    <w:tmpl w:val="50565DF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3D72AA0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353D8C"/>
    <w:multiLevelType w:val="hybridMultilevel"/>
    <w:tmpl w:val="C2D87B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D71EBF"/>
    <w:multiLevelType w:val="hybridMultilevel"/>
    <w:tmpl w:val="F7308794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F43411"/>
    <w:multiLevelType w:val="hybridMultilevel"/>
    <w:tmpl w:val="77182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661D67"/>
    <w:multiLevelType w:val="hybridMultilevel"/>
    <w:tmpl w:val="40580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A042FA"/>
    <w:multiLevelType w:val="hybridMultilevel"/>
    <w:tmpl w:val="6C7E7544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0E4436"/>
    <w:multiLevelType w:val="hybridMultilevel"/>
    <w:tmpl w:val="28129D48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A140B2"/>
    <w:multiLevelType w:val="hybridMultilevel"/>
    <w:tmpl w:val="502883D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F47B36"/>
    <w:multiLevelType w:val="hybridMultilevel"/>
    <w:tmpl w:val="2C56267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463060"/>
    <w:multiLevelType w:val="hybridMultilevel"/>
    <w:tmpl w:val="FCF28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551451"/>
    <w:multiLevelType w:val="hybridMultilevel"/>
    <w:tmpl w:val="0DD4D92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510F33"/>
    <w:multiLevelType w:val="hybridMultilevel"/>
    <w:tmpl w:val="74DEE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CA3ED4"/>
    <w:multiLevelType w:val="hybridMultilevel"/>
    <w:tmpl w:val="2AA8F5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E77A1B"/>
    <w:multiLevelType w:val="hybridMultilevel"/>
    <w:tmpl w:val="91E8D3F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E637A6"/>
    <w:multiLevelType w:val="hybridMultilevel"/>
    <w:tmpl w:val="55A0593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0E0C6E"/>
    <w:multiLevelType w:val="hybridMultilevel"/>
    <w:tmpl w:val="BC20BE3A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356013"/>
    <w:multiLevelType w:val="hybridMultilevel"/>
    <w:tmpl w:val="FE800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F643D2"/>
    <w:multiLevelType w:val="hybridMultilevel"/>
    <w:tmpl w:val="65FE38BA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D06EAF"/>
    <w:multiLevelType w:val="hybridMultilevel"/>
    <w:tmpl w:val="E90AA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BB7976"/>
    <w:multiLevelType w:val="hybridMultilevel"/>
    <w:tmpl w:val="E0DE1F5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E109FD"/>
    <w:multiLevelType w:val="hybridMultilevel"/>
    <w:tmpl w:val="93BC20B4"/>
    <w:lvl w:ilvl="0" w:tplc="91E45B72">
      <w:start w:val="6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5D7349"/>
    <w:multiLevelType w:val="hybridMultilevel"/>
    <w:tmpl w:val="853CD978"/>
    <w:lvl w:ilvl="0" w:tplc="91E45B72">
      <w:start w:val="5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32"/>
  </w:num>
  <w:num w:numId="4">
    <w:abstractNumId w:val="11"/>
  </w:num>
  <w:num w:numId="5">
    <w:abstractNumId w:val="34"/>
  </w:num>
  <w:num w:numId="6">
    <w:abstractNumId w:val="19"/>
  </w:num>
  <w:num w:numId="7">
    <w:abstractNumId w:val="18"/>
  </w:num>
  <w:num w:numId="8">
    <w:abstractNumId w:val="26"/>
  </w:num>
  <w:num w:numId="9">
    <w:abstractNumId w:val="31"/>
  </w:num>
  <w:num w:numId="10">
    <w:abstractNumId w:val="10"/>
  </w:num>
  <w:num w:numId="11">
    <w:abstractNumId w:val="14"/>
  </w:num>
  <w:num w:numId="12">
    <w:abstractNumId w:val="24"/>
  </w:num>
  <w:num w:numId="13">
    <w:abstractNumId w:val="30"/>
  </w:num>
  <w:num w:numId="14">
    <w:abstractNumId w:val="21"/>
  </w:num>
  <w:num w:numId="15">
    <w:abstractNumId w:val="29"/>
  </w:num>
  <w:num w:numId="16">
    <w:abstractNumId w:val="22"/>
  </w:num>
  <w:num w:numId="17">
    <w:abstractNumId w:val="8"/>
  </w:num>
  <w:num w:numId="18">
    <w:abstractNumId w:val="17"/>
  </w:num>
  <w:num w:numId="19">
    <w:abstractNumId w:val="15"/>
  </w:num>
  <w:num w:numId="20">
    <w:abstractNumId w:val="12"/>
  </w:num>
  <w:num w:numId="21">
    <w:abstractNumId w:val="3"/>
  </w:num>
  <w:num w:numId="22">
    <w:abstractNumId w:val="13"/>
  </w:num>
  <w:num w:numId="23">
    <w:abstractNumId w:val="33"/>
  </w:num>
  <w:num w:numId="24">
    <w:abstractNumId w:val="2"/>
  </w:num>
  <w:num w:numId="25">
    <w:abstractNumId w:val="36"/>
  </w:num>
  <w:num w:numId="26">
    <w:abstractNumId w:val="27"/>
  </w:num>
  <w:num w:numId="27">
    <w:abstractNumId w:val="4"/>
  </w:num>
  <w:num w:numId="28">
    <w:abstractNumId w:val="28"/>
  </w:num>
  <w:num w:numId="29">
    <w:abstractNumId w:val="0"/>
  </w:num>
  <w:num w:numId="30">
    <w:abstractNumId w:val="35"/>
  </w:num>
  <w:num w:numId="31">
    <w:abstractNumId w:val="7"/>
  </w:num>
  <w:num w:numId="32">
    <w:abstractNumId w:val="5"/>
  </w:num>
  <w:num w:numId="33">
    <w:abstractNumId w:val="20"/>
  </w:num>
  <w:num w:numId="34">
    <w:abstractNumId w:val="23"/>
  </w:num>
  <w:num w:numId="35">
    <w:abstractNumId w:val="25"/>
  </w:num>
  <w:num w:numId="36">
    <w:abstractNumId w:val="6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2D372F"/>
    <w:rsid w:val="00315709"/>
    <w:rsid w:val="003A36BD"/>
    <w:rsid w:val="00421AFB"/>
    <w:rsid w:val="00453DD3"/>
    <w:rsid w:val="00464A72"/>
    <w:rsid w:val="00544C16"/>
    <w:rsid w:val="00652D2C"/>
    <w:rsid w:val="00723E12"/>
    <w:rsid w:val="00796759"/>
    <w:rsid w:val="007C4253"/>
    <w:rsid w:val="007D6196"/>
    <w:rsid w:val="008B63AE"/>
    <w:rsid w:val="00995845"/>
    <w:rsid w:val="009F5F76"/>
    <w:rsid w:val="00A11B0E"/>
    <w:rsid w:val="00A75C1E"/>
    <w:rsid w:val="00B3348C"/>
    <w:rsid w:val="00BA18EB"/>
    <w:rsid w:val="00C378CB"/>
    <w:rsid w:val="00D7544E"/>
    <w:rsid w:val="00E36D21"/>
    <w:rsid w:val="00E85B8A"/>
    <w:rsid w:val="00FC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2015-01-31T02:39:00Z</dcterms:created>
  <dcterms:modified xsi:type="dcterms:W3CDTF">2015-01-31T02:39:00Z</dcterms:modified>
</cp:coreProperties>
</file>