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6FE07841" w14:textId="77777777">
        <w:tc>
          <w:tcPr>
            <w:tcW w:w="9406" w:type="dxa"/>
            <w:shd w:val="clear" w:color="auto" w:fill="E0651F"/>
          </w:tcPr>
          <w:p w14:paraId="53644ED4" w14:textId="77777777" w:rsidR="001B7D47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</w:rPr>
              <w:t>BRADFORD VTS TEACHING AIDS</w:t>
            </w:r>
          </w:p>
          <w:p w14:paraId="4A310BDB" w14:textId="77777777" w:rsidR="001B7D47" w:rsidRDefault="00000000">
            <w:pPr>
              <w:jc w:val="center"/>
            </w:pPr>
            <w:r>
              <w:rPr>
                <w:rFonts w:ascii="Calibri" w:hAnsi="Calibri"/>
                <w:b/>
                <w:color w:val="FFFFFF"/>
                <w:sz w:val="56"/>
              </w:rPr>
              <w:t>Epilepsy — A Primary Care Tutorial</w:t>
            </w:r>
          </w:p>
          <w:p w14:paraId="56A0BF87" w14:textId="77777777" w:rsidR="001B7D47" w:rsidRDefault="00000000">
            <w:pPr>
              <w:jc w:val="center"/>
            </w:pPr>
            <w:r>
              <w:rPr>
                <w:rFonts w:ascii="Calibri" w:hAnsi="Calibri"/>
                <w:i/>
                <w:color w:val="FFFFFF"/>
              </w:rPr>
              <w:t>Clinical Tutorial · Bradford VTS · May 2026</w:t>
            </w:r>
          </w:p>
        </w:tc>
      </w:tr>
    </w:tbl>
    <w:p w14:paraId="11724A21" w14:textId="77777777" w:rsidR="001B7D47" w:rsidRDefault="001B7D47"/>
    <w:p w14:paraId="689298D8" w14:textId="77777777" w:rsidR="001B7D47" w:rsidRDefault="00000000">
      <w:pPr>
        <w:spacing w:before="40" w:after="40"/>
      </w:pPr>
      <w:r>
        <w:rPr>
          <w:rFonts w:ascii="Calibri" w:hAnsi="Calibri"/>
        </w:rPr>
        <w:t>Updated to NICE NG217 (January 2025 update), NICE CKS Epilepsy (April 2025), MHRA safety guidance 2024-2025, and DVLA November 2025 regulations.</w:t>
      </w:r>
    </w:p>
    <w:p w14:paraId="5AFE93E6" w14:textId="77777777" w:rsidR="001B7D47" w:rsidRDefault="001B7D47"/>
    <w:p w14:paraId="737CBAF0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1. Epidemiology</w:t>
      </w:r>
    </w:p>
    <w:p w14:paraId="131C87F8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Incidence: ~50 per 100,000 per year</w:t>
      </w:r>
    </w:p>
    <w:p w14:paraId="4898F575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Prevalence: 4–7 per 1,000 (active = seizure or treatment in past 5 years)</w:t>
      </w:r>
    </w:p>
    <w:p w14:paraId="2F0D6478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Average GP list: ~10 patients with active epilepsy; 2–3 with continuing seizures</w:t>
      </w:r>
    </w:p>
    <w:p w14:paraId="2FD416B4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SUDEP: 350–400 deaths/year in the UK — risk falls dramatically with seizure control</w:t>
      </w:r>
    </w:p>
    <w:p w14:paraId="7677B953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⚠ NICE NG217: Discuss SUDEP risk with ALL patients and document this</w:t>
      </w:r>
    </w:p>
    <w:p w14:paraId="6A0D9F5C" w14:textId="77777777" w:rsidR="001B7D47" w:rsidRDefault="001B7D47"/>
    <w:p w14:paraId="27A77027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2. Seizure Classification (ILAE 2017 / NICE NG217)</w:t>
      </w:r>
    </w:p>
    <w:p w14:paraId="5D8658F0" w14:textId="77777777" w:rsidR="001B7D47" w:rsidRDefault="00000000">
      <w:pPr>
        <w:spacing w:before="40" w:after="40"/>
      </w:pPr>
      <w:r>
        <w:rPr>
          <w:rFonts w:ascii="Calibri" w:hAnsi="Calibri"/>
          <w:b/>
        </w:rPr>
        <w:t>FOCAL ONSET (60% of epilepsy):</w:t>
      </w:r>
    </w:p>
    <w:p w14:paraId="060EE80D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Focal aware (previously "simple partial") — consciousness preserved</w:t>
      </w:r>
    </w:p>
    <w:p w14:paraId="04E8EDAE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Focal impaired awareness (previously "complex partial") — impaired consciousness; automatisms in 90%</w:t>
      </w:r>
    </w:p>
    <w:p w14:paraId="76F2CD1A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Focal to bilateral tonic-clonic (previously "secondary generalised")</w:t>
      </w:r>
    </w:p>
    <w:p w14:paraId="5BB354AE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Jacksonian march: focal motor seizure spreading through the motor strip</w:t>
      </w:r>
    </w:p>
    <w:p w14:paraId="09C48955" w14:textId="77777777" w:rsidR="001B7D47" w:rsidRDefault="001B7D47"/>
    <w:p w14:paraId="53D5277E" w14:textId="77777777" w:rsidR="001B7D47" w:rsidRDefault="00000000">
      <w:pPr>
        <w:spacing w:before="40" w:after="40"/>
      </w:pPr>
      <w:r>
        <w:rPr>
          <w:rFonts w:ascii="Calibri" w:hAnsi="Calibri"/>
          <w:b/>
        </w:rPr>
        <w:t>GENERALISED ONSET:</w:t>
      </w:r>
    </w:p>
    <w:p w14:paraId="3358EDA8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Absence (petit mal): brief staring; no convulsion; 3Hz spike-and-wave on EEG</w:t>
      </w:r>
    </w:p>
    <w:p w14:paraId="75A21A8C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Myoclonic: sudden brief jerks, usually morning; consciousness preserved</w:t>
      </w:r>
    </w:p>
    <w:p w14:paraId="66E168DD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Tonic-clonic (grand mal): LOC → tonic stiffening → clonic jerking → post-ictal</w:t>
      </w:r>
    </w:p>
    <w:p w14:paraId="7080D7CD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Atonic (drop attacks): sudden muscle tone loss → falls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4F8DBB99" w14:textId="77777777">
        <w:tc>
          <w:tcPr>
            <w:tcW w:w="9406" w:type="dxa"/>
            <w:shd w:val="clear" w:color="auto" w:fill="FFF3CD"/>
          </w:tcPr>
          <w:p w14:paraId="19E3B46F" w14:textId="77777777" w:rsidR="001B7D47" w:rsidRDefault="00000000">
            <w:pPr>
              <w:spacing w:before="80" w:after="80"/>
              <w:ind w:left="170"/>
            </w:pPr>
            <w:r>
              <w:rPr>
                <w:b/>
                <w:sz w:val="20"/>
              </w:rPr>
              <w:t xml:space="preserve">⚠ Diagnostic Caution: </w:t>
            </w:r>
            <w:r>
              <w:rPr>
                <w:rFonts w:ascii="Calibri" w:hAnsi="Calibri"/>
                <w:sz w:val="20"/>
              </w:rPr>
              <w:t>NICE NG217: 20% of patients referred to epilepsy clinics do NOT have epilepsy. Always consider: vasovagal syncope, cardiac arrhythmia, NEAD (non-epileptic attack disorder), hypoglycaemia. ECG is essential in every first blackout.</w:t>
            </w:r>
          </w:p>
        </w:tc>
      </w:tr>
    </w:tbl>
    <w:p w14:paraId="0B62BC0B" w14:textId="77777777" w:rsidR="001B7D47" w:rsidRDefault="001B7D47"/>
    <w:p w14:paraId="65D4B534" w14:textId="77777777" w:rsidR="001B7D47" w:rsidRDefault="001B7D47"/>
    <w:p w14:paraId="1B960141" w14:textId="77777777" w:rsidR="008C1E4C" w:rsidRDefault="008C1E4C">
      <w:pPr>
        <w:rPr>
          <w:rFonts w:ascii="Calibri" w:hAnsi="Calibri"/>
          <w:b/>
          <w:color w:val="1A3A5C"/>
          <w:sz w:val="28"/>
        </w:rPr>
      </w:pPr>
      <w:r>
        <w:rPr>
          <w:rFonts w:ascii="Calibri" w:hAnsi="Calibri"/>
          <w:b/>
          <w:color w:val="1A3A5C"/>
          <w:sz w:val="28"/>
        </w:rPr>
        <w:br w:type="page"/>
      </w:r>
    </w:p>
    <w:p w14:paraId="2C388979" w14:textId="267CC4C8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lastRenderedPageBreak/>
        <w:t>3. First Seizure — Primary Care Management</w:t>
      </w:r>
    </w:p>
    <w:p w14:paraId="0FFEAAEC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Take detailed history from patient AND witness — essential for diagnosis</w:t>
      </w:r>
    </w:p>
    <w:p w14:paraId="37EFC98C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Identify provoked causes: alcohol, drug withdrawal, hypoglycaemia, electrolyte disturbance, fever</w:t>
      </w:r>
    </w:p>
    <w:p w14:paraId="0513C0FA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Bloods: glucose, FBC, U&amp;E, LFT, calcium, magnesium</w:t>
      </w:r>
    </w:p>
    <w:p w14:paraId="61DEE460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ECG — always — exclude cardiac arrhythmia</w:t>
      </w:r>
    </w:p>
    <w:p w14:paraId="3EEC2180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Refer urgently to neurology (NICE NG217) — do NOT start ASMs before specialist assessment</w:t>
      </w:r>
    </w:p>
    <w:p w14:paraId="03CDF130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DVLA: advise patient to stop driving and notify DVLA immediately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3B73B498" w14:textId="77777777">
        <w:tc>
          <w:tcPr>
            <w:tcW w:w="9406" w:type="dxa"/>
            <w:shd w:val="clear" w:color="auto" w:fill="FFD7D7"/>
          </w:tcPr>
          <w:p w14:paraId="0EAA6F12" w14:textId="77777777" w:rsidR="001B7D47" w:rsidRDefault="00000000">
            <w:pPr>
              <w:spacing w:before="80" w:after="80"/>
              <w:ind w:left="170"/>
            </w:pPr>
            <w:r>
              <w:rPr>
                <w:b/>
                <w:color w:val="C00000"/>
                <w:sz w:val="20"/>
              </w:rPr>
              <w:t xml:space="preserve">🚨 STATUS EPILEPTICUS: </w:t>
            </w:r>
            <w:r>
              <w:rPr>
                <w:rFonts w:ascii="Calibri" w:hAnsi="Calibri"/>
                <w:color w:val="C00000"/>
                <w:sz w:val="20"/>
              </w:rPr>
              <w:t>STATUS EPILEPTICUS (seizure &gt;5 minutes):</w:t>
            </w:r>
            <w:r>
              <w:rPr>
                <w:rFonts w:ascii="Calibri" w:hAnsi="Calibri"/>
                <w:color w:val="C00000"/>
                <w:sz w:val="20"/>
              </w:rPr>
              <w:br/>
              <w:t>Community first-line: BUCCAL MIDAZOLAM 10mg (Epistatus/Buccolam). Alternative: rectal diazepam 10mg. Call 999.</w:t>
            </w:r>
            <w:r>
              <w:rPr>
                <w:rFonts w:ascii="Calibri" w:hAnsi="Calibri"/>
                <w:color w:val="C00000"/>
                <w:sz w:val="20"/>
              </w:rPr>
              <w:br/>
              <w:t>Hospital: IV lorazepam → IV levetiracetam or phenytoin → anaesthesia.</w:t>
            </w:r>
          </w:p>
        </w:tc>
      </w:tr>
    </w:tbl>
    <w:p w14:paraId="60E407C1" w14:textId="77777777" w:rsidR="001B7D47" w:rsidRDefault="001B7D47"/>
    <w:p w14:paraId="270A5D78" w14:textId="77777777" w:rsidR="001B7D47" w:rsidRDefault="001B7D47"/>
    <w:p w14:paraId="53B07CB7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4. Anti-Seizure Medications (ASMs) — BNF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7883C23A" w14:textId="77777777">
        <w:tc>
          <w:tcPr>
            <w:tcW w:w="9406" w:type="dxa"/>
            <w:shd w:val="clear" w:color="auto" w:fill="E8F0FF"/>
          </w:tcPr>
          <w:p w14:paraId="34AD5432" w14:textId="77777777" w:rsidR="001B7D47" w:rsidRDefault="00000000">
            <w:pPr>
              <w:spacing w:before="80" w:after="80"/>
              <w:ind w:left="170"/>
            </w:pPr>
            <w:r>
              <w:rPr>
                <w:b/>
                <w:sz w:val="20"/>
              </w:rPr>
              <w:t xml:space="preserve">ℹ Note: </w:t>
            </w:r>
            <w:r>
              <w:rPr>
                <w:rFonts w:ascii="Calibri" w:hAnsi="Calibri"/>
                <w:sz w:val="20"/>
              </w:rPr>
              <w:t>GP role: continuation prescribing only. Do NOT initiate ASMs before specialist diagnosis. NEVER switch brands of phenytoin, carbamazepine, phenobarbital (bioavailability varies — seizure risk).</w:t>
            </w:r>
          </w:p>
        </w:tc>
      </w:tr>
    </w:tbl>
    <w:p w14:paraId="71BF1085" w14:textId="77777777" w:rsidR="001B7D47" w:rsidRDefault="001B7D47"/>
    <w:p w14:paraId="49E9BC6C" w14:textId="77777777" w:rsidR="001B7D47" w:rsidRDefault="001B7D47">
      <w:pPr>
        <w:spacing w:before="40" w:after="4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51"/>
        <w:gridCol w:w="2351"/>
        <w:gridCol w:w="2351"/>
        <w:gridCol w:w="2351"/>
      </w:tblGrid>
      <w:tr w:rsidR="001B7D47" w14:paraId="5182881F" w14:textId="77777777">
        <w:tc>
          <w:tcPr>
            <w:tcW w:w="2351" w:type="dxa"/>
            <w:shd w:val="clear" w:color="auto" w:fill="1A3A5C"/>
          </w:tcPr>
          <w:p w14:paraId="26EE49B0" w14:textId="77777777" w:rsidR="001B7D47" w:rsidRDefault="00000000">
            <w:r>
              <w:rPr>
                <w:b/>
                <w:color w:val="FFFFFF"/>
                <w:sz w:val="18"/>
              </w:rPr>
              <w:t>Seizure Type</w:t>
            </w:r>
          </w:p>
        </w:tc>
        <w:tc>
          <w:tcPr>
            <w:tcW w:w="2351" w:type="dxa"/>
            <w:shd w:val="clear" w:color="auto" w:fill="1A3A5C"/>
          </w:tcPr>
          <w:p w14:paraId="1E8D9F3C" w14:textId="77777777" w:rsidR="001B7D47" w:rsidRDefault="00000000">
            <w:r>
              <w:rPr>
                <w:b/>
                <w:color w:val="FFFFFF"/>
                <w:sz w:val="18"/>
              </w:rPr>
              <w:t>First-Line ASM</w:t>
            </w:r>
          </w:p>
        </w:tc>
        <w:tc>
          <w:tcPr>
            <w:tcW w:w="2351" w:type="dxa"/>
            <w:shd w:val="clear" w:color="auto" w:fill="1A3A5C"/>
          </w:tcPr>
          <w:p w14:paraId="3A228069" w14:textId="77777777" w:rsidR="001B7D47" w:rsidRDefault="00000000">
            <w:r>
              <w:rPr>
                <w:b/>
                <w:color w:val="FFFFFF"/>
                <w:sz w:val="18"/>
              </w:rPr>
              <w:t>Starting Dose</w:t>
            </w:r>
          </w:p>
        </w:tc>
        <w:tc>
          <w:tcPr>
            <w:tcW w:w="2351" w:type="dxa"/>
            <w:shd w:val="clear" w:color="auto" w:fill="1A3A5C"/>
          </w:tcPr>
          <w:p w14:paraId="58A51E26" w14:textId="77777777" w:rsidR="001B7D47" w:rsidRDefault="00000000">
            <w:r>
              <w:rPr>
                <w:b/>
                <w:color w:val="FFFFFF"/>
                <w:sz w:val="18"/>
              </w:rPr>
              <w:t>Maintenance Dose</w:t>
            </w:r>
          </w:p>
        </w:tc>
      </w:tr>
      <w:tr w:rsidR="001B7D47" w14:paraId="1990BEB2" w14:textId="77777777">
        <w:tc>
          <w:tcPr>
            <w:tcW w:w="2351" w:type="dxa"/>
            <w:shd w:val="clear" w:color="auto" w:fill="F0F4F8"/>
          </w:tcPr>
          <w:p w14:paraId="17ACF1D1" w14:textId="77777777" w:rsidR="001B7D47" w:rsidRDefault="00000000">
            <w:r>
              <w:rPr>
                <w:rFonts w:ascii="Calibri" w:hAnsi="Calibri"/>
                <w:sz w:val="18"/>
              </w:rPr>
              <w:t>Focal onset</w:t>
            </w:r>
          </w:p>
        </w:tc>
        <w:tc>
          <w:tcPr>
            <w:tcW w:w="2351" w:type="dxa"/>
            <w:shd w:val="clear" w:color="auto" w:fill="F0F4F8"/>
          </w:tcPr>
          <w:p w14:paraId="60C5AF9F" w14:textId="77777777" w:rsidR="001B7D47" w:rsidRDefault="00000000">
            <w:r>
              <w:rPr>
                <w:rFonts w:ascii="Calibri" w:hAnsi="Calibri"/>
                <w:sz w:val="18"/>
              </w:rPr>
              <w:t>Carbamazepine</w:t>
            </w:r>
          </w:p>
        </w:tc>
        <w:tc>
          <w:tcPr>
            <w:tcW w:w="2351" w:type="dxa"/>
            <w:shd w:val="clear" w:color="auto" w:fill="F0F4F8"/>
          </w:tcPr>
          <w:p w14:paraId="1AEF58A8" w14:textId="77777777" w:rsidR="001B7D47" w:rsidRDefault="00000000">
            <w:r>
              <w:rPr>
                <w:rFonts w:ascii="Calibri" w:hAnsi="Calibri"/>
                <w:sz w:val="18"/>
              </w:rPr>
              <w:t>100–200mg 1–2×/day</w:t>
            </w:r>
          </w:p>
        </w:tc>
        <w:tc>
          <w:tcPr>
            <w:tcW w:w="2351" w:type="dxa"/>
            <w:shd w:val="clear" w:color="auto" w:fill="F0F4F8"/>
          </w:tcPr>
          <w:p w14:paraId="6B28DC1A" w14:textId="77777777" w:rsidR="001B7D47" w:rsidRDefault="00000000">
            <w:r>
              <w:rPr>
                <w:rFonts w:ascii="Calibri" w:hAnsi="Calibri"/>
                <w:sz w:val="18"/>
              </w:rPr>
              <w:t>Maintenance 800–1200mg/day</w:t>
            </w:r>
          </w:p>
        </w:tc>
      </w:tr>
      <w:tr w:rsidR="001B7D47" w14:paraId="07698E99" w14:textId="77777777">
        <w:tc>
          <w:tcPr>
            <w:tcW w:w="2351" w:type="dxa"/>
            <w:shd w:val="clear" w:color="auto" w:fill="FFFFFF"/>
          </w:tcPr>
          <w:p w14:paraId="60F05FD8" w14:textId="77777777" w:rsidR="001B7D47" w:rsidRDefault="00000000">
            <w:r>
              <w:rPr>
                <w:rFonts w:ascii="Calibri" w:hAnsi="Calibri"/>
                <w:sz w:val="18"/>
              </w:rPr>
              <w:t>Focal onset</w:t>
            </w:r>
          </w:p>
        </w:tc>
        <w:tc>
          <w:tcPr>
            <w:tcW w:w="2351" w:type="dxa"/>
            <w:shd w:val="clear" w:color="auto" w:fill="FFFFFF"/>
          </w:tcPr>
          <w:p w14:paraId="0099CF9E" w14:textId="77777777" w:rsidR="001B7D47" w:rsidRDefault="00000000">
            <w:r>
              <w:rPr>
                <w:rFonts w:ascii="Calibri" w:hAnsi="Calibri"/>
                <w:sz w:val="18"/>
              </w:rPr>
              <w:t>Lamotrigine</w:t>
            </w:r>
          </w:p>
        </w:tc>
        <w:tc>
          <w:tcPr>
            <w:tcW w:w="2351" w:type="dxa"/>
            <w:shd w:val="clear" w:color="auto" w:fill="FFFFFF"/>
          </w:tcPr>
          <w:p w14:paraId="27BE9453" w14:textId="77777777" w:rsidR="001B7D47" w:rsidRDefault="00000000">
            <w:r>
              <w:rPr>
                <w:rFonts w:ascii="Calibri" w:hAnsi="Calibri"/>
                <w:sz w:val="18"/>
              </w:rPr>
              <w:t>25mg OD → 50mg OD (titrate over 4 weeks)</w:t>
            </w:r>
          </w:p>
        </w:tc>
        <w:tc>
          <w:tcPr>
            <w:tcW w:w="2351" w:type="dxa"/>
            <w:shd w:val="clear" w:color="auto" w:fill="FFFFFF"/>
          </w:tcPr>
          <w:p w14:paraId="554D0945" w14:textId="77777777" w:rsidR="001B7D47" w:rsidRDefault="00000000">
            <w:r>
              <w:rPr>
                <w:rFonts w:ascii="Calibri" w:hAnsi="Calibri"/>
                <w:sz w:val="18"/>
              </w:rPr>
              <w:t>Maintenance 100–200mg/day</w:t>
            </w:r>
          </w:p>
        </w:tc>
      </w:tr>
      <w:tr w:rsidR="001B7D47" w14:paraId="597D4FE7" w14:textId="77777777">
        <w:tc>
          <w:tcPr>
            <w:tcW w:w="2351" w:type="dxa"/>
            <w:shd w:val="clear" w:color="auto" w:fill="F0F4F8"/>
          </w:tcPr>
          <w:p w14:paraId="77903C60" w14:textId="77777777" w:rsidR="001B7D47" w:rsidRDefault="00000000">
            <w:r>
              <w:rPr>
                <w:rFonts w:ascii="Calibri" w:hAnsi="Calibri"/>
                <w:sz w:val="18"/>
              </w:rPr>
              <w:t>Focal onset</w:t>
            </w:r>
          </w:p>
        </w:tc>
        <w:tc>
          <w:tcPr>
            <w:tcW w:w="2351" w:type="dxa"/>
            <w:shd w:val="clear" w:color="auto" w:fill="F0F4F8"/>
          </w:tcPr>
          <w:p w14:paraId="736922F0" w14:textId="77777777" w:rsidR="001B7D47" w:rsidRDefault="00000000">
            <w:r>
              <w:rPr>
                <w:rFonts w:ascii="Calibri" w:hAnsi="Calibri"/>
                <w:sz w:val="18"/>
              </w:rPr>
              <w:t>Levetiracetam</w:t>
            </w:r>
          </w:p>
        </w:tc>
        <w:tc>
          <w:tcPr>
            <w:tcW w:w="2351" w:type="dxa"/>
            <w:shd w:val="clear" w:color="auto" w:fill="F0F4F8"/>
          </w:tcPr>
          <w:p w14:paraId="236E38F7" w14:textId="77777777" w:rsidR="001B7D47" w:rsidRDefault="00000000">
            <w:r>
              <w:rPr>
                <w:rFonts w:ascii="Calibri" w:hAnsi="Calibri"/>
                <w:sz w:val="18"/>
              </w:rPr>
              <w:t>250–500mg BD</w:t>
            </w:r>
          </w:p>
        </w:tc>
        <w:tc>
          <w:tcPr>
            <w:tcW w:w="2351" w:type="dxa"/>
            <w:shd w:val="clear" w:color="auto" w:fill="F0F4F8"/>
          </w:tcPr>
          <w:p w14:paraId="568C253C" w14:textId="77777777" w:rsidR="001B7D47" w:rsidRDefault="00000000">
            <w:r>
              <w:rPr>
                <w:rFonts w:ascii="Calibri" w:hAnsi="Calibri"/>
                <w:sz w:val="18"/>
              </w:rPr>
              <w:t>Max 3000mg/day</w:t>
            </w:r>
          </w:p>
        </w:tc>
      </w:tr>
      <w:tr w:rsidR="001B7D47" w14:paraId="683941D4" w14:textId="77777777">
        <w:tc>
          <w:tcPr>
            <w:tcW w:w="2351" w:type="dxa"/>
            <w:shd w:val="clear" w:color="auto" w:fill="FFFFFF"/>
          </w:tcPr>
          <w:p w14:paraId="376F3A58" w14:textId="77777777" w:rsidR="001B7D47" w:rsidRDefault="00000000">
            <w:r>
              <w:rPr>
                <w:rFonts w:ascii="Calibri" w:hAnsi="Calibri"/>
                <w:sz w:val="18"/>
              </w:rPr>
              <w:t>Generalised TC (♂/post-menop ♀)</w:t>
            </w:r>
          </w:p>
        </w:tc>
        <w:tc>
          <w:tcPr>
            <w:tcW w:w="2351" w:type="dxa"/>
            <w:shd w:val="clear" w:color="auto" w:fill="FFFFFF"/>
          </w:tcPr>
          <w:p w14:paraId="411E0B40" w14:textId="77777777" w:rsidR="001B7D47" w:rsidRDefault="00000000">
            <w:r>
              <w:rPr>
                <w:rFonts w:ascii="Calibri" w:hAnsi="Calibri"/>
                <w:sz w:val="18"/>
              </w:rPr>
              <w:t>Sodium valproate</w:t>
            </w:r>
          </w:p>
        </w:tc>
        <w:tc>
          <w:tcPr>
            <w:tcW w:w="2351" w:type="dxa"/>
            <w:shd w:val="clear" w:color="auto" w:fill="FFFFFF"/>
          </w:tcPr>
          <w:p w14:paraId="38A26274" w14:textId="77777777" w:rsidR="001B7D47" w:rsidRDefault="00000000">
            <w:r>
              <w:rPr>
                <w:rFonts w:ascii="Calibri" w:hAnsi="Calibri"/>
                <w:sz w:val="18"/>
              </w:rPr>
              <w:t>600mg/day divided</w:t>
            </w:r>
          </w:p>
        </w:tc>
        <w:tc>
          <w:tcPr>
            <w:tcW w:w="2351" w:type="dxa"/>
            <w:shd w:val="clear" w:color="auto" w:fill="FFFFFF"/>
          </w:tcPr>
          <w:p w14:paraId="48A7CB90" w14:textId="77777777" w:rsidR="001B7D47" w:rsidRDefault="00000000">
            <w:r>
              <w:rPr>
                <w:rFonts w:ascii="Calibri" w:hAnsi="Calibri"/>
                <w:sz w:val="18"/>
              </w:rPr>
              <w:t>Maintenance 1–2g/day</w:t>
            </w:r>
          </w:p>
        </w:tc>
      </w:tr>
      <w:tr w:rsidR="001B7D47" w14:paraId="6B7BF22D" w14:textId="77777777">
        <w:tc>
          <w:tcPr>
            <w:tcW w:w="2351" w:type="dxa"/>
            <w:shd w:val="clear" w:color="auto" w:fill="F0F4F8"/>
          </w:tcPr>
          <w:p w14:paraId="779F5F25" w14:textId="77777777" w:rsidR="001B7D47" w:rsidRDefault="00000000">
            <w:r>
              <w:rPr>
                <w:rFonts w:ascii="Calibri" w:hAnsi="Calibri"/>
                <w:sz w:val="18"/>
              </w:rPr>
              <w:t>Absence</w:t>
            </w:r>
          </w:p>
        </w:tc>
        <w:tc>
          <w:tcPr>
            <w:tcW w:w="2351" w:type="dxa"/>
            <w:shd w:val="clear" w:color="auto" w:fill="F0F4F8"/>
          </w:tcPr>
          <w:p w14:paraId="3811F552" w14:textId="77777777" w:rsidR="001B7D47" w:rsidRDefault="00000000">
            <w:r>
              <w:rPr>
                <w:rFonts w:ascii="Calibri" w:hAnsi="Calibri"/>
                <w:sz w:val="18"/>
              </w:rPr>
              <w:t>Ethosuximide</w:t>
            </w:r>
          </w:p>
        </w:tc>
        <w:tc>
          <w:tcPr>
            <w:tcW w:w="2351" w:type="dxa"/>
            <w:shd w:val="clear" w:color="auto" w:fill="F0F4F8"/>
          </w:tcPr>
          <w:p w14:paraId="23FD0D67" w14:textId="77777777" w:rsidR="001B7D47" w:rsidRDefault="00000000">
            <w:r>
              <w:rPr>
                <w:rFonts w:ascii="Calibri" w:hAnsi="Calibri"/>
                <w:sz w:val="18"/>
              </w:rPr>
              <w:t>500mg/day</w:t>
            </w:r>
          </w:p>
        </w:tc>
        <w:tc>
          <w:tcPr>
            <w:tcW w:w="2351" w:type="dxa"/>
            <w:shd w:val="clear" w:color="auto" w:fill="F0F4F8"/>
          </w:tcPr>
          <w:p w14:paraId="3DF7EE40" w14:textId="77777777" w:rsidR="001B7D47" w:rsidRDefault="00000000">
            <w:r>
              <w:rPr>
                <w:rFonts w:ascii="Calibri" w:hAnsi="Calibri"/>
                <w:sz w:val="18"/>
              </w:rPr>
              <w:t>Maintenance 1000–1500mg/day</w:t>
            </w:r>
          </w:p>
        </w:tc>
      </w:tr>
      <w:tr w:rsidR="001B7D47" w14:paraId="271F17DC" w14:textId="77777777">
        <w:tc>
          <w:tcPr>
            <w:tcW w:w="2351" w:type="dxa"/>
            <w:shd w:val="clear" w:color="auto" w:fill="FFFFFF"/>
          </w:tcPr>
          <w:p w14:paraId="0D069BE4" w14:textId="77777777" w:rsidR="001B7D47" w:rsidRDefault="00000000">
            <w:r>
              <w:rPr>
                <w:rFonts w:ascii="Calibri" w:hAnsi="Calibri"/>
                <w:sz w:val="18"/>
              </w:rPr>
              <w:t>Adjunctive</w:t>
            </w:r>
          </w:p>
        </w:tc>
        <w:tc>
          <w:tcPr>
            <w:tcW w:w="2351" w:type="dxa"/>
            <w:shd w:val="clear" w:color="auto" w:fill="FFFFFF"/>
          </w:tcPr>
          <w:p w14:paraId="519730E6" w14:textId="77777777" w:rsidR="001B7D47" w:rsidRDefault="00000000">
            <w:r>
              <w:rPr>
                <w:rFonts w:ascii="Calibri" w:hAnsi="Calibri"/>
                <w:sz w:val="18"/>
              </w:rPr>
              <w:t>Clobazam</w:t>
            </w:r>
          </w:p>
        </w:tc>
        <w:tc>
          <w:tcPr>
            <w:tcW w:w="2351" w:type="dxa"/>
            <w:shd w:val="clear" w:color="auto" w:fill="FFFFFF"/>
          </w:tcPr>
          <w:p w14:paraId="303BD4CD" w14:textId="77777777" w:rsidR="001B7D47" w:rsidRDefault="00000000">
            <w:r>
              <w:rPr>
                <w:rFonts w:ascii="Calibri" w:hAnsi="Calibri"/>
                <w:sz w:val="18"/>
              </w:rPr>
              <w:t>5–15mg/day</w:t>
            </w:r>
          </w:p>
        </w:tc>
        <w:tc>
          <w:tcPr>
            <w:tcW w:w="2351" w:type="dxa"/>
            <w:shd w:val="clear" w:color="auto" w:fill="FFFFFF"/>
          </w:tcPr>
          <w:p w14:paraId="025F8FDF" w14:textId="77777777" w:rsidR="001B7D47" w:rsidRDefault="00000000">
            <w:r>
              <w:rPr>
                <w:rFonts w:ascii="Calibri" w:hAnsi="Calibri"/>
                <w:sz w:val="18"/>
              </w:rPr>
              <w:t>Max 60mg/day</w:t>
            </w:r>
          </w:p>
        </w:tc>
      </w:tr>
    </w:tbl>
    <w:p w14:paraId="6EE30F17" w14:textId="77777777" w:rsidR="001B7D47" w:rsidRDefault="001B7D47"/>
    <w:p w14:paraId="17C6D0BB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C00000"/>
          <w:sz w:val="28"/>
        </w:rPr>
        <w:t>5. Sodium Valproate — MHRA Safety Updates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28B63F6B" w14:textId="77777777">
        <w:tc>
          <w:tcPr>
            <w:tcW w:w="9406" w:type="dxa"/>
            <w:shd w:val="clear" w:color="auto" w:fill="FFD7D7"/>
          </w:tcPr>
          <w:p w14:paraId="414254A6" w14:textId="77777777" w:rsidR="001B7D47" w:rsidRDefault="00000000">
            <w:pPr>
              <w:spacing w:before="80" w:after="80"/>
              <w:ind w:left="170"/>
            </w:pPr>
            <w:r>
              <w:rPr>
                <w:b/>
                <w:color w:val="C00000"/>
                <w:sz w:val="20"/>
              </w:rPr>
              <w:t xml:space="preserve">🚨 VALPROATE SAFETY: </w:t>
            </w:r>
            <w:r>
              <w:rPr>
                <w:rFonts w:ascii="Calibri" w:hAnsi="Calibri"/>
                <w:color w:val="C00000"/>
                <w:sz w:val="20"/>
              </w:rPr>
              <w:t>MHRA FEBRUARY 2025: Mandatory two-specialist review for ALL patients under 55 years initiating valproate (male and female).</w:t>
            </w:r>
            <w:r>
              <w:rPr>
                <w:rFonts w:ascii="Calibri" w:hAnsi="Calibri"/>
                <w:color w:val="C00000"/>
                <w:sz w:val="20"/>
              </w:rPr>
              <w:br/>
            </w:r>
            <w:r>
              <w:rPr>
                <w:rFonts w:ascii="Calibri" w:hAnsi="Calibri"/>
                <w:color w:val="C00000"/>
                <w:sz w:val="20"/>
              </w:rPr>
              <w:br/>
              <w:t>WOMEN OF CHILDBEARING POTENTIAL: ABSOLUTE CONTRAINDICATION unless enrolled in PPP with two effective contraception methods.</w:t>
            </w:r>
            <w:r>
              <w:rPr>
                <w:rFonts w:ascii="Calibri" w:hAnsi="Calibri"/>
                <w:color w:val="C00000"/>
                <w:sz w:val="20"/>
              </w:rPr>
              <w:br/>
            </w:r>
            <w:r>
              <w:rPr>
                <w:rFonts w:ascii="Calibri" w:hAnsi="Calibri"/>
                <w:color w:val="C00000"/>
                <w:sz w:val="20"/>
              </w:rPr>
              <w:br/>
              <w:t>MEN (MHRA SEPTEMBER 2024): Precautionary advice — discuss potential neurodevelopmental effects on offspring. Document.</w:t>
            </w:r>
            <w:r>
              <w:rPr>
                <w:rFonts w:ascii="Calibri" w:hAnsi="Calibri"/>
                <w:color w:val="C00000"/>
                <w:sz w:val="20"/>
              </w:rPr>
              <w:br/>
            </w:r>
            <w:r>
              <w:rPr>
                <w:rFonts w:ascii="Calibri" w:hAnsi="Calibri"/>
                <w:color w:val="C00000"/>
                <w:sz w:val="20"/>
              </w:rPr>
              <w:br/>
              <w:t>IN PREGNANCY: 10× risk of major malformations; 30–40% neurodevelopmental disorder risk.</w:t>
            </w:r>
          </w:p>
        </w:tc>
      </w:tr>
    </w:tbl>
    <w:p w14:paraId="2ED9ADEC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C00000"/>
          <w:sz w:val="28"/>
        </w:rPr>
        <w:lastRenderedPageBreak/>
        <w:t>6. Topiramate Safety (MHRA 2024)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3133EE73" w14:textId="77777777">
        <w:tc>
          <w:tcPr>
            <w:tcW w:w="9406" w:type="dxa"/>
            <w:shd w:val="clear" w:color="auto" w:fill="FFD7D7"/>
          </w:tcPr>
          <w:p w14:paraId="6FF1FAEB" w14:textId="77777777" w:rsidR="001B7D47" w:rsidRDefault="00000000">
            <w:pPr>
              <w:spacing w:before="80" w:after="80"/>
              <w:ind w:left="170"/>
            </w:pPr>
            <w:r>
              <w:rPr>
                <w:b/>
                <w:sz w:val="20"/>
              </w:rPr>
              <w:t xml:space="preserve">⚠ TOPIRAMATE PPP (MHRA 2024): </w:t>
            </w:r>
            <w:r>
              <w:rPr>
                <w:rFonts w:ascii="Calibri" w:hAnsi="Calibri"/>
                <w:sz w:val="20"/>
              </w:rPr>
              <w:t>Topiramate now requires a mandatory Pregnancy Prevention Programme (PPP) for women of childbearing potential. Risk: cleft lip/palate and neurodevelopmental disorders. PPP must be completed before prescribing.</w:t>
            </w:r>
          </w:p>
        </w:tc>
      </w:tr>
    </w:tbl>
    <w:p w14:paraId="76DFBBBD" w14:textId="77777777" w:rsidR="001B7D47" w:rsidRDefault="001B7D47"/>
    <w:p w14:paraId="003243F7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7. Drug Monitoring (NICE NG217)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1B7D47" w14:paraId="0A636AE0" w14:textId="77777777">
        <w:tc>
          <w:tcPr>
            <w:tcW w:w="4703" w:type="dxa"/>
            <w:shd w:val="clear" w:color="auto" w:fill="1A3A5C"/>
          </w:tcPr>
          <w:p w14:paraId="2366096A" w14:textId="77777777" w:rsidR="001B7D47" w:rsidRDefault="00000000">
            <w:r>
              <w:rPr>
                <w:b/>
                <w:color w:val="FFFFFF"/>
                <w:sz w:val="20"/>
              </w:rPr>
              <w:t>Drug</w:t>
            </w:r>
          </w:p>
        </w:tc>
        <w:tc>
          <w:tcPr>
            <w:tcW w:w="4703" w:type="dxa"/>
            <w:shd w:val="clear" w:color="auto" w:fill="1A3A5C"/>
          </w:tcPr>
          <w:p w14:paraId="1C83E135" w14:textId="77777777" w:rsidR="001B7D47" w:rsidRDefault="00000000">
            <w:r>
              <w:rPr>
                <w:b/>
                <w:color w:val="FFFFFF"/>
                <w:sz w:val="20"/>
              </w:rPr>
              <w:t>Monitoring Required</w:t>
            </w:r>
          </w:p>
        </w:tc>
      </w:tr>
      <w:tr w:rsidR="001B7D47" w14:paraId="11F774FE" w14:textId="77777777">
        <w:tc>
          <w:tcPr>
            <w:tcW w:w="4703" w:type="dxa"/>
            <w:shd w:val="clear" w:color="auto" w:fill="FFF8F0"/>
          </w:tcPr>
          <w:p w14:paraId="2307C4D4" w14:textId="77777777" w:rsidR="001B7D47" w:rsidRDefault="00000000">
            <w:r>
              <w:rPr>
                <w:rFonts w:ascii="Calibri" w:hAnsi="Calibri"/>
                <w:b/>
                <w:sz w:val="19"/>
              </w:rPr>
              <w:t>Carbamazepine</w:t>
            </w:r>
          </w:p>
        </w:tc>
        <w:tc>
          <w:tcPr>
            <w:tcW w:w="4703" w:type="dxa"/>
            <w:shd w:val="clear" w:color="auto" w:fill="FFF8F0"/>
          </w:tcPr>
          <w:p w14:paraId="7C16CE5B" w14:textId="77777777" w:rsidR="001B7D47" w:rsidRDefault="00000000">
            <w:r>
              <w:rPr>
                <w:rFonts w:ascii="Calibri" w:hAnsi="Calibri"/>
                <w:sz w:val="19"/>
              </w:rPr>
              <w:t>FBC, LFTs, sodium before and regularly. Blood level only if toxicity/compliance concern.</w:t>
            </w:r>
          </w:p>
        </w:tc>
      </w:tr>
      <w:tr w:rsidR="001B7D47" w14:paraId="3D86EA22" w14:textId="77777777">
        <w:tc>
          <w:tcPr>
            <w:tcW w:w="4703" w:type="dxa"/>
            <w:shd w:val="clear" w:color="auto" w:fill="FFFFFF"/>
          </w:tcPr>
          <w:p w14:paraId="5D4FF888" w14:textId="77777777" w:rsidR="001B7D47" w:rsidRDefault="00000000">
            <w:r>
              <w:rPr>
                <w:rFonts w:ascii="Calibri" w:hAnsi="Calibri"/>
                <w:b/>
                <w:sz w:val="19"/>
              </w:rPr>
              <w:t>Phenytoin</w:t>
            </w:r>
          </w:p>
        </w:tc>
        <w:tc>
          <w:tcPr>
            <w:tcW w:w="4703" w:type="dxa"/>
            <w:shd w:val="clear" w:color="auto" w:fill="FFFFFF"/>
          </w:tcPr>
          <w:p w14:paraId="5FFE6574" w14:textId="77777777" w:rsidR="001B7D47" w:rsidRDefault="00000000">
            <w:r>
              <w:rPr>
                <w:rFonts w:ascii="Calibri" w:hAnsi="Calibri"/>
                <w:sz w:val="19"/>
              </w:rPr>
              <w:t>Blood level if toxicity/compliance (10–20 mg/L). FBC, LFTs. Folic acid 6-monthly.</w:t>
            </w:r>
          </w:p>
        </w:tc>
      </w:tr>
      <w:tr w:rsidR="001B7D47" w14:paraId="0C810CE0" w14:textId="77777777">
        <w:tc>
          <w:tcPr>
            <w:tcW w:w="4703" w:type="dxa"/>
            <w:shd w:val="clear" w:color="auto" w:fill="FFF8F0"/>
          </w:tcPr>
          <w:p w14:paraId="7BD0EFC4" w14:textId="77777777" w:rsidR="001B7D47" w:rsidRDefault="00000000">
            <w:r>
              <w:rPr>
                <w:rFonts w:ascii="Calibri" w:hAnsi="Calibri"/>
                <w:b/>
                <w:sz w:val="19"/>
              </w:rPr>
              <w:t>Sodium valproate</w:t>
            </w:r>
          </w:p>
        </w:tc>
        <w:tc>
          <w:tcPr>
            <w:tcW w:w="4703" w:type="dxa"/>
            <w:shd w:val="clear" w:color="auto" w:fill="FFF8F0"/>
          </w:tcPr>
          <w:p w14:paraId="198B351B" w14:textId="77777777" w:rsidR="001B7D47" w:rsidRDefault="00000000">
            <w:r>
              <w:rPr>
                <w:rFonts w:ascii="Calibri" w:hAnsi="Calibri"/>
                <w:sz w:val="19"/>
              </w:rPr>
              <w:t>FBC, LFTs before and annually. Blood level NOT routinely useful.</w:t>
            </w:r>
          </w:p>
        </w:tc>
      </w:tr>
      <w:tr w:rsidR="001B7D47" w14:paraId="2F2AE718" w14:textId="77777777">
        <w:tc>
          <w:tcPr>
            <w:tcW w:w="4703" w:type="dxa"/>
            <w:shd w:val="clear" w:color="auto" w:fill="FFFFFF"/>
          </w:tcPr>
          <w:p w14:paraId="4DD7AC77" w14:textId="77777777" w:rsidR="001B7D47" w:rsidRDefault="00000000">
            <w:r>
              <w:rPr>
                <w:rFonts w:ascii="Calibri" w:hAnsi="Calibri"/>
                <w:b/>
                <w:sz w:val="19"/>
              </w:rPr>
              <w:t>Lamotrigine, Levetiracetam, Clobazam</w:t>
            </w:r>
          </w:p>
        </w:tc>
        <w:tc>
          <w:tcPr>
            <w:tcW w:w="4703" w:type="dxa"/>
            <w:shd w:val="clear" w:color="auto" w:fill="FFFFFF"/>
          </w:tcPr>
          <w:p w14:paraId="660028D2" w14:textId="77777777" w:rsidR="001B7D47" w:rsidRDefault="00000000">
            <w:r>
              <w:rPr>
                <w:rFonts w:ascii="Calibri" w:hAnsi="Calibri"/>
                <w:sz w:val="19"/>
              </w:rPr>
              <w:t>No routine blood monitoring. Clinical review only.</w:t>
            </w:r>
          </w:p>
        </w:tc>
      </w:tr>
    </w:tbl>
    <w:p w14:paraId="1BF03F4A" w14:textId="77777777" w:rsidR="001B7D47" w:rsidRDefault="001B7D47"/>
    <w:p w14:paraId="6AB8BCDE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8. Special Situations</w:t>
      </w:r>
    </w:p>
    <w:p w14:paraId="4C327953" w14:textId="77777777" w:rsidR="001B7D47" w:rsidRDefault="00000000">
      <w:pPr>
        <w:spacing w:before="40" w:after="40"/>
      </w:pPr>
      <w:r>
        <w:rPr>
          <w:rFonts w:ascii="Calibri" w:hAnsi="Calibri"/>
          <w:b/>
        </w:rPr>
        <w:t>Enzyme-Inducing ASMs — Contraception:</w:t>
      </w:r>
    </w:p>
    <w:p w14:paraId="4765357A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Carbamazepine, phenytoin, phenobarbital, primidone, oxcarbazepine, topiramate (&gt;200mg/day) reduce OCP efficacy</w:t>
      </w:r>
    </w:p>
    <w:p w14:paraId="10C1585F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Recommendation: use LARC (IUD, implant) or barrier methods</w:t>
      </w:r>
    </w:p>
    <w:p w14:paraId="64680030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Lamotrigine + OCP: OCP increases lamotrigine clearance — seizure risk when OCP starts</w:t>
      </w:r>
    </w:p>
    <w:p w14:paraId="04DC1CD0" w14:textId="77777777" w:rsidR="001B7D47" w:rsidRDefault="001B7D47"/>
    <w:p w14:paraId="0B4A1635" w14:textId="77777777" w:rsidR="001B7D47" w:rsidRDefault="00000000">
      <w:pPr>
        <w:spacing w:before="40" w:after="40"/>
      </w:pPr>
      <w:r>
        <w:rPr>
          <w:rFonts w:ascii="Calibri" w:hAnsi="Calibri"/>
          <w:b/>
        </w:rPr>
        <w:t>Pregnancy and Epilepsy:</w:t>
      </w:r>
    </w:p>
    <w:p w14:paraId="34429D09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Folic acid 5mg/day: start 3 months pre-conception and throughout first trimester (NICE NG247 Jan 2025)</w:t>
      </w:r>
    </w:p>
    <w:p w14:paraId="7A8F3B6E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AVOID valproate and topiramate (teratogenic)</w:t>
      </w:r>
    </w:p>
    <w:p w14:paraId="63E7F101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Preferred: lamotrigine or levetiracetam (most pregnancy safety data)</w:t>
      </w:r>
    </w:p>
    <w:p w14:paraId="5415B1EB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&gt;90% of women with epilepsy can have a successful pregnancy with careful management</w:t>
      </w:r>
    </w:p>
    <w:p w14:paraId="5F575631" w14:textId="77777777" w:rsidR="001B7D47" w:rsidRDefault="001B7D47"/>
    <w:p w14:paraId="34927D21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t>9. DVLA Regulations (November 2025)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03"/>
        <w:gridCol w:w="4703"/>
      </w:tblGrid>
      <w:tr w:rsidR="001B7D47" w14:paraId="4A15EE60" w14:textId="77777777">
        <w:tc>
          <w:tcPr>
            <w:tcW w:w="4703" w:type="dxa"/>
            <w:shd w:val="clear" w:color="auto" w:fill="1A3A5C"/>
          </w:tcPr>
          <w:p w14:paraId="72D720F8" w14:textId="77777777" w:rsidR="001B7D47" w:rsidRDefault="00000000">
            <w:r>
              <w:rPr>
                <w:b/>
                <w:color w:val="FFFFFF"/>
                <w:sz w:val="20"/>
              </w:rPr>
              <w:t>Situation</w:t>
            </w:r>
          </w:p>
        </w:tc>
        <w:tc>
          <w:tcPr>
            <w:tcW w:w="4703" w:type="dxa"/>
            <w:shd w:val="clear" w:color="auto" w:fill="1A3A5C"/>
          </w:tcPr>
          <w:p w14:paraId="4218BCF6" w14:textId="77777777" w:rsidR="001B7D47" w:rsidRDefault="00000000">
            <w:r>
              <w:rPr>
                <w:b/>
                <w:color w:val="FFFFFF"/>
                <w:sz w:val="20"/>
              </w:rPr>
              <w:t>DVLA Requirement</w:t>
            </w:r>
          </w:p>
        </w:tc>
      </w:tr>
      <w:tr w:rsidR="001B7D47" w14:paraId="06EC9B45" w14:textId="77777777">
        <w:tc>
          <w:tcPr>
            <w:tcW w:w="4703" w:type="dxa"/>
            <w:shd w:val="clear" w:color="auto" w:fill="F0F4F8"/>
          </w:tcPr>
          <w:p w14:paraId="4666BDE1" w14:textId="77777777" w:rsidR="001B7D47" w:rsidRDefault="00000000">
            <w:r>
              <w:rPr>
                <w:rFonts w:ascii="Calibri" w:hAnsi="Calibri"/>
                <w:b/>
                <w:sz w:val="19"/>
              </w:rPr>
              <w:t>First unprovoked seizure</w:t>
            </w:r>
          </w:p>
        </w:tc>
        <w:tc>
          <w:tcPr>
            <w:tcW w:w="4703" w:type="dxa"/>
            <w:shd w:val="clear" w:color="auto" w:fill="F0F4F8"/>
          </w:tcPr>
          <w:p w14:paraId="6E8F34E1" w14:textId="77777777" w:rsidR="001B7D47" w:rsidRDefault="00000000">
            <w:r>
              <w:rPr>
                <w:rFonts w:ascii="Calibri" w:hAnsi="Calibri"/>
                <w:sz w:val="19"/>
              </w:rPr>
              <w:t>6 months seizure-free before driving (Group 1)</w:t>
            </w:r>
          </w:p>
        </w:tc>
      </w:tr>
      <w:tr w:rsidR="001B7D47" w14:paraId="65219143" w14:textId="77777777">
        <w:tc>
          <w:tcPr>
            <w:tcW w:w="4703" w:type="dxa"/>
            <w:shd w:val="clear" w:color="auto" w:fill="FFFFFF"/>
          </w:tcPr>
          <w:p w14:paraId="3E0D5F89" w14:textId="77777777" w:rsidR="001B7D47" w:rsidRDefault="00000000">
            <w:r>
              <w:rPr>
                <w:rFonts w:ascii="Calibri" w:hAnsi="Calibri"/>
                <w:b/>
                <w:sz w:val="19"/>
              </w:rPr>
              <w:t>Established epilepsy (Group 1)</w:t>
            </w:r>
          </w:p>
        </w:tc>
        <w:tc>
          <w:tcPr>
            <w:tcW w:w="4703" w:type="dxa"/>
            <w:shd w:val="clear" w:color="auto" w:fill="FFFFFF"/>
          </w:tcPr>
          <w:p w14:paraId="2216F0D3" w14:textId="77777777" w:rsidR="001B7D47" w:rsidRDefault="00000000">
            <w:r>
              <w:rPr>
                <w:rFonts w:ascii="Calibri" w:hAnsi="Calibri"/>
                <w:sz w:val="19"/>
              </w:rPr>
              <w:t>12 months seizure-free before driving resumes</w:t>
            </w:r>
          </w:p>
        </w:tc>
      </w:tr>
      <w:tr w:rsidR="001B7D47" w14:paraId="64E8D734" w14:textId="77777777">
        <w:tc>
          <w:tcPr>
            <w:tcW w:w="4703" w:type="dxa"/>
            <w:shd w:val="clear" w:color="auto" w:fill="F0F4F8"/>
          </w:tcPr>
          <w:p w14:paraId="53CEA389" w14:textId="77777777" w:rsidR="001B7D47" w:rsidRDefault="00000000">
            <w:r>
              <w:rPr>
                <w:rFonts w:ascii="Calibri" w:hAnsi="Calibri"/>
                <w:b/>
                <w:sz w:val="19"/>
              </w:rPr>
              <w:t>Nocturnal seizures only</w:t>
            </w:r>
          </w:p>
        </w:tc>
        <w:tc>
          <w:tcPr>
            <w:tcW w:w="4703" w:type="dxa"/>
            <w:shd w:val="clear" w:color="auto" w:fill="F0F4F8"/>
          </w:tcPr>
          <w:p w14:paraId="3964A3B3" w14:textId="77777777" w:rsidR="001B7D47" w:rsidRDefault="00000000">
            <w:r>
              <w:rPr>
                <w:rFonts w:ascii="Calibri" w:hAnsi="Calibri"/>
                <w:sz w:val="19"/>
              </w:rPr>
              <w:t>1 year exclusively nocturnal — may drive in daytime if no daytime attacks</w:t>
            </w:r>
          </w:p>
        </w:tc>
      </w:tr>
      <w:tr w:rsidR="001B7D47" w14:paraId="4B582CAB" w14:textId="77777777">
        <w:tc>
          <w:tcPr>
            <w:tcW w:w="4703" w:type="dxa"/>
            <w:shd w:val="clear" w:color="auto" w:fill="FFFFFF"/>
          </w:tcPr>
          <w:p w14:paraId="5394C32D" w14:textId="77777777" w:rsidR="001B7D47" w:rsidRDefault="00000000">
            <w:r>
              <w:rPr>
                <w:rFonts w:ascii="Calibri" w:hAnsi="Calibri"/>
                <w:b/>
                <w:sz w:val="19"/>
              </w:rPr>
              <w:t>Withdrawing ASMs</w:t>
            </w:r>
          </w:p>
        </w:tc>
        <w:tc>
          <w:tcPr>
            <w:tcW w:w="4703" w:type="dxa"/>
            <w:shd w:val="clear" w:color="auto" w:fill="FFFFFF"/>
          </w:tcPr>
          <w:p w14:paraId="0D1074A9" w14:textId="77777777" w:rsidR="001B7D47" w:rsidRDefault="00000000">
            <w:r>
              <w:rPr>
                <w:rFonts w:ascii="Calibri" w:hAnsi="Calibri"/>
                <w:sz w:val="19"/>
              </w:rPr>
              <w:t>Advise no driving during reduction AND for 6 months after stopping</w:t>
            </w:r>
          </w:p>
        </w:tc>
      </w:tr>
      <w:tr w:rsidR="001B7D47" w14:paraId="4958CED2" w14:textId="77777777">
        <w:tc>
          <w:tcPr>
            <w:tcW w:w="4703" w:type="dxa"/>
            <w:shd w:val="clear" w:color="auto" w:fill="F0F4F8"/>
          </w:tcPr>
          <w:p w14:paraId="10B67B95" w14:textId="77777777" w:rsidR="001B7D47" w:rsidRDefault="00000000">
            <w:r>
              <w:rPr>
                <w:rFonts w:ascii="Calibri" w:hAnsi="Calibri"/>
                <w:b/>
                <w:sz w:val="19"/>
              </w:rPr>
              <w:t>Group 2 (HGV/bus)</w:t>
            </w:r>
          </w:p>
        </w:tc>
        <w:tc>
          <w:tcPr>
            <w:tcW w:w="4703" w:type="dxa"/>
            <w:shd w:val="clear" w:color="auto" w:fill="F0F4F8"/>
          </w:tcPr>
          <w:p w14:paraId="43AFC657" w14:textId="77777777" w:rsidR="001B7D47" w:rsidRDefault="00000000">
            <w:r>
              <w:rPr>
                <w:rFonts w:ascii="Calibri" w:hAnsi="Calibri"/>
                <w:sz w:val="19"/>
              </w:rPr>
              <w:t>10 years seizure-free AND not on ASMs for 10 years AND no structural cause</w:t>
            </w:r>
          </w:p>
        </w:tc>
      </w:tr>
    </w:tbl>
    <w:p w14:paraId="6F03389C" w14:textId="77777777" w:rsidR="001B7D47" w:rsidRDefault="001B7D47"/>
    <w:p w14:paraId="6DEB753D" w14:textId="77777777" w:rsidR="008C1E4C" w:rsidRDefault="008C1E4C">
      <w:pPr>
        <w:rPr>
          <w:rFonts w:ascii="Calibri" w:hAnsi="Calibri"/>
          <w:b/>
          <w:color w:val="1A3A5C"/>
          <w:sz w:val="28"/>
        </w:rPr>
      </w:pPr>
      <w:r>
        <w:rPr>
          <w:rFonts w:ascii="Calibri" w:hAnsi="Calibri"/>
          <w:b/>
          <w:color w:val="1A3A5C"/>
          <w:sz w:val="28"/>
        </w:rPr>
        <w:br w:type="page"/>
      </w:r>
    </w:p>
    <w:p w14:paraId="699FAF35" w14:textId="64BAD0DC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1A3A5C"/>
          <w:sz w:val="28"/>
        </w:rPr>
        <w:lastRenderedPageBreak/>
        <w:t>10. Common Pitfalls</w:t>
      </w:r>
    </w:p>
    <w:p w14:paraId="2E116BE2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Missing cardiac syncope — always do ECG in first blackout</w:t>
      </w:r>
    </w:p>
    <w:p w14:paraId="6D647898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Starting valproate in women of childbearing age without PPP and two-specialist review</w:t>
      </w:r>
    </w:p>
    <w:p w14:paraId="4273419A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Not advising patient to stop driving after first seizure</w:t>
      </w:r>
    </w:p>
    <w:p w14:paraId="5AA87774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Initiating ASMs in primary care before specialist diagnosis</w:t>
      </w:r>
    </w:p>
    <w:p w14:paraId="0BFB7410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Switching carbamazepine/phenytoin brand (risk of toxicity)</w:t>
      </w:r>
    </w:p>
    <w:p w14:paraId="48A031E6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Not documenting SUDEP discussion (NICE NG217 requirement)</w:t>
      </w:r>
    </w:p>
    <w:p w14:paraId="44A72536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❌ Checking routine drug levels in well-controlled patients</w:t>
      </w:r>
    </w:p>
    <w:p w14:paraId="5B4B6E98" w14:textId="77777777" w:rsidR="001B7D47" w:rsidRDefault="001B7D47"/>
    <w:p w14:paraId="77DE9F39" w14:textId="77777777" w:rsidR="001B7D47" w:rsidRDefault="00000000">
      <w:pPr>
        <w:pBdr>
          <w:bottom w:val="single" w:sz="6" w:space="1" w:color="E0651F"/>
        </w:pBdr>
        <w:spacing w:before="240" w:after="80"/>
      </w:pPr>
      <w:r>
        <w:rPr>
          <w:rFonts w:ascii="Calibri" w:hAnsi="Calibri"/>
          <w:b/>
          <w:color w:val="007070"/>
          <w:sz w:val="28"/>
        </w:rPr>
        <w:t>11. AKT &amp; SCA Exam Pearls</w:t>
      </w:r>
    </w:p>
    <w:p w14:paraId="328F3E07" w14:textId="77777777" w:rsidR="001B7D47" w:rsidRDefault="00000000">
      <w:pPr>
        <w:spacing w:before="40" w:after="40"/>
      </w:pPr>
      <w:r>
        <w:rPr>
          <w:rFonts w:ascii="Calibri" w:hAnsi="Calibri"/>
          <w:b/>
          <w:color w:val="007070"/>
        </w:rPr>
        <w:t>AKT:</w:t>
      </w:r>
    </w:p>
    <w:p w14:paraId="3C4B50CF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Status epilepticus community: buccal midazolam first (not rectal diazepam)</w:t>
      </w:r>
    </w:p>
    <w:p w14:paraId="3067ECDE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Valproate: two-specialist review under 55 (MHRA Feb 2025); absolute CI in women (CP) unless PPP</w:t>
      </w:r>
    </w:p>
    <w:p w14:paraId="1DF6C80F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Topiramate: mandatory PPP for women of childbearing potential (MHRA 2024)</w:t>
      </w:r>
    </w:p>
    <w:p w14:paraId="1F659EE6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Folic acid in epilepsy: 5mg/day (not 400mcg) — NICE NG247 Jan 2025</w:t>
      </w:r>
    </w:p>
    <w:p w14:paraId="188DA0EB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Driving: 1st seizure = 6 months off; established epilepsy = 12 months off (Group 1)</w:t>
      </w:r>
    </w:p>
    <w:p w14:paraId="0C63162A" w14:textId="77777777" w:rsidR="001B7D47" w:rsidRDefault="00000000">
      <w:pPr>
        <w:pStyle w:val="ListBullet"/>
        <w:spacing w:before="20" w:after="20"/>
        <w:ind w:left="283"/>
      </w:pPr>
      <w:r>
        <w:rPr>
          <w:rFonts w:ascii="Calibri" w:hAnsi="Calibri"/>
          <w:sz w:val="21"/>
        </w:rPr>
        <w:t>✦ Enzyme inducers (carbamazepine, phenytoin): reduce OCP efficacy → LARC preferred</w:t>
      </w:r>
    </w:p>
    <w:p w14:paraId="505604FA" w14:textId="77777777" w:rsidR="001B7D47" w:rsidRDefault="001B7D47"/>
    <w:tbl>
      <w:tblPr>
        <w:tblW w:w="0" w:type="auto"/>
        <w:tblLook w:val="04A0" w:firstRow="1" w:lastRow="0" w:firstColumn="1" w:lastColumn="0" w:noHBand="0" w:noVBand="1"/>
      </w:tblPr>
      <w:tblGrid>
        <w:gridCol w:w="9406"/>
      </w:tblGrid>
      <w:tr w:rsidR="001B7D47" w14:paraId="03744876" w14:textId="77777777">
        <w:tc>
          <w:tcPr>
            <w:tcW w:w="9406" w:type="dxa"/>
            <w:shd w:val="clear" w:color="auto" w:fill="FFF3CD"/>
          </w:tcPr>
          <w:p w14:paraId="0F09BBBF" w14:textId="77777777" w:rsidR="001B7D47" w:rsidRDefault="00000000">
            <w:r>
              <w:rPr>
                <w:rFonts w:ascii="Calibri" w:hAnsi="Calibri"/>
                <w:i/>
                <w:sz w:val="18"/>
              </w:rPr>
              <w:t>⚠ Always double check this advice and drug doses with the latest NICE/BNF guidance. This document is for educational purposes only.</w:t>
            </w:r>
          </w:p>
        </w:tc>
      </w:tr>
    </w:tbl>
    <w:p w14:paraId="1F0C8194" w14:textId="77777777" w:rsidR="001B7D47" w:rsidRDefault="001B7D47"/>
    <w:p w14:paraId="3DD3D2C6" w14:textId="77777777" w:rsidR="001B7D47" w:rsidRDefault="00000000">
      <w:pPr>
        <w:jc w:val="center"/>
      </w:pPr>
      <w:r>
        <w:rPr>
          <w:rFonts w:ascii="Calibri" w:hAnsi="Calibri"/>
          <w:color w:val="808080"/>
          <w:sz w:val="16"/>
        </w:rPr>
        <w:t>A free resource provided by www.bradfordvts.co.uk, Dr Ramesh Mehay, revised May 2026</w:t>
      </w:r>
    </w:p>
    <w:sectPr w:rsidR="001B7D47" w:rsidSect="00034616">
      <w:pgSz w:w="12240" w:h="15840"/>
      <w:pgMar w:top="1134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7285901">
    <w:abstractNumId w:val="8"/>
  </w:num>
  <w:num w:numId="2" w16cid:durableId="571935974">
    <w:abstractNumId w:val="6"/>
  </w:num>
  <w:num w:numId="3" w16cid:durableId="199362720">
    <w:abstractNumId w:val="5"/>
  </w:num>
  <w:num w:numId="4" w16cid:durableId="669522139">
    <w:abstractNumId w:val="4"/>
  </w:num>
  <w:num w:numId="5" w16cid:durableId="682124563">
    <w:abstractNumId w:val="7"/>
  </w:num>
  <w:num w:numId="6" w16cid:durableId="631325317">
    <w:abstractNumId w:val="3"/>
  </w:num>
  <w:num w:numId="7" w16cid:durableId="891428026">
    <w:abstractNumId w:val="2"/>
  </w:num>
  <w:num w:numId="8" w16cid:durableId="2065984242">
    <w:abstractNumId w:val="1"/>
  </w:num>
  <w:num w:numId="9" w16cid:durableId="1382368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B7D47"/>
    <w:rsid w:val="0029639D"/>
    <w:rsid w:val="00326F90"/>
    <w:rsid w:val="00350ADC"/>
    <w:rsid w:val="008C1E4C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A42B6D"/>
  <w14:defaultImageDpi w14:val="300"/>
  <w15:docId w15:val="{EBD4546E-AC8E-42A7-9201-8B5BCF9E4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905</Words>
  <Characters>5671</Characters>
  <Application>Microsoft Office Word</Application>
  <DocSecurity>0</DocSecurity>
  <Lines>171</Lines>
  <Paragraphs>134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6442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Ramesh Mehay</cp:lastModifiedBy>
  <cp:revision>3</cp:revision>
  <dcterms:created xsi:type="dcterms:W3CDTF">2013-12-23T23:15:00Z</dcterms:created>
  <dcterms:modified xsi:type="dcterms:W3CDTF">2026-06-17T01:15:00Z</dcterms:modified>
  <cp:category/>
</cp:coreProperties>
</file>