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406"/>
      </w:tblGrid>
      <w:tr w:rsidR="0062325B" w14:paraId="15D15DEA" w14:textId="77777777">
        <w:tc>
          <w:tcPr>
            <w:tcW w:w="9406" w:type="dxa"/>
            <w:shd w:val="clear" w:color="auto" w:fill="E0651F"/>
          </w:tcPr>
          <w:p w14:paraId="51A133A3" w14:textId="77777777" w:rsidR="0062325B" w:rsidRDefault="00000000">
            <w:pPr>
              <w:jc w:val="center"/>
            </w:pPr>
            <w:r>
              <w:rPr>
                <w:rFonts w:ascii="Calibri" w:hAnsi="Calibri"/>
                <w:b/>
                <w:color w:val="FFFFFF"/>
              </w:rPr>
              <w:t>BRADFORD VTS TEACHING AIDS</w:t>
            </w:r>
          </w:p>
          <w:p w14:paraId="3046CB48" w14:textId="77777777" w:rsidR="0062325B" w:rsidRDefault="00000000">
            <w:pPr>
              <w:jc w:val="center"/>
            </w:pPr>
            <w:r>
              <w:rPr>
                <w:rFonts w:ascii="Calibri" w:hAnsi="Calibri"/>
                <w:b/>
                <w:color w:val="FFFFFF"/>
                <w:sz w:val="56"/>
              </w:rPr>
              <w:t>Headache — A Comprehensive Tutorial</w:t>
            </w:r>
          </w:p>
          <w:p w14:paraId="26F1658B" w14:textId="77777777" w:rsidR="0062325B" w:rsidRDefault="00000000">
            <w:pPr>
              <w:jc w:val="center"/>
            </w:pPr>
            <w:r>
              <w:rPr>
                <w:rFonts w:ascii="Calibri" w:hAnsi="Calibri"/>
                <w:i/>
                <w:color w:val="FFFFFF"/>
              </w:rPr>
              <w:t>Clinical Tutorial · Bradford VTS · May 2026</w:t>
            </w:r>
          </w:p>
        </w:tc>
      </w:tr>
    </w:tbl>
    <w:p w14:paraId="1C0C9A60" w14:textId="77777777" w:rsidR="0062325B" w:rsidRDefault="0062325B"/>
    <w:p w14:paraId="2A8B097A" w14:textId="77777777" w:rsidR="0062325B" w:rsidRDefault="00000000">
      <w:pPr>
        <w:spacing w:before="40" w:after="40"/>
      </w:pPr>
      <w:r>
        <w:rPr>
          <w:rFonts w:ascii="Calibri" w:hAnsi="Calibri"/>
        </w:rPr>
        <w:t>This tutorial provides a comprehensive framework for diagnosing and managing headaches in general practice, updated to current NICE CG150 (December 2025) and NICE CKS Headache Assessment (March 2022) standards. Most headaches can be effectively managed in primary care once serious secondary causes are excluded.</w:t>
      </w:r>
    </w:p>
    <w:p w14:paraId="32F7546E" w14:textId="77777777" w:rsidR="0062325B" w:rsidRDefault="0062325B"/>
    <w:p w14:paraId="556EC1E6" w14:textId="77777777" w:rsidR="0062325B" w:rsidRDefault="00000000">
      <w:pPr>
        <w:pBdr>
          <w:bottom w:val="single" w:sz="6" w:space="1" w:color="E0651F"/>
        </w:pBdr>
        <w:spacing w:before="240" w:after="80"/>
      </w:pPr>
      <w:r>
        <w:rPr>
          <w:rFonts w:ascii="Calibri" w:hAnsi="Calibri"/>
          <w:b/>
          <w:color w:val="1A3A5C"/>
          <w:sz w:val="28"/>
        </w:rPr>
        <w:t>1. History Taking</w:t>
      </w:r>
    </w:p>
    <w:p w14:paraId="15116867" w14:textId="77777777" w:rsidR="0062325B" w:rsidRDefault="00000000">
      <w:pPr>
        <w:spacing w:before="40" w:after="40"/>
      </w:pPr>
      <w:r>
        <w:rPr>
          <w:rFonts w:ascii="Calibri" w:hAnsi="Calibri"/>
        </w:rPr>
        <w:t>A structured headache history should cover:</w:t>
      </w:r>
    </w:p>
    <w:p w14:paraId="57DEF4B5" w14:textId="77777777" w:rsidR="0062325B" w:rsidRDefault="00000000">
      <w:pPr>
        <w:pStyle w:val="ListBullet"/>
        <w:spacing w:before="20" w:after="20"/>
        <w:ind w:left="283"/>
      </w:pPr>
      <w:r>
        <w:rPr>
          <w:rFonts w:ascii="Calibri" w:hAnsi="Calibri"/>
          <w:sz w:val="21"/>
        </w:rPr>
        <w:t>Type, location, quality (pressing/pulsating), onset (sudden vs gradual)</w:t>
      </w:r>
    </w:p>
    <w:p w14:paraId="1F5EB3ED" w14:textId="77777777" w:rsidR="0062325B" w:rsidRDefault="00000000">
      <w:pPr>
        <w:pStyle w:val="ListBullet"/>
        <w:spacing w:before="20" w:after="20"/>
        <w:ind w:left="283"/>
      </w:pPr>
      <w:r>
        <w:rPr>
          <w:rFonts w:ascii="Calibri" w:hAnsi="Calibri"/>
          <w:sz w:val="21"/>
        </w:rPr>
        <w:t>Duration and frequency of attacks</w:t>
      </w:r>
    </w:p>
    <w:p w14:paraId="0F293B5B" w14:textId="77777777" w:rsidR="0062325B" w:rsidRDefault="00000000">
      <w:pPr>
        <w:pStyle w:val="ListBullet"/>
        <w:spacing w:before="20" w:after="20"/>
        <w:ind w:left="283"/>
      </w:pPr>
      <w:r>
        <w:rPr>
          <w:rFonts w:ascii="Calibri" w:hAnsi="Calibri"/>
          <w:sz w:val="21"/>
        </w:rPr>
        <w:t>Triggers: stress, hormonal, dietary, sleep, environmental</w:t>
      </w:r>
    </w:p>
    <w:p w14:paraId="3BD6C4A3" w14:textId="77777777" w:rsidR="0062325B" w:rsidRDefault="00000000">
      <w:pPr>
        <w:pStyle w:val="ListBullet"/>
        <w:spacing w:before="20" w:after="20"/>
        <w:ind w:left="283"/>
      </w:pPr>
      <w:r>
        <w:rPr>
          <w:rFonts w:ascii="Calibri" w:hAnsi="Calibri"/>
          <w:sz w:val="21"/>
        </w:rPr>
        <w:t>Associated features: nausea, vomiting, photophobia, phonophobia, aura, focal neurology</w:t>
      </w:r>
    </w:p>
    <w:p w14:paraId="39426BFE" w14:textId="77777777" w:rsidR="0062325B" w:rsidRDefault="00000000">
      <w:pPr>
        <w:pStyle w:val="ListBullet"/>
        <w:spacing w:before="20" w:after="20"/>
        <w:ind w:left="283"/>
      </w:pPr>
      <w:r>
        <w:rPr>
          <w:rFonts w:ascii="Calibri" w:hAnsi="Calibri"/>
          <w:sz w:val="21"/>
        </w:rPr>
        <w:t>Positional variation (raised ICP worsens on lying flat)</w:t>
      </w:r>
    </w:p>
    <w:p w14:paraId="4435D3C1" w14:textId="77777777" w:rsidR="0062325B" w:rsidRDefault="00000000">
      <w:pPr>
        <w:pStyle w:val="ListBullet"/>
        <w:spacing w:before="20" w:after="20"/>
        <w:ind w:left="283"/>
      </w:pPr>
      <w:r>
        <w:rPr>
          <w:rFonts w:ascii="Calibri" w:hAnsi="Calibri"/>
          <w:sz w:val="21"/>
        </w:rPr>
        <w:t>Aggravation by coughing/straining (Valsalva → raised ICP)</w:t>
      </w:r>
    </w:p>
    <w:p w14:paraId="60095CD7" w14:textId="77777777" w:rsidR="0062325B" w:rsidRDefault="00000000">
      <w:pPr>
        <w:pStyle w:val="ListBullet"/>
        <w:spacing w:before="20" w:after="20"/>
        <w:ind w:left="283"/>
      </w:pPr>
      <w:r>
        <w:rPr>
          <w:rFonts w:ascii="Calibri" w:hAnsi="Calibri"/>
          <w:sz w:val="21"/>
        </w:rPr>
        <w:t>Sleep disturbance or nocturnal waking (raised ICP, cluster headache)</w:t>
      </w:r>
    </w:p>
    <w:p w14:paraId="623B9A1E" w14:textId="77777777" w:rsidR="0062325B" w:rsidRDefault="00000000">
      <w:pPr>
        <w:pStyle w:val="ListBullet"/>
        <w:spacing w:before="20" w:after="20"/>
        <w:ind w:left="283"/>
      </w:pPr>
      <w:r>
        <w:rPr>
          <w:rFonts w:ascii="Calibri" w:hAnsi="Calibri"/>
          <w:sz w:val="21"/>
        </w:rPr>
        <w:t>Drug history: analgesics, caffeine, stimulants, alcohol, opiates, OCP/HRT</w:t>
      </w:r>
    </w:p>
    <w:p w14:paraId="23944DF6" w14:textId="77777777" w:rsidR="0062325B" w:rsidRDefault="00000000">
      <w:pPr>
        <w:pStyle w:val="ListBullet"/>
        <w:spacing w:before="20" w:after="20"/>
        <w:ind w:left="283"/>
      </w:pPr>
      <w:r>
        <w:rPr>
          <w:rFonts w:ascii="Calibri" w:hAnsi="Calibri"/>
          <w:sz w:val="21"/>
        </w:rPr>
        <w:t>Gas appliances and CO exposure (unserviced boilers)</w:t>
      </w:r>
    </w:p>
    <w:p w14:paraId="0B7FA0C6" w14:textId="77777777" w:rsidR="0062325B" w:rsidRDefault="00000000">
      <w:pPr>
        <w:pStyle w:val="ListBullet"/>
        <w:spacing w:before="20" w:after="20"/>
        <w:ind w:left="283"/>
      </w:pPr>
      <w:r>
        <w:rPr>
          <w:rFonts w:ascii="Calibri" w:hAnsi="Calibri"/>
          <w:sz w:val="21"/>
        </w:rPr>
        <w:t>Occupation: VDU use, stress, ergonomics, RSI</w:t>
      </w:r>
    </w:p>
    <w:p w14:paraId="3A478D91" w14:textId="77777777" w:rsidR="0062325B" w:rsidRDefault="00000000">
      <w:pPr>
        <w:pStyle w:val="ListBullet"/>
        <w:spacing w:before="20" w:after="20"/>
        <w:ind w:left="283"/>
      </w:pPr>
      <w:r>
        <w:rPr>
          <w:rFonts w:ascii="Calibri" w:hAnsi="Calibri"/>
          <w:sz w:val="21"/>
        </w:rPr>
        <w:t>Depression, anxiety, chronic attender status, medically unexplained symptoms</w:t>
      </w:r>
    </w:p>
    <w:p w14:paraId="660ED202" w14:textId="77777777" w:rsidR="0062325B" w:rsidRDefault="00000000">
      <w:pPr>
        <w:pStyle w:val="ListBullet"/>
        <w:spacing w:before="20" w:after="20"/>
        <w:ind w:left="283"/>
      </w:pPr>
      <w:r>
        <w:rPr>
          <w:rFonts w:ascii="Calibri" w:hAnsi="Calibri"/>
          <w:sz w:val="21"/>
        </w:rPr>
        <w:t>Dental history; family history</w:t>
      </w:r>
    </w:p>
    <w:p w14:paraId="619B8ADD" w14:textId="77777777" w:rsidR="0062325B" w:rsidRDefault="00000000">
      <w:pPr>
        <w:pStyle w:val="ListBullet"/>
        <w:spacing w:before="20" w:after="20"/>
        <w:ind w:left="283"/>
      </w:pPr>
      <w:r>
        <w:rPr>
          <w:rFonts w:ascii="Calibri" w:hAnsi="Calibri"/>
          <w:sz w:val="21"/>
        </w:rPr>
        <w:t>Use of headache diary (MIDAS questionnaire — validated tool)</w:t>
      </w:r>
    </w:p>
    <w:p w14:paraId="272B2EF5" w14:textId="77777777" w:rsidR="0062325B" w:rsidRDefault="00000000">
      <w:pPr>
        <w:spacing w:before="40" w:after="40"/>
      </w:pPr>
      <w:r>
        <w:rPr>
          <w:rFonts w:ascii="Calibri" w:hAnsi="Calibri"/>
          <w:color w:val="007070"/>
          <w:sz w:val="21"/>
        </w:rPr>
        <w:br/>
        <w:t>Key clinical tool: MIDAS (Migraine Disability Assessment Score) — quantifies functional impact; guides treatment decisions.</w:t>
      </w:r>
    </w:p>
    <w:p w14:paraId="3EB52B58" w14:textId="77777777" w:rsidR="0062325B" w:rsidRDefault="0062325B"/>
    <w:p w14:paraId="474CAD9A" w14:textId="77777777" w:rsidR="0062325B" w:rsidRDefault="00000000">
      <w:pPr>
        <w:pBdr>
          <w:bottom w:val="single" w:sz="6" w:space="1" w:color="E0651F"/>
        </w:pBdr>
        <w:spacing w:before="240" w:after="80"/>
      </w:pPr>
      <w:r>
        <w:rPr>
          <w:rFonts w:ascii="Calibri" w:hAnsi="Calibri"/>
          <w:b/>
          <w:color w:val="C00000"/>
          <w:sz w:val="28"/>
        </w:rPr>
        <w:t>2. Red Flags — SNOOP4 Screening Tool</w:t>
      </w:r>
    </w:p>
    <w:p w14:paraId="63ACD698" w14:textId="77777777" w:rsidR="0062325B" w:rsidRDefault="00000000">
      <w:pPr>
        <w:spacing w:before="40" w:after="40"/>
      </w:pPr>
      <w:r>
        <w:rPr>
          <w:rFonts w:ascii="Calibri" w:hAnsi="Calibri"/>
        </w:rPr>
        <w:t>Apply red flag screening to EVERY headache consultation (NICE CKS 2022):</w:t>
      </w:r>
    </w:p>
    <w:tbl>
      <w:tblPr>
        <w:tblStyle w:val="TableGrid"/>
        <w:tblW w:w="0" w:type="auto"/>
        <w:tblLook w:val="04A0" w:firstRow="1" w:lastRow="0" w:firstColumn="1" w:lastColumn="0" w:noHBand="0" w:noVBand="1"/>
      </w:tblPr>
      <w:tblGrid>
        <w:gridCol w:w="3135"/>
        <w:gridCol w:w="3135"/>
        <w:gridCol w:w="3135"/>
      </w:tblGrid>
      <w:tr w:rsidR="0062325B" w14:paraId="108EFAA8" w14:textId="77777777">
        <w:tc>
          <w:tcPr>
            <w:tcW w:w="3135" w:type="dxa"/>
            <w:shd w:val="clear" w:color="auto" w:fill="1A3A5C"/>
          </w:tcPr>
          <w:p w14:paraId="78B16367" w14:textId="77777777" w:rsidR="0062325B" w:rsidRDefault="00000000">
            <w:r>
              <w:rPr>
                <w:rFonts w:ascii="Calibri" w:hAnsi="Calibri"/>
                <w:b/>
                <w:color w:val="FFFFFF"/>
                <w:sz w:val="20"/>
              </w:rPr>
              <w:t>Letter</w:t>
            </w:r>
          </w:p>
        </w:tc>
        <w:tc>
          <w:tcPr>
            <w:tcW w:w="3135" w:type="dxa"/>
            <w:shd w:val="clear" w:color="auto" w:fill="1A3A5C"/>
          </w:tcPr>
          <w:p w14:paraId="483F4C9F" w14:textId="77777777" w:rsidR="0062325B" w:rsidRDefault="00000000">
            <w:r>
              <w:rPr>
                <w:rFonts w:ascii="Calibri" w:hAnsi="Calibri"/>
                <w:b/>
                <w:color w:val="FFFFFF"/>
                <w:sz w:val="20"/>
              </w:rPr>
              <w:t>Feature</w:t>
            </w:r>
          </w:p>
        </w:tc>
        <w:tc>
          <w:tcPr>
            <w:tcW w:w="3135" w:type="dxa"/>
            <w:shd w:val="clear" w:color="auto" w:fill="1A3A5C"/>
          </w:tcPr>
          <w:p w14:paraId="3F6B404F" w14:textId="77777777" w:rsidR="0062325B" w:rsidRDefault="00000000">
            <w:r>
              <w:rPr>
                <w:rFonts w:ascii="Calibri" w:hAnsi="Calibri"/>
                <w:b/>
                <w:color w:val="FFFFFF"/>
                <w:sz w:val="20"/>
              </w:rPr>
              <w:t>Clinical Significance</w:t>
            </w:r>
          </w:p>
        </w:tc>
      </w:tr>
      <w:tr w:rsidR="0062325B" w14:paraId="6CDFC82D" w14:textId="77777777">
        <w:tc>
          <w:tcPr>
            <w:tcW w:w="3135" w:type="dxa"/>
            <w:shd w:val="clear" w:color="auto" w:fill="FFF0F0"/>
          </w:tcPr>
          <w:p w14:paraId="5832BE58" w14:textId="77777777" w:rsidR="0062325B" w:rsidRDefault="00000000">
            <w:r>
              <w:rPr>
                <w:rFonts w:ascii="Calibri" w:hAnsi="Calibri"/>
                <w:b/>
                <w:color w:val="C00000"/>
                <w:sz w:val="20"/>
              </w:rPr>
              <w:t>S</w:t>
            </w:r>
          </w:p>
        </w:tc>
        <w:tc>
          <w:tcPr>
            <w:tcW w:w="3135" w:type="dxa"/>
            <w:shd w:val="clear" w:color="auto" w:fill="FFF0F0"/>
          </w:tcPr>
          <w:p w14:paraId="2DBD2277" w14:textId="77777777" w:rsidR="0062325B" w:rsidRDefault="00000000">
            <w:r>
              <w:rPr>
                <w:rFonts w:ascii="Calibri" w:hAnsi="Calibri"/>
                <w:sz w:val="20"/>
              </w:rPr>
              <w:t>Systemic</w:t>
            </w:r>
          </w:p>
        </w:tc>
        <w:tc>
          <w:tcPr>
            <w:tcW w:w="3135" w:type="dxa"/>
            <w:shd w:val="clear" w:color="auto" w:fill="FFF0F0"/>
          </w:tcPr>
          <w:p w14:paraId="4BE009AB" w14:textId="77777777" w:rsidR="0062325B" w:rsidRDefault="00000000">
            <w:r>
              <w:rPr>
                <w:rFonts w:ascii="Calibri" w:hAnsi="Calibri"/>
                <w:sz w:val="20"/>
              </w:rPr>
              <w:t>Fever, weight loss, HIV/immunosuppression, malignancy</w:t>
            </w:r>
          </w:p>
        </w:tc>
      </w:tr>
      <w:tr w:rsidR="0062325B" w14:paraId="102213D0" w14:textId="77777777">
        <w:tc>
          <w:tcPr>
            <w:tcW w:w="3135" w:type="dxa"/>
            <w:shd w:val="clear" w:color="auto" w:fill="FFFFFF"/>
          </w:tcPr>
          <w:p w14:paraId="600F4521" w14:textId="77777777" w:rsidR="0062325B" w:rsidRDefault="00000000">
            <w:r>
              <w:rPr>
                <w:rFonts w:ascii="Calibri" w:hAnsi="Calibri"/>
                <w:b/>
                <w:color w:val="C00000"/>
                <w:sz w:val="20"/>
              </w:rPr>
              <w:t>N</w:t>
            </w:r>
          </w:p>
        </w:tc>
        <w:tc>
          <w:tcPr>
            <w:tcW w:w="3135" w:type="dxa"/>
            <w:shd w:val="clear" w:color="auto" w:fill="FFFFFF"/>
          </w:tcPr>
          <w:p w14:paraId="44DBFAA6" w14:textId="77777777" w:rsidR="0062325B" w:rsidRDefault="00000000">
            <w:r>
              <w:rPr>
                <w:rFonts w:ascii="Calibri" w:hAnsi="Calibri"/>
                <w:sz w:val="20"/>
              </w:rPr>
              <w:t>Neurological</w:t>
            </w:r>
          </w:p>
        </w:tc>
        <w:tc>
          <w:tcPr>
            <w:tcW w:w="3135" w:type="dxa"/>
            <w:shd w:val="clear" w:color="auto" w:fill="FFFFFF"/>
          </w:tcPr>
          <w:p w14:paraId="462B8F37" w14:textId="77777777" w:rsidR="0062325B" w:rsidRDefault="00000000">
            <w:r>
              <w:rPr>
                <w:rFonts w:ascii="Calibri" w:hAnsi="Calibri"/>
                <w:sz w:val="20"/>
              </w:rPr>
              <w:t>Focal deficit, confusion, impaired consciousness, papilloedema</w:t>
            </w:r>
          </w:p>
        </w:tc>
      </w:tr>
      <w:tr w:rsidR="0062325B" w14:paraId="0D1E966D" w14:textId="77777777">
        <w:tc>
          <w:tcPr>
            <w:tcW w:w="3135" w:type="dxa"/>
            <w:shd w:val="clear" w:color="auto" w:fill="FFF0F0"/>
          </w:tcPr>
          <w:p w14:paraId="065EDC72" w14:textId="77777777" w:rsidR="0062325B" w:rsidRDefault="00000000">
            <w:r>
              <w:rPr>
                <w:rFonts w:ascii="Calibri" w:hAnsi="Calibri"/>
                <w:b/>
                <w:color w:val="C00000"/>
                <w:sz w:val="20"/>
              </w:rPr>
              <w:t>O</w:t>
            </w:r>
          </w:p>
        </w:tc>
        <w:tc>
          <w:tcPr>
            <w:tcW w:w="3135" w:type="dxa"/>
            <w:shd w:val="clear" w:color="auto" w:fill="FFF0F0"/>
          </w:tcPr>
          <w:p w14:paraId="003BB8A4" w14:textId="77777777" w:rsidR="0062325B" w:rsidRDefault="00000000">
            <w:r>
              <w:rPr>
                <w:rFonts w:ascii="Calibri" w:hAnsi="Calibri"/>
                <w:sz w:val="20"/>
              </w:rPr>
              <w:t>Onset</w:t>
            </w:r>
          </w:p>
        </w:tc>
        <w:tc>
          <w:tcPr>
            <w:tcW w:w="3135" w:type="dxa"/>
            <w:shd w:val="clear" w:color="auto" w:fill="FFF0F0"/>
          </w:tcPr>
          <w:p w14:paraId="0E271A09" w14:textId="77777777" w:rsidR="0062325B" w:rsidRDefault="00000000">
            <w:r>
              <w:rPr>
                <w:rFonts w:ascii="Calibri" w:hAnsi="Calibri"/>
                <w:sz w:val="20"/>
              </w:rPr>
              <w:t>Thunderclap — "worst headache of life" → SAH until proven otherwise</w:t>
            </w:r>
          </w:p>
        </w:tc>
      </w:tr>
      <w:tr w:rsidR="0062325B" w14:paraId="418C4515" w14:textId="77777777">
        <w:tc>
          <w:tcPr>
            <w:tcW w:w="3135" w:type="dxa"/>
            <w:shd w:val="clear" w:color="auto" w:fill="FFFFFF"/>
          </w:tcPr>
          <w:p w14:paraId="697D9C8F" w14:textId="77777777" w:rsidR="0062325B" w:rsidRDefault="00000000">
            <w:r>
              <w:rPr>
                <w:rFonts w:ascii="Calibri" w:hAnsi="Calibri"/>
                <w:b/>
                <w:color w:val="C00000"/>
                <w:sz w:val="20"/>
              </w:rPr>
              <w:t>O</w:t>
            </w:r>
          </w:p>
        </w:tc>
        <w:tc>
          <w:tcPr>
            <w:tcW w:w="3135" w:type="dxa"/>
            <w:shd w:val="clear" w:color="auto" w:fill="FFFFFF"/>
          </w:tcPr>
          <w:p w14:paraId="12EBF87E" w14:textId="77777777" w:rsidR="0062325B" w:rsidRDefault="00000000">
            <w:r>
              <w:rPr>
                <w:rFonts w:ascii="Calibri" w:hAnsi="Calibri"/>
                <w:sz w:val="20"/>
              </w:rPr>
              <w:t>Older Age</w:t>
            </w:r>
          </w:p>
        </w:tc>
        <w:tc>
          <w:tcPr>
            <w:tcW w:w="3135" w:type="dxa"/>
            <w:shd w:val="clear" w:color="auto" w:fill="FFFFFF"/>
          </w:tcPr>
          <w:p w14:paraId="01A8BDF6" w14:textId="77777777" w:rsidR="0062325B" w:rsidRDefault="00000000">
            <w:r>
              <w:rPr>
                <w:rFonts w:ascii="Calibri" w:hAnsi="Calibri"/>
                <w:sz w:val="20"/>
              </w:rPr>
              <w:t>New headache over age 50 → GCA, malignancy</w:t>
            </w:r>
          </w:p>
        </w:tc>
      </w:tr>
      <w:tr w:rsidR="0062325B" w14:paraId="4068EAAA" w14:textId="77777777">
        <w:tc>
          <w:tcPr>
            <w:tcW w:w="3135" w:type="dxa"/>
            <w:shd w:val="clear" w:color="auto" w:fill="FFF0F0"/>
          </w:tcPr>
          <w:p w14:paraId="3D4311BE" w14:textId="77777777" w:rsidR="0062325B" w:rsidRDefault="00000000">
            <w:r>
              <w:rPr>
                <w:rFonts w:ascii="Calibri" w:hAnsi="Calibri"/>
                <w:b/>
                <w:color w:val="C00000"/>
                <w:sz w:val="20"/>
              </w:rPr>
              <w:lastRenderedPageBreak/>
              <w:t>P</w:t>
            </w:r>
          </w:p>
        </w:tc>
        <w:tc>
          <w:tcPr>
            <w:tcW w:w="3135" w:type="dxa"/>
            <w:shd w:val="clear" w:color="auto" w:fill="FFF0F0"/>
          </w:tcPr>
          <w:p w14:paraId="510C8688" w14:textId="77777777" w:rsidR="0062325B" w:rsidRDefault="00000000">
            <w:r>
              <w:rPr>
                <w:rFonts w:ascii="Calibri" w:hAnsi="Calibri"/>
                <w:sz w:val="20"/>
              </w:rPr>
              <w:t>Progressive</w:t>
            </w:r>
          </w:p>
        </w:tc>
        <w:tc>
          <w:tcPr>
            <w:tcW w:w="3135" w:type="dxa"/>
            <w:shd w:val="clear" w:color="auto" w:fill="FFF0F0"/>
          </w:tcPr>
          <w:p w14:paraId="6891E772" w14:textId="77777777" w:rsidR="0062325B" w:rsidRDefault="00000000">
            <w:r>
              <w:rPr>
                <w:rFonts w:ascii="Calibri" w:hAnsi="Calibri"/>
                <w:sz w:val="20"/>
              </w:rPr>
              <w:t>Worsening over days/weeks</w:t>
            </w:r>
          </w:p>
        </w:tc>
      </w:tr>
      <w:tr w:rsidR="0062325B" w14:paraId="11F6E294" w14:textId="77777777">
        <w:tc>
          <w:tcPr>
            <w:tcW w:w="3135" w:type="dxa"/>
            <w:shd w:val="clear" w:color="auto" w:fill="FFFFFF"/>
          </w:tcPr>
          <w:p w14:paraId="13FF44F7" w14:textId="77777777" w:rsidR="0062325B" w:rsidRDefault="00000000">
            <w:r>
              <w:rPr>
                <w:rFonts w:ascii="Calibri" w:hAnsi="Calibri"/>
                <w:b/>
                <w:color w:val="C00000"/>
                <w:sz w:val="20"/>
              </w:rPr>
              <w:t>P²</w:t>
            </w:r>
          </w:p>
        </w:tc>
        <w:tc>
          <w:tcPr>
            <w:tcW w:w="3135" w:type="dxa"/>
            <w:shd w:val="clear" w:color="auto" w:fill="FFFFFF"/>
          </w:tcPr>
          <w:p w14:paraId="43057CF7" w14:textId="77777777" w:rsidR="0062325B" w:rsidRDefault="00000000">
            <w:r>
              <w:rPr>
                <w:rFonts w:ascii="Calibri" w:hAnsi="Calibri"/>
                <w:sz w:val="20"/>
              </w:rPr>
              <w:t>Precipitated by Valsalva</w:t>
            </w:r>
          </w:p>
        </w:tc>
        <w:tc>
          <w:tcPr>
            <w:tcW w:w="3135" w:type="dxa"/>
            <w:shd w:val="clear" w:color="auto" w:fill="FFFFFF"/>
          </w:tcPr>
          <w:p w14:paraId="4497E347" w14:textId="77777777" w:rsidR="0062325B" w:rsidRDefault="00000000">
            <w:r>
              <w:rPr>
                <w:rFonts w:ascii="Calibri" w:hAnsi="Calibri"/>
                <w:sz w:val="20"/>
              </w:rPr>
              <w:t>Cough/sneeze/exercise → raised ICP</w:t>
            </w:r>
          </w:p>
        </w:tc>
      </w:tr>
      <w:tr w:rsidR="0062325B" w14:paraId="7F347506" w14:textId="77777777">
        <w:tc>
          <w:tcPr>
            <w:tcW w:w="3135" w:type="dxa"/>
            <w:shd w:val="clear" w:color="auto" w:fill="FFF0F0"/>
          </w:tcPr>
          <w:p w14:paraId="475EFBB1" w14:textId="77777777" w:rsidR="0062325B" w:rsidRDefault="00000000">
            <w:r>
              <w:rPr>
                <w:rFonts w:ascii="Calibri" w:hAnsi="Calibri"/>
                <w:b/>
                <w:color w:val="C00000"/>
                <w:sz w:val="20"/>
              </w:rPr>
              <w:t>P³</w:t>
            </w:r>
          </w:p>
        </w:tc>
        <w:tc>
          <w:tcPr>
            <w:tcW w:w="3135" w:type="dxa"/>
            <w:shd w:val="clear" w:color="auto" w:fill="FFF0F0"/>
          </w:tcPr>
          <w:p w14:paraId="21EA8A6C" w14:textId="77777777" w:rsidR="0062325B" w:rsidRDefault="00000000">
            <w:r>
              <w:rPr>
                <w:rFonts w:ascii="Calibri" w:hAnsi="Calibri"/>
                <w:sz w:val="20"/>
              </w:rPr>
              <w:t>Postural</w:t>
            </w:r>
          </w:p>
        </w:tc>
        <w:tc>
          <w:tcPr>
            <w:tcW w:w="3135" w:type="dxa"/>
            <w:shd w:val="clear" w:color="auto" w:fill="FFF0F0"/>
          </w:tcPr>
          <w:p w14:paraId="3DCD11E6" w14:textId="77777777" w:rsidR="0062325B" w:rsidRDefault="00000000">
            <w:r>
              <w:rPr>
                <w:rFonts w:ascii="Calibri" w:hAnsi="Calibri"/>
                <w:sz w:val="20"/>
              </w:rPr>
              <w:t>Worse on bending/lying flat → raised ICP or CSF leak</w:t>
            </w:r>
          </w:p>
        </w:tc>
      </w:tr>
      <w:tr w:rsidR="0062325B" w14:paraId="41E762EC" w14:textId="77777777">
        <w:tc>
          <w:tcPr>
            <w:tcW w:w="3135" w:type="dxa"/>
            <w:shd w:val="clear" w:color="auto" w:fill="FFFFFF"/>
          </w:tcPr>
          <w:p w14:paraId="1A7A6A88" w14:textId="77777777" w:rsidR="0062325B" w:rsidRDefault="00000000">
            <w:r>
              <w:rPr>
                <w:rFonts w:ascii="Calibri" w:hAnsi="Calibri"/>
                <w:b/>
                <w:color w:val="C00000"/>
                <w:sz w:val="20"/>
              </w:rPr>
              <w:t>P⁴</w:t>
            </w:r>
          </w:p>
        </w:tc>
        <w:tc>
          <w:tcPr>
            <w:tcW w:w="3135" w:type="dxa"/>
            <w:shd w:val="clear" w:color="auto" w:fill="FFFFFF"/>
          </w:tcPr>
          <w:p w14:paraId="6555A6EA" w14:textId="77777777" w:rsidR="0062325B" w:rsidRDefault="00000000">
            <w:r>
              <w:rPr>
                <w:rFonts w:ascii="Calibri" w:hAnsi="Calibri"/>
                <w:sz w:val="20"/>
              </w:rPr>
              <w:t>Papilloedema</w:t>
            </w:r>
          </w:p>
        </w:tc>
        <w:tc>
          <w:tcPr>
            <w:tcW w:w="3135" w:type="dxa"/>
            <w:shd w:val="clear" w:color="auto" w:fill="FFFFFF"/>
          </w:tcPr>
          <w:p w14:paraId="21F1521A" w14:textId="77777777" w:rsidR="0062325B" w:rsidRDefault="00000000">
            <w:r>
              <w:rPr>
                <w:rFonts w:ascii="Calibri" w:hAnsi="Calibri"/>
                <w:sz w:val="20"/>
              </w:rPr>
              <w:t>On fundoscopy → raised ICP</w:t>
            </w:r>
          </w:p>
        </w:tc>
      </w:tr>
    </w:tbl>
    <w:p w14:paraId="64CAC967" w14:textId="77777777" w:rsidR="0062325B" w:rsidRDefault="0062325B"/>
    <w:tbl>
      <w:tblPr>
        <w:tblW w:w="0" w:type="auto"/>
        <w:tblLook w:val="04A0" w:firstRow="1" w:lastRow="0" w:firstColumn="1" w:lastColumn="0" w:noHBand="0" w:noVBand="1"/>
      </w:tblPr>
      <w:tblGrid>
        <w:gridCol w:w="9406"/>
      </w:tblGrid>
      <w:tr w:rsidR="0062325B" w14:paraId="7D7E8A35" w14:textId="77777777">
        <w:tc>
          <w:tcPr>
            <w:tcW w:w="9406" w:type="dxa"/>
            <w:shd w:val="clear" w:color="auto" w:fill="FFD7D7"/>
          </w:tcPr>
          <w:p w14:paraId="529D742B" w14:textId="77777777" w:rsidR="0062325B" w:rsidRDefault="00000000">
            <w:pPr>
              <w:spacing w:before="80" w:after="80"/>
              <w:ind w:left="170"/>
            </w:pPr>
            <w:r>
              <w:rPr>
                <w:b/>
                <w:color w:val="C00000"/>
                <w:sz w:val="20"/>
              </w:rPr>
              <w:t xml:space="preserve">🚨 EMERGENCY: </w:t>
            </w:r>
            <w:r>
              <w:rPr>
                <w:rFonts w:ascii="Calibri" w:hAnsi="Calibri"/>
                <w:color w:val="C00000"/>
                <w:sz w:val="20"/>
              </w:rPr>
              <w:t>THUNDERCLAP HEADACHE: Call 999 immediately. Assume subarachnoid haemorrhage until proven otherwise. Do NOT prescribe analgesia and send home.</w:t>
            </w:r>
          </w:p>
        </w:tc>
      </w:tr>
    </w:tbl>
    <w:p w14:paraId="7A89055E" w14:textId="77777777" w:rsidR="0062325B" w:rsidRDefault="0062325B"/>
    <w:tbl>
      <w:tblPr>
        <w:tblW w:w="0" w:type="auto"/>
        <w:tblLook w:val="04A0" w:firstRow="1" w:lastRow="0" w:firstColumn="1" w:lastColumn="0" w:noHBand="0" w:noVBand="1"/>
      </w:tblPr>
      <w:tblGrid>
        <w:gridCol w:w="9406"/>
      </w:tblGrid>
      <w:tr w:rsidR="0062325B" w14:paraId="106A513E" w14:textId="77777777">
        <w:tc>
          <w:tcPr>
            <w:tcW w:w="9406" w:type="dxa"/>
            <w:shd w:val="clear" w:color="auto" w:fill="FFD7D7"/>
          </w:tcPr>
          <w:p w14:paraId="759FD990" w14:textId="77777777" w:rsidR="0062325B" w:rsidRDefault="00000000">
            <w:pPr>
              <w:spacing w:before="80" w:after="80"/>
              <w:ind w:left="170"/>
            </w:pPr>
            <w:r>
              <w:rPr>
                <w:b/>
                <w:color w:val="C00000"/>
                <w:sz w:val="20"/>
              </w:rPr>
              <w:t xml:space="preserve">🚨 SIGHT-THREATENING: </w:t>
            </w:r>
            <w:r>
              <w:rPr>
                <w:rFonts w:ascii="Calibri" w:hAnsi="Calibri"/>
                <w:color w:val="C00000"/>
                <w:sz w:val="20"/>
              </w:rPr>
              <w:t>Giant Cell Arteritis (age &gt;50): Start prednisolone 40–60mg SAME DAY. Do not wait for biopsy or ESR result. Risk: irreversible bilateral blindness.</w:t>
            </w:r>
          </w:p>
        </w:tc>
      </w:tr>
    </w:tbl>
    <w:p w14:paraId="59BB689A" w14:textId="77777777" w:rsidR="0062325B" w:rsidRDefault="0062325B"/>
    <w:p w14:paraId="05A8B4D0" w14:textId="77777777" w:rsidR="0062325B" w:rsidRDefault="00000000">
      <w:pPr>
        <w:pBdr>
          <w:bottom w:val="single" w:sz="6" w:space="1" w:color="E0651F"/>
        </w:pBdr>
        <w:spacing w:before="240" w:after="80"/>
      </w:pPr>
      <w:r>
        <w:rPr>
          <w:rFonts w:ascii="Calibri" w:hAnsi="Calibri"/>
          <w:b/>
          <w:color w:val="1A3A5C"/>
          <w:sz w:val="28"/>
        </w:rPr>
        <w:t>3. Salient Points on Examination</w:t>
      </w:r>
    </w:p>
    <w:p w14:paraId="342D5360" w14:textId="77777777" w:rsidR="0062325B" w:rsidRDefault="00000000">
      <w:pPr>
        <w:pStyle w:val="ListBullet"/>
        <w:spacing w:before="20" w:after="20"/>
        <w:ind w:left="283"/>
      </w:pPr>
      <w:r>
        <w:rPr>
          <w:rFonts w:ascii="Calibri" w:hAnsi="Calibri"/>
          <w:sz w:val="21"/>
        </w:rPr>
        <w:t>Temperature, blood pressure, pulse — essential at every headache consultation</w:t>
      </w:r>
    </w:p>
    <w:p w14:paraId="49E44C1D" w14:textId="77777777" w:rsidR="0062325B" w:rsidRDefault="00000000">
      <w:pPr>
        <w:pStyle w:val="ListBullet"/>
        <w:spacing w:before="20" w:after="20"/>
        <w:ind w:left="283"/>
      </w:pPr>
      <w:r>
        <w:rPr>
          <w:rFonts w:ascii="Calibri" w:hAnsi="Calibri"/>
          <w:sz w:val="21"/>
        </w:rPr>
        <w:t>Fundoscopy — exclude papilloedema and hypertensive retinopathy</w:t>
      </w:r>
    </w:p>
    <w:p w14:paraId="5648BDE4" w14:textId="77777777" w:rsidR="0062325B" w:rsidRDefault="00000000">
      <w:pPr>
        <w:pStyle w:val="ListBullet"/>
        <w:spacing w:before="20" w:after="20"/>
        <w:ind w:left="283"/>
      </w:pPr>
      <w:r>
        <w:rPr>
          <w:rFonts w:ascii="Calibri" w:hAnsi="Calibri"/>
          <w:sz w:val="21"/>
        </w:rPr>
        <w:t>3-minute neurological screen: cranial nerves, limb power, coordination, speech</w:t>
      </w:r>
    </w:p>
    <w:p w14:paraId="3FA9A700" w14:textId="77777777" w:rsidR="0062325B" w:rsidRDefault="00000000">
      <w:pPr>
        <w:pStyle w:val="ListBullet"/>
        <w:spacing w:before="20" w:after="20"/>
        <w:ind w:left="283"/>
      </w:pPr>
      <w:r>
        <w:rPr>
          <w:rFonts w:ascii="Calibri" w:hAnsi="Calibri"/>
          <w:sz w:val="21"/>
        </w:rPr>
        <w:t>Temporal arteries — palpate for tenderness, thickening, reduced pulsation (GCA)</w:t>
      </w:r>
    </w:p>
    <w:p w14:paraId="6A78764D" w14:textId="77777777" w:rsidR="0062325B" w:rsidRDefault="00000000">
      <w:pPr>
        <w:pStyle w:val="ListBullet"/>
        <w:spacing w:before="20" w:after="20"/>
        <w:ind w:left="283"/>
      </w:pPr>
      <w:r>
        <w:rPr>
          <w:rFonts w:ascii="Calibri" w:hAnsi="Calibri"/>
          <w:sz w:val="21"/>
        </w:rPr>
        <w:t>Meningism — neck stiffness, Kernig's sign (meningitis/SAH)</w:t>
      </w:r>
    </w:p>
    <w:p w14:paraId="2A5F56DE" w14:textId="77777777" w:rsidR="0062325B" w:rsidRDefault="00000000">
      <w:pPr>
        <w:pStyle w:val="ListBullet"/>
        <w:spacing w:before="20" w:after="20"/>
        <w:ind w:left="283"/>
      </w:pPr>
      <w:r>
        <w:rPr>
          <w:rFonts w:ascii="Calibri" w:hAnsi="Calibri"/>
          <w:sz w:val="21"/>
        </w:rPr>
        <w:t>TMJ (temporomandibular joint) — crepitus, restricted opening</w:t>
      </w:r>
    </w:p>
    <w:p w14:paraId="269455E5" w14:textId="77777777" w:rsidR="0062325B" w:rsidRDefault="00000000">
      <w:pPr>
        <w:pStyle w:val="ListBullet"/>
        <w:spacing w:before="20" w:after="20"/>
        <w:ind w:left="283"/>
      </w:pPr>
      <w:r>
        <w:rPr>
          <w:rFonts w:ascii="Calibri" w:hAnsi="Calibri"/>
          <w:sz w:val="21"/>
        </w:rPr>
        <w:t>Cervical spine — tenderness, restricted movement (cervicogenic)</w:t>
      </w:r>
    </w:p>
    <w:p w14:paraId="23B00477" w14:textId="77777777" w:rsidR="0062325B" w:rsidRDefault="00000000">
      <w:pPr>
        <w:pStyle w:val="ListBullet"/>
        <w:spacing w:before="20" w:after="20"/>
        <w:ind w:left="283"/>
      </w:pPr>
      <w:r>
        <w:rPr>
          <w:rFonts w:ascii="Calibri" w:hAnsi="Calibri"/>
          <w:sz w:val="21"/>
        </w:rPr>
        <w:t>Sinus tenderness — over frontal and maxillary sinuses</w:t>
      </w:r>
    </w:p>
    <w:p w14:paraId="32A80DA4" w14:textId="77777777" w:rsidR="0062325B" w:rsidRDefault="00000000">
      <w:pPr>
        <w:pStyle w:val="ListBullet"/>
        <w:spacing w:before="20" w:after="20"/>
        <w:ind w:left="283"/>
      </w:pPr>
      <w:r>
        <w:rPr>
          <w:rFonts w:ascii="Calibri" w:hAnsi="Calibri"/>
          <w:sz w:val="21"/>
        </w:rPr>
        <w:t>Mental state assessment</w:t>
      </w:r>
    </w:p>
    <w:p w14:paraId="74202032" w14:textId="77777777" w:rsidR="0062325B" w:rsidRDefault="0062325B"/>
    <w:p w14:paraId="0F801348" w14:textId="77777777" w:rsidR="0062325B" w:rsidRPr="00FA109F" w:rsidRDefault="00000000">
      <w:pPr>
        <w:pBdr>
          <w:bottom w:val="single" w:sz="6" w:space="1" w:color="E0651F"/>
        </w:pBdr>
        <w:spacing w:before="240" w:after="80"/>
        <w:rPr>
          <w:lang w:val="it-IT"/>
        </w:rPr>
      </w:pPr>
      <w:r w:rsidRPr="00FA109F">
        <w:rPr>
          <w:rFonts w:ascii="Calibri" w:hAnsi="Calibri"/>
          <w:b/>
          <w:color w:val="1A3A5C"/>
          <w:sz w:val="28"/>
          <w:lang w:val="it-IT"/>
        </w:rPr>
        <w:t>4. Diagnostic Criteria (IHS / NICE CG150 Dec 2025)</w:t>
      </w:r>
    </w:p>
    <w:p w14:paraId="3F706109" w14:textId="77777777" w:rsidR="0062325B" w:rsidRDefault="00000000">
      <w:pPr>
        <w:spacing w:before="40" w:after="40"/>
      </w:pPr>
      <w:r>
        <w:rPr>
          <w:rFonts w:ascii="Calibri" w:hAnsi="Calibri"/>
          <w:b/>
        </w:rPr>
        <w:t>Migraine Without Aura (Common Migraine — 75%)</w:t>
      </w:r>
    </w:p>
    <w:p w14:paraId="554772BB" w14:textId="77777777" w:rsidR="0062325B" w:rsidRDefault="00000000">
      <w:pPr>
        <w:pStyle w:val="ListBullet"/>
        <w:spacing w:before="20" w:after="20"/>
        <w:ind w:left="283"/>
      </w:pPr>
      <w:r>
        <w:rPr>
          <w:rFonts w:ascii="Calibri" w:hAnsi="Calibri"/>
          <w:sz w:val="21"/>
        </w:rPr>
        <w:t>≥5 attacks; duration 4–72 hours</w:t>
      </w:r>
    </w:p>
    <w:p w14:paraId="31094F52" w14:textId="77777777" w:rsidR="0062325B" w:rsidRDefault="00000000">
      <w:pPr>
        <w:pStyle w:val="ListBullet"/>
        <w:spacing w:before="20" w:after="20"/>
        <w:ind w:left="283"/>
      </w:pPr>
      <w:r>
        <w:rPr>
          <w:rFonts w:ascii="Calibri" w:hAnsi="Calibri"/>
          <w:sz w:val="21"/>
        </w:rPr>
        <w:t>At least 2 of: unilateral / pulsating / moderate–severe intensity / aggravated by routine activity</w:t>
      </w:r>
    </w:p>
    <w:p w14:paraId="4D34B908" w14:textId="77777777" w:rsidR="0062325B" w:rsidRDefault="00000000">
      <w:pPr>
        <w:pStyle w:val="ListBullet"/>
        <w:spacing w:before="20" w:after="20"/>
        <w:ind w:left="283"/>
      </w:pPr>
      <w:r>
        <w:rPr>
          <w:rFonts w:ascii="Calibri" w:hAnsi="Calibri"/>
          <w:sz w:val="21"/>
        </w:rPr>
        <w:t>Plus at least 1 of: nausea or vomiting / photophobia AND phonophobia</w:t>
      </w:r>
    </w:p>
    <w:p w14:paraId="7AAB433E" w14:textId="77777777" w:rsidR="0062325B" w:rsidRDefault="0062325B"/>
    <w:p w14:paraId="173F8B7A" w14:textId="77777777" w:rsidR="0062325B" w:rsidRDefault="00000000">
      <w:pPr>
        <w:spacing w:before="40" w:after="40"/>
      </w:pPr>
      <w:r>
        <w:rPr>
          <w:rFonts w:ascii="Calibri" w:hAnsi="Calibri"/>
          <w:b/>
        </w:rPr>
        <w:t>Migraine With Aura (Classical Migraine — 25%)</w:t>
      </w:r>
    </w:p>
    <w:p w14:paraId="7BD674CC" w14:textId="77777777" w:rsidR="0062325B" w:rsidRDefault="00000000">
      <w:pPr>
        <w:pStyle w:val="ListBullet"/>
        <w:spacing w:before="20" w:after="20"/>
        <w:ind w:left="283"/>
      </w:pPr>
      <w:r>
        <w:rPr>
          <w:rFonts w:ascii="Calibri" w:hAnsi="Calibri"/>
          <w:sz w:val="21"/>
        </w:rPr>
        <w:t>≥2 attacks; aura symptoms fully reversible; develop gradually over 5–20 min; last &lt;60 min</w:t>
      </w:r>
    </w:p>
    <w:p w14:paraId="6D4BC020" w14:textId="77777777" w:rsidR="0062325B" w:rsidRDefault="00000000">
      <w:pPr>
        <w:pStyle w:val="ListBullet"/>
        <w:spacing w:before="20" w:after="20"/>
        <w:ind w:left="283"/>
      </w:pPr>
      <w:r>
        <w:rPr>
          <w:rFonts w:ascii="Calibri" w:hAnsi="Calibri"/>
          <w:sz w:val="21"/>
        </w:rPr>
        <w:t>Aura types: visual (99% — scotoma, fortification), sensory (31%), speech (18%), motor (6%)</w:t>
      </w:r>
    </w:p>
    <w:p w14:paraId="0E167BF2" w14:textId="77777777" w:rsidR="0062325B" w:rsidRDefault="00000000">
      <w:pPr>
        <w:pStyle w:val="ListBullet"/>
        <w:spacing w:before="20" w:after="20"/>
        <w:ind w:left="283"/>
      </w:pPr>
      <w:r>
        <w:rPr>
          <w:rFonts w:ascii="Calibri" w:hAnsi="Calibri"/>
          <w:sz w:val="21"/>
        </w:rPr>
        <w:t>Headache usually follows within 60 min of aura resolution (may overlap)</w:t>
      </w:r>
    </w:p>
    <w:p w14:paraId="0F9DB12F" w14:textId="77777777" w:rsidR="0062325B" w:rsidRDefault="0062325B"/>
    <w:p w14:paraId="4D5EA532" w14:textId="77777777" w:rsidR="00FA109F" w:rsidRDefault="00FA109F">
      <w:pPr>
        <w:rPr>
          <w:rFonts w:ascii="Calibri" w:hAnsi="Calibri"/>
          <w:b/>
        </w:rPr>
      </w:pPr>
      <w:r>
        <w:rPr>
          <w:rFonts w:ascii="Calibri" w:hAnsi="Calibri"/>
          <w:b/>
        </w:rPr>
        <w:br w:type="page"/>
      </w:r>
    </w:p>
    <w:p w14:paraId="2FA30961" w14:textId="69F093B0" w:rsidR="0062325B" w:rsidRDefault="00000000">
      <w:pPr>
        <w:spacing w:before="40" w:after="40"/>
      </w:pPr>
      <w:r>
        <w:rPr>
          <w:rFonts w:ascii="Calibri" w:hAnsi="Calibri"/>
          <w:b/>
        </w:rPr>
        <w:lastRenderedPageBreak/>
        <w:t>Tension-Type Headache</w:t>
      </w:r>
    </w:p>
    <w:p w14:paraId="1CAB95A6" w14:textId="77777777" w:rsidR="0062325B" w:rsidRDefault="00000000">
      <w:pPr>
        <w:pStyle w:val="ListBullet"/>
        <w:spacing w:before="20" w:after="20"/>
        <w:ind w:left="283"/>
      </w:pPr>
      <w:r>
        <w:rPr>
          <w:rFonts w:ascii="Calibri" w:hAnsi="Calibri"/>
          <w:sz w:val="21"/>
        </w:rPr>
        <w:t>Duration 30 min – 7 days; bilateral; pressing/tightening (non-pulsating)</w:t>
      </w:r>
    </w:p>
    <w:p w14:paraId="7D98B8C0" w14:textId="77777777" w:rsidR="0062325B" w:rsidRDefault="00000000">
      <w:pPr>
        <w:pStyle w:val="ListBullet"/>
        <w:spacing w:before="20" w:after="20"/>
        <w:ind w:left="283"/>
      </w:pPr>
      <w:r>
        <w:rPr>
          <w:rFonts w:ascii="Calibri" w:hAnsi="Calibri"/>
          <w:sz w:val="21"/>
        </w:rPr>
        <w:t>Mild–moderate intensity; NOT aggravated by routine activity</w:t>
      </w:r>
    </w:p>
    <w:p w14:paraId="66F48779" w14:textId="77777777" w:rsidR="0062325B" w:rsidRDefault="00000000">
      <w:pPr>
        <w:pStyle w:val="ListBullet"/>
        <w:spacing w:before="20" w:after="20"/>
        <w:ind w:left="283"/>
      </w:pPr>
      <w:r>
        <w:rPr>
          <w:rFonts w:ascii="Calibri" w:hAnsi="Calibri"/>
          <w:sz w:val="21"/>
        </w:rPr>
        <w:t>NO nausea/vomiting; photophobia OR phonophobia (not both)</w:t>
      </w:r>
    </w:p>
    <w:p w14:paraId="4DFE122F" w14:textId="77777777" w:rsidR="0062325B" w:rsidRDefault="00000000">
      <w:pPr>
        <w:pStyle w:val="ListBullet"/>
        <w:spacing w:before="20" w:after="20"/>
        <w:ind w:left="283"/>
      </w:pPr>
      <w:r>
        <w:rPr>
          <w:rFonts w:ascii="Calibri" w:hAnsi="Calibri"/>
          <w:sz w:val="21"/>
        </w:rPr>
        <w:t>Chronic = ≥15 days/month for ≥6 months</w:t>
      </w:r>
    </w:p>
    <w:p w14:paraId="270C7E20" w14:textId="77777777" w:rsidR="0062325B" w:rsidRDefault="0062325B"/>
    <w:p w14:paraId="254F5E6E" w14:textId="77777777" w:rsidR="0062325B" w:rsidRDefault="00000000">
      <w:pPr>
        <w:spacing w:before="40" w:after="40"/>
      </w:pPr>
      <w:r>
        <w:rPr>
          <w:rFonts w:ascii="Calibri" w:hAnsi="Calibri"/>
          <w:b/>
        </w:rPr>
        <w:t>Cluster Headache</w:t>
      </w:r>
    </w:p>
    <w:p w14:paraId="70E65C67" w14:textId="77777777" w:rsidR="0062325B" w:rsidRDefault="00000000">
      <w:pPr>
        <w:pStyle w:val="ListBullet"/>
        <w:spacing w:before="20" w:after="20"/>
        <w:ind w:left="283"/>
      </w:pPr>
      <w:r>
        <w:rPr>
          <w:rFonts w:ascii="Calibri" w:hAnsi="Calibri"/>
          <w:sz w:val="21"/>
        </w:rPr>
        <w:t>≥5 attacks; severe unilateral orbital/supraorbital/temporal pain; 15–180 min duration; 1–8/day</w:t>
      </w:r>
    </w:p>
    <w:p w14:paraId="5073CF55" w14:textId="77777777" w:rsidR="0062325B" w:rsidRDefault="00000000">
      <w:pPr>
        <w:pStyle w:val="ListBullet"/>
        <w:spacing w:before="20" w:after="20"/>
        <w:ind w:left="283"/>
      </w:pPr>
      <w:r>
        <w:rPr>
          <w:rFonts w:ascii="Calibri" w:hAnsi="Calibri"/>
          <w:sz w:val="21"/>
        </w:rPr>
        <w:t>Ipsilateral autonomic features: lacrimation, rhinorrhoea, miosis, ptosis, conjunctival injection</w:t>
      </w:r>
    </w:p>
    <w:p w14:paraId="05E5C9B9" w14:textId="77777777" w:rsidR="0062325B" w:rsidRDefault="00000000">
      <w:pPr>
        <w:pStyle w:val="ListBullet"/>
        <w:spacing w:before="20" w:after="20"/>
        <w:ind w:left="283"/>
      </w:pPr>
      <w:r>
        <w:rPr>
          <w:rFonts w:ascii="Calibri" w:hAnsi="Calibri"/>
          <w:sz w:val="21"/>
        </w:rPr>
        <w:t>Restlessness/agitation (vs migraine where patients want to stay still)</w:t>
      </w:r>
    </w:p>
    <w:p w14:paraId="3574C658" w14:textId="503B77C1" w:rsidR="0062325B" w:rsidRDefault="00000000" w:rsidP="00FA109F">
      <w:pPr>
        <w:pStyle w:val="ListBullet"/>
        <w:spacing w:before="20" w:after="20"/>
        <w:ind w:left="283"/>
      </w:pPr>
      <w:r>
        <w:rPr>
          <w:rFonts w:ascii="Calibri" w:hAnsi="Calibri"/>
          <w:sz w:val="21"/>
        </w:rPr>
        <w:t>Cluster periods (weeks–months) then remission</w:t>
      </w:r>
    </w:p>
    <w:p w14:paraId="5BE9EC31" w14:textId="77777777" w:rsidR="0062325B" w:rsidRDefault="00000000">
      <w:pPr>
        <w:pBdr>
          <w:bottom w:val="single" w:sz="6" w:space="1" w:color="E0651F"/>
        </w:pBdr>
        <w:spacing w:before="240" w:after="80"/>
      </w:pPr>
      <w:r>
        <w:rPr>
          <w:rFonts w:ascii="Calibri" w:hAnsi="Calibri"/>
          <w:b/>
          <w:color w:val="D48B00"/>
          <w:sz w:val="28"/>
        </w:rPr>
        <w:t>5. Medication Overuse Headache (MOH) — NICE CG150 Dec 2025</w:t>
      </w:r>
    </w:p>
    <w:tbl>
      <w:tblPr>
        <w:tblW w:w="0" w:type="auto"/>
        <w:tblLook w:val="04A0" w:firstRow="1" w:lastRow="0" w:firstColumn="1" w:lastColumn="0" w:noHBand="0" w:noVBand="1"/>
      </w:tblPr>
      <w:tblGrid>
        <w:gridCol w:w="9406"/>
      </w:tblGrid>
      <w:tr w:rsidR="0062325B" w14:paraId="664AD459" w14:textId="77777777">
        <w:tc>
          <w:tcPr>
            <w:tcW w:w="9406" w:type="dxa"/>
            <w:shd w:val="clear" w:color="auto" w:fill="FFF3CD"/>
          </w:tcPr>
          <w:p w14:paraId="381705EB" w14:textId="77777777" w:rsidR="0062325B" w:rsidRDefault="00000000">
            <w:pPr>
              <w:spacing w:before="80" w:after="80"/>
              <w:ind w:left="170"/>
            </w:pPr>
            <w:r>
              <w:rPr>
                <w:b/>
                <w:color w:val="856000"/>
                <w:sz w:val="20"/>
              </w:rPr>
              <w:t xml:space="preserve">⚠ MOH THRESHOLDS: </w:t>
            </w:r>
            <w:r>
              <w:rPr>
                <w:rFonts w:ascii="Calibri" w:hAnsi="Calibri"/>
                <w:color w:val="856000"/>
                <w:sz w:val="20"/>
              </w:rPr>
              <w:t>Thresholds: Simple analgesics (paracetamol, NSAIDs, aspirin) ≥15 days/month for ≥3 months. Triptans, opioids, ergots ≥10 days/month for ≥3 months. MOH is dramatically underdiagnosed — ask about analgesia use at EVERY headache consultation.</w:t>
            </w:r>
          </w:p>
        </w:tc>
      </w:tr>
    </w:tbl>
    <w:p w14:paraId="5FC13B36" w14:textId="77777777" w:rsidR="0062325B" w:rsidRDefault="0062325B"/>
    <w:p w14:paraId="13098181" w14:textId="77777777" w:rsidR="0062325B" w:rsidRDefault="00000000">
      <w:pPr>
        <w:pStyle w:val="ListBullet"/>
        <w:spacing w:before="20" w:after="20"/>
        <w:ind w:left="283"/>
      </w:pPr>
      <w:r>
        <w:rPr>
          <w:rFonts w:ascii="Calibri" w:hAnsi="Calibri"/>
          <w:sz w:val="21"/>
        </w:rPr>
        <w:t>Headache usually worse in the morning; bilateral and dull</w:t>
      </w:r>
    </w:p>
    <w:p w14:paraId="6EB9E124" w14:textId="77777777" w:rsidR="0062325B" w:rsidRDefault="00000000">
      <w:pPr>
        <w:pStyle w:val="ListBullet"/>
        <w:spacing w:before="20" w:after="20"/>
        <w:ind w:left="283"/>
      </w:pPr>
      <w:r>
        <w:rPr>
          <w:rFonts w:ascii="Calibri" w:hAnsi="Calibri"/>
          <w:sz w:val="21"/>
        </w:rPr>
        <w:t>Patient uses medication preemptively before pain develops</w:t>
      </w:r>
    </w:p>
    <w:p w14:paraId="6BFF1384" w14:textId="77777777" w:rsidR="0062325B" w:rsidRDefault="00000000">
      <w:pPr>
        <w:pStyle w:val="ListBullet"/>
        <w:spacing w:before="20" w:after="20"/>
        <w:ind w:left="283"/>
      </w:pPr>
      <w:r>
        <w:rPr>
          <w:rFonts w:ascii="Calibri" w:hAnsi="Calibri"/>
          <w:sz w:val="21"/>
        </w:rPr>
        <w:t>Paradoxically worsens with more medication</w:t>
      </w:r>
    </w:p>
    <w:p w14:paraId="339CAF75" w14:textId="77777777" w:rsidR="0062325B" w:rsidRDefault="00000000">
      <w:pPr>
        <w:pStyle w:val="ListBullet"/>
        <w:spacing w:before="20" w:after="20"/>
        <w:ind w:left="283"/>
      </w:pPr>
      <w:r>
        <w:rPr>
          <w:rFonts w:ascii="Calibri" w:hAnsi="Calibri"/>
          <w:sz w:val="21"/>
        </w:rPr>
        <w:t>DOES NOT respond to prophylaxis — must withdraw medication first</w:t>
      </w:r>
    </w:p>
    <w:p w14:paraId="1D03E2C3" w14:textId="77777777" w:rsidR="0062325B" w:rsidRDefault="00000000">
      <w:pPr>
        <w:pStyle w:val="ListBullet"/>
        <w:spacing w:before="20" w:after="20"/>
        <w:ind w:left="283"/>
      </w:pPr>
      <w:r>
        <w:rPr>
          <w:rFonts w:ascii="Calibri" w:hAnsi="Calibri"/>
          <w:sz w:val="21"/>
        </w:rPr>
        <w:t>Affects 1 in 50 adults; F:M = 5:1</w:t>
      </w:r>
    </w:p>
    <w:p w14:paraId="391F22B7" w14:textId="77777777" w:rsidR="0062325B" w:rsidRDefault="00000000">
      <w:pPr>
        <w:spacing w:before="40" w:after="40"/>
      </w:pPr>
      <w:r>
        <w:rPr>
          <w:rFonts w:ascii="Calibri" w:hAnsi="Calibri"/>
          <w:b/>
        </w:rPr>
        <w:br/>
        <w:t>Management of MOH (NICE CG150):</w:t>
      </w:r>
    </w:p>
    <w:p w14:paraId="7A839214" w14:textId="77777777" w:rsidR="0062325B" w:rsidRDefault="00000000">
      <w:pPr>
        <w:pStyle w:val="ListBullet"/>
        <w:spacing w:before="20" w:after="20"/>
        <w:ind w:left="283"/>
      </w:pPr>
      <w:r>
        <w:rPr>
          <w:rFonts w:ascii="Calibri" w:hAnsi="Calibri"/>
          <w:sz w:val="21"/>
        </w:rPr>
        <w:t>Stage 1 — Abrupt withdrawal (most effective, NICE-recommended): symptoms worsen days 3–7; warn patient</w:t>
      </w:r>
    </w:p>
    <w:p w14:paraId="24881409" w14:textId="77777777" w:rsidR="0062325B" w:rsidRDefault="00000000">
      <w:pPr>
        <w:pStyle w:val="ListBullet"/>
        <w:spacing w:before="20" w:after="20"/>
        <w:ind w:left="283"/>
      </w:pPr>
      <w:r>
        <w:rPr>
          <w:rFonts w:ascii="Calibri" w:hAnsi="Calibri"/>
          <w:sz w:val="21"/>
        </w:rPr>
        <w:t>Stage 2 — Recovery: naproxen 250–500mg TDS can bridge withdrawal; amitriptyline as support</w:t>
      </w:r>
    </w:p>
    <w:p w14:paraId="13756009" w14:textId="77777777" w:rsidR="0062325B" w:rsidRDefault="00000000">
      <w:pPr>
        <w:pStyle w:val="ListBullet"/>
        <w:spacing w:before="20" w:after="20"/>
        <w:ind w:left="283"/>
      </w:pPr>
      <w:r>
        <w:rPr>
          <w:rFonts w:ascii="Calibri" w:hAnsi="Calibri"/>
          <w:sz w:val="21"/>
        </w:rPr>
        <w:t>Stage 3 — Reassess primary headache disorder and start appropriate management</w:t>
      </w:r>
    </w:p>
    <w:p w14:paraId="18F1E6AE" w14:textId="77777777" w:rsidR="0062325B" w:rsidRDefault="00000000">
      <w:pPr>
        <w:pStyle w:val="ListBullet"/>
        <w:spacing w:before="20" w:after="20"/>
        <w:ind w:left="283"/>
      </w:pPr>
      <w:r>
        <w:rPr>
          <w:rFonts w:ascii="Calibri" w:hAnsi="Calibri"/>
          <w:sz w:val="21"/>
        </w:rPr>
        <w:t>Stage 4 — Relapse prevention: headache diary, education, limit analgesic days</w:t>
      </w:r>
    </w:p>
    <w:p w14:paraId="132B5789" w14:textId="77777777" w:rsidR="0062325B" w:rsidRDefault="0062325B"/>
    <w:p w14:paraId="00C9F0B3" w14:textId="77777777" w:rsidR="0062325B" w:rsidRDefault="00000000">
      <w:pPr>
        <w:pBdr>
          <w:bottom w:val="single" w:sz="6" w:space="1" w:color="E0651F"/>
        </w:pBdr>
        <w:spacing w:before="240" w:after="80"/>
      </w:pPr>
      <w:r>
        <w:rPr>
          <w:rFonts w:ascii="Calibri" w:hAnsi="Calibri"/>
          <w:b/>
          <w:color w:val="1A3A5C"/>
          <w:sz w:val="28"/>
        </w:rPr>
        <w:t>6. Treatment — Updated to NICE CG150 December 2025</w:t>
      </w:r>
    </w:p>
    <w:p w14:paraId="5E23B2E8" w14:textId="77777777" w:rsidR="0062325B" w:rsidRDefault="00000000">
      <w:pPr>
        <w:spacing w:before="40" w:after="40"/>
      </w:pPr>
      <w:r>
        <w:rPr>
          <w:rFonts w:ascii="Calibri" w:hAnsi="Calibri"/>
          <w:b/>
          <w:color w:val="1A3A5C"/>
        </w:rPr>
        <w:t>ACUTE MIGRAINE TREATMENT (NICE CG150, Dec 2025)</w:t>
      </w:r>
    </w:p>
    <w:p w14:paraId="1A934ABF" w14:textId="77777777" w:rsidR="0062325B" w:rsidRDefault="00000000">
      <w:pPr>
        <w:spacing w:before="40" w:after="40"/>
      </w:pPr>
      <w:r>
        <w:rPr>
          <w:rFonts w:ascii="Calibri" w:hAnsi="Calibri"/>
        </w:rPr>
        <w:t>⭐ NEW NICE guidance: Offer triptan PLUS NSAID/paracetamol together at attack onset — superior to either alone:</w:t>
      </w:r>
    </w:p>
    <w:p w14:paraId="1FA745E0" w14:textId="77777777" w:rsidR="0062325B" w:rsidRDefault="00000000">
      <w:pPr>
        <w:pStyle w:val="ListBullet"/>
        <w:spacing w:before="20" w:after="20"/>
        <w:ind w:left="283"/>
      </w:pPr>
      <w:r>
        <w:rPr>
          <w:rFonts w:ascii="Calibri" w:hAnsi="Calibri"/>
          <w:sz w:val="21"/>
        </w:rPr>
        <w:t>Aspirin 900mg soluble OR ibuprofen 400mg OR paracetamol 1g</w:t>
      </w:r>
    </w:p>
    <w:p w14:paraId="6F305699" w14:textId="77777777" w:rsidR="0062325B" w:rsidRDefault="00000000">
      <w:pPr>
        <w:pStyle w:val="ListBullet"/>
        <w:spacing w:before="20" w:after="20"/>
        <w:ind w:left="283"/>
      </w:pPr>
      <w:r>
        <w:rPr>
          <w:rFonts w:ascii="Calibri" w:hAnsi="Calibri"/>
          <w:sz w:val="21"/>
        </w:rPr>
        <w:t>PLUS antiemetic: domperidone 10mg (preferred) OR metoclopramide 10mg</w:t>
      </w:r>
    </w:p>
    <w:p w14:paraId="2C771C93" w14:textId="77777777" w:rsidR="0062325B" w:rsidRDefault="00000000">
      <w:pPr>
        <w:pStyle w:val="ListBullet"/>
        <w:spacing w:before="20" w:after="20"/>
        <w:ind w:left="283"/>
      </w:pPr>
      <w:r>
        <w:rPr>
          <w:rFonts w:ascii="Calibri" w:hAnsi="Calibri"/>
          <w:sz w:val="21"/>
        </w:rPr>
        <w:t>PLUS triptan if attacks are moderate–severe: sumatriptan 50–100mg oral (first-choice)</w:t>
      </w:r>
    </w:p>
    <w:p w14:paraId="709009F1" w14:textId="77777777" w:rsidR="0062325B" w:rsidRDefault="00000000">
      <w:pPr>
        <w:pStyle w:val="ListBullet"/>
        <w:spacing w:before="20" w:after="20"/>
        <w:ind w:left="283"/>
      </w:pPr>
      <w:r>
        <w:rPr>
          <w:rFonts w:ascii="Calibri" w:hAnsi="Calibri"/>
          <w:sz w:val="21"/>
        </w:rPr>
        <w:t>Use soluble/dispersible forms — faster absorption during gastric stasis</w:t>
      </w:r>
    </w:p>
    <w:p w14:paraId="33DD8584" w14:textId="4A7638EA" w:rsidR="0062325B" w:rsidRDefault="00000000" w:rsidP="00FA109F">
      <w:pPr>
        <w:pStyle w:val="ListBullet"/>
        <w:spacing w:before="20" w:after="20"/>
        <w:ind w:left="283"/>
      </w:pPr>
      <w:r>
        <w:rPr>
          <w:rFonts w:ascii="Calibri" w:hAnsi="Calibri"/>
          <w:sz w:val="21"/>
        </w:rPr>
        <w:t>For vomiting: sumatriptan 6mg SC or nasal spray 20mg; diclofenac suppository + domperidone suppository</w:t>
      </w:r>
    </w:p>
    <w:p w14:paraId="5457E4A1" w14:textId="77777777" w:rsidR="0062325B" w:rsidRDefault="00000000">
      <w:pPr>
        <w:spacing w:before="40" w:after="40"/>
      </w:pPr>
      <w:r>
        <w:rPr>
          <w:rFonts w:ascii="Calibri" w:hAnsi="Calibri"/>
          <w:b/>
        </w:rPr>
        <w:lastRenderedPageBreak/>
        <w:t>TRIPTANS — BNF Doses (2026)</w:t>
      </w:r>
    </w:p>
    <w:tbl>
      <w:tblPr>
        <w:tblStyle w:val="TableGrid"/>
        <w:tblW w:w="0" w:type="auto"/>
        <w:tblLook w:val="04A0" w:firstRow="1" w:lastRow="0" w:firstColumn="1" w:lastColumn="0" w:noHBand="0" w:noVBand="1"/>
      </w:tblPr>
      <w:tblGrid>
        <w:gridCol w:w="2351"/>
        <w:gridCol w:w="2351"/>
        <w:gridCol w:w="2351"/>
        <w:gridCol w:w="2351"/>
      </w:tblGrid>
      <w:tr w:rsidR="0062325B" w14:paraId="268F699F" w14:textId="77777777">
        <w:tc>
          <w:tcPr>
            <w:tcW w:w="2351" w:type="dxa"/>
            <w:shd w:val="clear" w:color="auto" w:fill="1A3A5C"/>
          </w:tcPr>
          <w:p w14:paraId="4AEADFDC" w14:textId="77777777" w:rsidR="0062325B" w:rsidRDefault="00000000">
            <w:r>
              <w:rPr>
                <w:b/>
                <w:color w:val="FFFFFF"/>
                <w:sz w:val="18"/>
              </w:rPr>
              <w:t>Triptan</w:t>
            </w:r>
          </w:p>
        </w:tc>
        <w:tc>
          <w:tcPr>
            <w:tcW w:w="2351" w:type="dxa"/>
            <w:shd w:val="clear" w:color="auto" w:fill="1A3A5C"/>
          </w:tcPr>
          <w:p w14:paraId="2F9ADFED" w14:textId="77777777" w:rsidR="0062325B" w:rsidRDefault="00000000">
            <w:r>
              <w:rPr>
                <w:b/>
                <w:color w:val="FFFFFF"/>
                <w:sz w:val="18"/>
              </w:rPr>
              <w:t>Oral Dose</w:t>
            </w:r>
          </w:p>
        </w:tc>
        <w:tc>
          <w:tcPr>
            <w:tcW w:w="2351" w:type="dxa"/>
            <w:shd w:val="clear" w:color="auto" w:fill="1A3A5C"/>
          </w:tcPr>
          <w:p w14:paraId="638D5B3E" w14:textId="77777777" w:rsidR="0062325B" w:rsidRDefault="00000000">
            <w:r>
              <w:rPr>
                <w:b/>
                <w:color w:val="FFFFFF"/>
                <w:sz w:val="18"/>
              </w:rPr>
              <w:t>Max 24h</w:t>
            </w:r>
          </w:p>
        </w:tc>
        <w:tc>
          <w:tcPr>
            <w:tcW w:w="2351" w:type="dxa"/>
            <w:shd w:val="clear" w:color="auto" w:fill="1A3A5C"/>
          </w:tcPr>
          <w:p w14:paraId="40F232B0" w14:textId="77777777" w:rsidR="0062325B" w:rsidRDefault="00000000">
            <w:r>
              <w:rPr>
                <w:b/>
                <w:color w:val="FFFFFF"/>
                <w:sz w:val="18"/>
              </w:rPr>
              <w:t>Notes</w:t>
            </w:r>
          </w:p>
        </w:tc>
      </w:tr>
      <w:tr w:rsidR="0062325B" w14:paraId="44CBDAF0" w14:textId="77777777">
        <w:tc>
          <w:tcPr>
            <w:tcW w:w="2351" w:type="dxa"/>
            <w:shd w:val="clear" w:color="auto" w:fill="F0F4F8"/>
          </w:tcPr>
          <w:p w14:paraId="66D3D0E0" w14:textId="77777777" w:rsidR="0062325B" w:rsidRDefault="00000000">
            <w:r>
              <w:rPr>
                <w:rFonts w:ascii="Calibri" w:hAnsi="Calibri"/>
                <w:b/>
                <w:sz w:val="18"/>
              </w:rPr>
              <w:t>Sumatriptan</w:t>
            </w:r>
          </w:p>
        </w:tc>
        <w:tc>
          <w:tcPr>
            <w:tcW w:w="2351" w:type="dxa"/>
            <w:shd w:val="clear" w:color="auto" w:fill="F0F4F8"/>
          </w:tcPr>
          <w:p w14:paraId="67011297" w14:textId="77777777" w:rsidR="0062325B" w:rsidRDefault="00000000">
            <w:r>
              <w:rPr>
                <w:rFonts w:ascii="Calibri" w:hAnsi="Calibri"/>
                <w:sz w:val="18"/>
              </w:rPr>
              <w:t>50–100mg</w:t>
            </w:r>
          </w:p>
        </w:tc>
        <w:tc>
          <w:tcPr>
            <w:tcW w:w="2351" w:type="dxa"/>
            <w:shd w:val="clear" w:color="auto" w:fill="F0F4F8"/>
          </w:tcPr>
          <w:p w14:paraId="2F33164E" w14:textId="77777777" w:rsidR="0062325B" w:rsidRDefault="00000000">
            <w:r>
              <w:rPr>
                <w:rFonts w:ascii="Calibri" w:hAnsi="Calibri"/>
                <w:sz w:val="18"/>
              </w:rPr>
              <w:t>300mg</w:t>
            </w:r>
          </w:p>
        </w:tc>
        <w:tc>
          <w:tcPr>
            <w:tcW w:w="2351" w:type="dxa"/>
            <w:shd w:val="clear" w:color="auto" w:fill="F0F4F8"/>
          </w:tcPr>
          <w:p w14:paraId="55EB73F1" w14:textId="77777777" w:rsidR="0062325B" w:rsidRDefault="00000000">
            <w:r>
              <w:rPr>
                <w:rFonts w:ascii="Calibri" w:hAnsi="Calibri"/>
                <w:sz w:val="18"/>
              </w:rPr>
              <w:t>First generic; widest evidence; also SC 6mg, nasal 20mg</w:t>
            </w:r>
          </w:p>
        </w:tc>
      </w:tr>
      <w:tr w:rsidR="0062325B" w14:paraId="39F63AF0" w14:textId="77777777">
        <w:tc>
          <w:tcPr>
            <w:tcW w:w="2351" w:type="dxa"/>
            <w:shd w:val="clear" w:color="auto" w:fill="FFFFFF"/>
          </w:tcPr>
          <w:p w14:paraId="5B9B02BA" w14:textId="77777777" w:rsidR="0062325B" w:rsidRDefault="00000000">
            <w:r>
              <w:rPr>
                <w:rFonts w:ascii="Calibri" w:hAnsi="Calibri"/>
                <w:b/>
                <w:sz w:val="18"/>
              </w:rPr>
              <w:t>Rizatriptan</w:t>
            </w:r>
          </w:p>
        </w:tc>
        <w:tc>
          <w:tcPr>
            <w:tcW w:w="2351" w:type="dxa"/>
            <w:shd w:val="clear" w:color="auto" w:fill="FFFFFF"/>
          </w:tcPr>
          <w:p w14:paraId="64C475BB" w14:textId="77777777" w:rsidR="0062325B" w:rsidRDefault="00000000">
            <w:r>
              <w:rPr>
                <w:rFonts w:ascii="Calibri" w:hAnsi="Calibri"/>
                <w:sz w:val="18"/>
              </w:rPr>
              <w:t>10mg</w:t>
            </w:r>
          </w:p>
        </w:tc>
        <w:tc>
          <w:tcPr>
            <w:tcW w:w="2351" w:type="dxa"/>
            <w:shd w:val="clear" w:color="auto" w:fill="FFFFFF"/>
          </w:tcPr>
          <w:p w14:paraId="5FE570CE" w14:textId="77777777" w:rsidR="0062325B" w:rsidRDefault="00000000">
            <w:r>
              <w:rPr>
                <w:rFonts w:ascii="Calibri" w:hAnsi="Calibri"/>
                <w:sz w:val="18"/>
              </w:rPr>
              <w:t>20mg</w:t>
            </w:r>
          </w:p>
        </w:tc>
        <w:tc>
          <w:tcPr>
            <w:tcW w:w="2351" w:type="dxa"/>
            <w:shd w:val="clear" w:color="auto" w:fill="FFFFFF"/>
          </w:tcPr>
          <w:p w14:paraId="002581EE" w14:textId="77777777" w:rsidR="0062325B" w:rsidRDefault="00000000">
            <w:r>
              <w:rPr>
                <w:rFonts w:ascii="Calibri" w:hAnsi="Calibri"/>
                <w:sz w:val="18"/>
              </w:rPr>
              <w:t>High efficacy; REDUCE to 5mg if taking propranolol</w:t>
            </w:r>
          </w:p>
        </w:tc>
      </w:tr>
      <w:tr w:rsidR="0062325B" w14:paraId="51F4EC1F" w14:textId="77777777">
        <w:tc>
          <w:tcPr>
            <w:tcW w:w="2351" w:type="dxa"/>
            <w:shd w:val="clear" w:color="auto" w:fill="F0F4F8"/>
          </w:tcPr>
          <w:p w14:paraId="363FDADD" w14:textId="77777777" w:rsidR="0062325B" w:rsidRDefault="00000000">
            <w:r>
              <w:rPr>
                <w:rFonts w:ascii="Calibri" w:hAnsi="Calibri"/>
                <w:b/>
                <w:sz w:val="18"/>
              </w:rPr>
              <w:t>Naratriptan</w:t>
            </w:r>
          </w:p>
        </w:tc>
        <w:tc>
          <w:tcPr>
            <w:tcW w:w="2351" w:type="dxa"/>
            <w:shd w:val="clear" w:color="auto" w:fill="F0F4F8"/>
          </w:tcPr>
          <w:p w14:paraId="4ABC11B2" w14:textId="77777777" w:rsidR="0062325B" w:rsidRDefault="00000000">
            <w:r>
              <w:rPr>
                <w:rFonts w:ascii="Calibri" w:hAnsi="Calibri"/>
                <w:sz w:val="18"/>
              </w:rPr>
              <w:t>2.5mg</w:t>
            </w:r>
          </w:p>
        </w:tc>
        <w:tc>
          <w:tcPr>
            <w:tcW w:w="2351" w:type="dxa"/>
            <w:shd w:val="clear" w:color="auto" w:fill="F0F4F8"/>
          </w:tcPr>
          <w:p w14:paraId="2BFFC975" w14:textId="77777777" w:rsidR="0062325B" w:rsidRDefault="00000000">
            <w:r>
              <w:rPr>
                <w:rFonts w:ascii="Calibri" w:hAnsi="Calibri"/>
                <w:sz w:val="18"/>
              </w:rPr>
              <w:t>5mg</w:t>
            </w:r>
          </w:p>
        </w:tc>
        <w:tc>
          <w:tcPr>
            <w:tcW w:w="2351" w:type="dxa"/>
            <w:shd w:val="clear" w:color="auto" w:fill="F0F4F8"/>
          </w:tcPr>
          <w:p w14:paraId="0EE067A5" w14:textId="77777777" w:rsidR="0062325B" w:rsidRDefault="00000000">
            <w:r>
              <w:rPr>
                <w:rFonts w:ascii="Calibri" w:hAnsi="Calibri"/>
                <w:sz w:val="18"/>
              </w:rPr>
              <w:t>Slow onset; fewest side effects; good for recurrence</w:t>
            </w:r>
          </w:p>
        </w:tc>
      </w:tr>
      <w:tr w:rsidR="0062325B" w14:paraId="30BFA076" w14:textId="77777777">
        <w:tc>
          <w:tcPr>
            <w:tcW w:w="2351" w:type="dxa"/>
            <w:shd w:val="clear" w:color="auto" w:fill="FFFFFF"/>
          </w:tcPr>
          <w:p w14:paraId="3C135088" w14:textId="77777777" w:rsidR="0062325B" w:rsidRDefault="00000000">
            <w:r>
              <w:rPr>
                <w:rFonts w:ascii="Calibri" w:hAnsi="Calibri"/>
                <w:b/>
                <w:sz w:val="18"/>
              </w:rPr>
              <w:t>Zolmitriptan</w:t>
            </w:r>
          </w:p>
        </w:tc>
        <w:tc>
          <w:tcPr>
            <w:tcW w:w="2351" w:type="dxa"/>
            <w:shd w:val="clear" w:color="auto" w:fill="FFFFFF"/>
          </w:tcPr>
          <w:p w14:paraId="4C054121" w14:textId="77777777" w:rsidR="0062325B" w:rsidRDefault="00000000">
            <w:r>
              <w:rPr>
                <w:rFonts w:ascii="Calibri" w:hAnsi="Calibri"/>
                <w:sz w:val="18"/>
              </w:rPr>
              <w:t>2.5mg</w:t>
            </w:r>
          </w:p>
        </w:tc>
        <w:tc>
          <w:tcPr>
            <w:tcW w:w="2351" w:type="dxa"/>
            <w:shd w:val="clear" w:color="auto" w:fill="FFFFFF"/>
          </w:tcPr>
          <w:p w14:paraId="00A07306" w14:textId="77777777" w:rsidR="0062325B" w:rsidRDefault="00000000">
            <w:r>
              <w:rPr>
                <w:rFonts w:ascii="Calibri" w:hAnsi="Calibri"/>
                <w:sz w:val="18"/>
              </w:rPr>
              <w:t>10mg</w:t>
            </w:r>
          </w:p>
        </w:tc>
        <w:tc>
          <w:tcPr>
            <w:tcW w:w="2351" w:type="dxa"/>
            <w:shd w:val="clear" w:color="auto" w:fill="FFFFFF"/>
          </w:tcPr>
          <w:p w14:paraId="26694D1A" w14:textId="77777777" w:rsidR="0062325B" w:rsidRDefault="00000000">
            <w:r>
              <w:rPr>
                <w:rFonts w:ascii="Calibri" w:hAnsi="Calibri"/>
                <w:sz w:val="18"/>
              </w:rPr>
              <w:t>Nasal spray 5mg also available</w:t>
            </w:r>
          </w:p>
        </w:tc>
      </w:tr>
      <w:tr w:rsidR="0062325B" w14:paraId="565A686C" w14:textId="77777777">
        <w:tc>
          <w:tcPr>
            <w:tcW w:w="2351" w:type="dxa"/>
            <w:shd w:val="clear" w:color="auto" w:fill="F0F4F8"/>
          </w:tcPr>
          <w:p w14:paraId="427B8ED2" w14:textId="77777777" w:rsidR="0062325B" w:rsidRDefault="00000000">
            <w:r>
              <w:rPr>
                <w:rFonts w:ascii="Calibri" w:hAnsi="Calibri"/>
                <w:b/>
                <w:sz w:val="18"/>
              </w:rPr>
              <w:t>Eletriptan</w:t>
            </w:r>
          </w:p>
        </w:tc>
        <w:tc>
          <w:tcPr>
            <w:tcW w:w="2351" w:type="dxa"/>
            <w:shd w:val="clear" w:color="auto" w:fill="F0F4F8"/>
          </w:tcPr>
          <w:p w14:paraId="1922D61C" w14:textId="77777777" w:rsidR="0062325B" w:rsidRDefault="00000000">
            <w:r>
              <w:rPr>
                <w:rFonts w:ascii="Calibri" w:hAnsi="Calibri"/>
                <w:sz w:val="18"/>
              </w:rPr>
              <w:t>40–80mg</w:t>
            </w:r>
          </w:p>
        </w:tc>
        <w:tc>
          <w:tcPr>
            <w:tcW w:w="2351" w:type="dxa"/>
            <w:shd w:val="clear" w:color="auto" w:fill="F0F4F8"/>
          </w:tcPr>
          <w:p w14:paraId="687CBACC" w14:textId="77777777" w:rsidR="0062325B" w:rsidRDefault="00000000">
            <w:r>
              <w:rPr>
                <w:rFonts w:ascii="Calibri" w:hAnsi="Calibri"/>
                <w:sz w:val="18"/>
              </w:rPr>
              <w:t>80mg</w:t>
            </w:r>
          </w:p>
        </w:tc>
        <w:tc>
          <w:tcPr>
            <w:tcW w:w="2351" w:type="dxa"/>
            <w:shd w:val="clear" w:color="auto" w:fill="F0F4F8"/>
          </w:tcPr>
          <w:p w14:paraId="14172105" w14:textId="77777777" w:rsidR="0062325B" w:rsidRDefault="00000000">
            <w:r>
              <w:rPr>
                <w:rFonts w:ascii="Calibri" w:hAnsi="Calibri"/>
                <w:sz w:val="18"/>
              </w:rPr>
              <w:t>High efficacy; avoid grapefruit</w:t>
            </w:r>
          </w:p>
        </w:tc>
      </w:tr>
      <w:tr w:rsidR="0062325B" w14:paraId="65986D21" w14:textId="77777777">
        <w:tc>
          <w:tcPr>
            <w:tcW w:w="2351" w:type="dxa"/>
            <w:shd w:val="clear" w:color="auto" w:fill="FFFFFF"/>
          </w:tcPr>
          <w:p w14:paraId="6564EC7F" w14:textId="77777777" w:rsidR="0062325B" w:rsidRDefault="00000000">
            <w:r>
              <w:rPr>
                <w:rFonts w:ascii="Calibri" w:hAnsi="Calibri"/>
                <w:b/>
                <w:sz w:val="18"/>
              </w:rPr>
              <w:t>Frovatriptan</w:t>
            </w:r>
          </w:p>
        </w:tc>
        <w:tc>
          <w:tcPr>
            <w:tcW w:w="2351" w:type="dxa"/>
            <w:shd w:val="clear" w:color="auto" w:fill="FFFFFF"/>
          </w:tcPr>
          <w:p w14:paraId="6BD1A83D" w14:textId="77777777" w:rsidR="0062325B" w:rsidRDefault="00000000">
            <w:r>
              <w:rPr>
                <w:rFonts w:ascii="Calibri" w:hAnsi="Calibri"/>
                <w:sz w:val="18"/>
              </w:rPr>
              <w:t>2.5mg</w:t>
            </w:r>
          </w:p>
        </w:tc>
        <w:tc>
          <w:tcPr>
            <w:tcW w:w="2351" w:type="dxa"/>
            <w:shd w:val="clear" w:color="auto" w:fill="FFFFFF"/>
          </w:tcPr>
          <w:p w14:paraId="65301FC6" w14:textId="77777777" w:rsidR="0062325B" w:rsidRDefault="00000000">
            <w:r>
              <w:rPr>
                <w:rFonts w:ascii="Calibri" w:hAnsi="Calibri"/>
                <w:sz w:val="18"/>
              </w:rPr>
              <w:t>7.5mg</w:t>
            </w:r>
          </w:p>
        </w:tc>
        <w:tc>
          <w:tcPr>
            <w:tcW w:w="2351" w:type="dxa"/>
            <w:shd w:val="clear" w:color="auto" w:fill="FFFFFF"/>
          </w:tcPr>
          <w:p w14:paraId="023FD343" w14:textId="77777777" w:rsidR="0062325B" w:rsidRDefault="00000000">
            <w:r>
              <w:rPr>
                <w:rFonts w:ascii="Calibri" w:hAnsi="Calibri"/>
                <w:sz w:val="18"/>
              </w:rPr>
              <w:t>Long half-life; useful for menstrual migraine prevention</w:t>
            </w:r>
          </w:p>
        </w:tc>
      </w:tr>
      <w:tr w:rsidR="0062325B" w14:paraId="4563F75B" w14:textId="77777777">
        <w:tc>
          <w:tcPr>
            <w:tcW w:w="2351" w:type="dxa"/>
            <w:shd w:val="clear" w:color="auto" w:fill="F0F4F8"/>
          </w:tcPr>
          <w:p w14:paraId="239F893F" w14:textId="77777777" w:rsidR="0062325B" w:rsidRDefault="00000000">
            <w:r>
              <w:rPr>
                <w:rFonts w:ascii="Calibri" w:hAnsi="Calibri"/>
                <w:b/>
                <w:sz w:val="18"/>
              </w:rPr>
              <w:t>Almotriptan</w:t>
            </w:r>
          </w:p>
        </w:tc>
        <w:tc>
          <w:tcPr>
            <w:tcW w:w="2351" w:type="dxa"/>
            <w:shd w:val="clear" w:color="auto" w:fill="F0F4F8"/>
          </w:tcPr>
          <w:p w14:paraId="3A6102D7" w14:textId="77777777" w:rsidR="0062325B" w:rsidRDefault="00000000">
            <w:r>
              <w:rPr>
                <w:rFonts w:ascii="Calibri" w:hAnsi="Calibri"/>
                <w:sz w:val="18"/>
              </w:rPr>
              <w:t>12.5mg</w:t>
            </w:r>
          </w:p>
        </w:tc>
        <w:tc>
          <w:tcPr>
            <w:tcW w:w="2351" w:type="dxa"/>
            <w:shd w:val="clear" w:color="auto" w:fill="F0F4F8"/>
          </w:tcPr>
          <w:p w14:paraId="36B6BA7D" w14:textId="77777777" w:rsidR="0062325B" w:rsidRDefault="00000000">
            <w:r>
              <w:rPr>
                <w:rFonts w:ascii="Calibri" w:hAnsi="Calibri"/>
                <w:sz w:val="18"/>
              </w:rPr>
              <w:t>25mg</w:t>
            </w:r>
          </w:p>
        </w:tc>
        <w:tc>
          <w:tcPr>
            <w:tcW w:w="2351" w:type="dxa"/>
            <w:shd w:val="clear" w:color="auto" w:fill="F0F4F8"/>
          </w:tcPr>
          <w:p w14:paraId="1B1D12B9" w14:textId="77777777" w:rsidR="0062325B" w:rsidRDefault="00000000">
            <w:r>
              <w:rPr>
                <w:rFonts w:ascii="Calibri" w:hAnsi="Calibri"/>
                <w:sz w:val="18"/>
              </w:rPr>
              <w:t>Good tolerability profile</w:t>
            </w:r>
          </w:p>
        </w:tc>
      </w:tr>
    </w:tbl>
    <w:p w14:paraId="27154815" w14:textId="77777777" w:rsidR="0062325B" w:rsidRDefault="0062325B"/>
    <w:tbl>
      <w:tblPr>
        <w:tblW w:w="0" w:type="auto"/>
        <w:tblLook w:val="04A0" w:firstRow="1" w:lastRow="0" w:firstColumn="1" w:lastColumn="0" w:noHBand="0" w:noVBand="1"/>
      </w:tblPr>
      <w:tblGrid>
        <w:gridCol w:w="9406"/>
      </w:tblGrid>
      <w:tr w:rsidR="0062325B" w14:paraId="6DC596D7" w14:textId="77777777">
        <w:tc>
          <w:tcPr>
            <w:tcW w:w="9406" w:type="dxa"/>
            <w:shd w:val="clear" w:color="auto" w:fill="E8F4E8"/>
          </w:tcPr>
          <w:p w14:paraId="767B284A" w14:textId="77777777" w:rsidR="0062325B" w:rsidRDefault="00000000">
            <w:pPr>
              <w:spacing w:before="80" w:after="80"/>
              <w:ind w:left="170"/>
            </w:pPr>
            <w:r>
              <w:rPr>
                <w:b/>
                <w:color w:val="006030"/>
                <w:sz w:val="20"/>
              </w:rPr>
              <w:t xml:space="preserve">✅ NEW NICE-APPROVED: </w:t>
            </w:r>
            <w:r>
              <w:rPr>
                <w:rFonts w:ascii="Calibri" w:hAnsi="Calibri"/>
                <w:color w:val="006030"/>
                <w:sz w:val="20"/>
              </w:rPr>
              <w:t>NEW — CGRP Antagonists (Gepants): Rimegepant 75mg (Vydura — NICE TA906): acute treatment AND episodic prevention (every other day). Atogepant 60mg OD (NICE TA973): prevention only. Advantages: NO medication overuse headache risk. Use after ≥2 triptan failures.</w:t>
            </w:r>
          </w:p>
        </w:tc>
      </w:tr>
    </w:tbl>
    <w:p w14:paraId="5038AEF7" w14:textId="77777777" w:rsidR="0062325B" w:rsidRDefault="0062325B"/>
    <w:p w14:paraId="299D131F" w14:textId="77777777" w:rsidR="0062325B" w:rsidRDefault="0062325B"/>
    <w:p w14:paraId="09F35A7E" w14:textId="77777777" w:rsidR="0062325B" w:rsidRDefault="00000000">
      <w:pPr>
        <w:spacing w:before="40" w:after="40"/>
      </w:pPr>
      <w:r>
        <w:rPr>
          <w:rFonts w:ascii="Calibri" w:hAnsi="Calibri"/>
          <w:b/>
          <w:color w:val="1A3A5C"/>
        </w:rPr>
        <w:t>MIGRAINE PROPHYLAXIS — Thresholds and Agents (NICE CG150 Dec 2025)</w:t>
      </w:r>
    </w:p>
    <w:p w14:paraId="57E33929" w14:textId="77777777" w:rsidR="0062325B" w:rsidRDefault="00000000">
      <w:pPr>
        <w:spacing w:before="40" w:after="40"/>
      </w:pPr>
      <w:r>
        <w:rPr>
          <w:rFonts w:ascii="Calibri" w:hAnsi="Calibri"/>
        </w:rPr>
        <w:t>Consider prophylaxis if: ≥4 migraine days/month OR frequent treatment failures OR MOH risk</w:t>
      </w:r>
    </w:p>
    <w:tbl>
      <w:tblPr>
        <w:tblStyle w:val="TableGrid"/>
        <w:tblW w:w="0" w:type="auto"/>
        <w:tblLook w:val="04A0" w:firstRow="1" w:lastRow="0" w:firstColumn="1" w:lastColumn="0" w:noHBand="0" w:noVBand="1"/>
      </w:tblPr>
      <w:tblGrid>
        <w:gridCol w:w="3135"/>
        <w:gridCol w:w="3135"/>
        <w:gridCol w:w="3135"/>
      </w:tblGrid>
      <w:tr w:rsidR="0062325B" w14:paraId="7C6E1093" w14:textId="77777777">
        <w:tc>
          <w:tcPr>
            <w:tcW w:w="3135" w:type="dxa"/>
            <w:shd w:val="clear" w:color="auto" w:fill="1A3A5C"/>
          </w:tcPr>
          <w:p w14:paraId="4314CC3C" w14:textId="77777777" w:rsidR="0062325B" w:rsidRDefault="00000000">
            <w:r>
              <w:rPr>
                <w:b/>
                <w:color w:val="FFFFFF"/>
                <w:sz w:val="18"/>
              </w:rPr>
              <w:t>Drug</w:t>
            </w:r>
          </w:p>
        </w:tc>
        <w:tc>
          <w:tcPr>
            <w:tcW w:w="3135" w:type="dxa"/>
            <w:shd w:val="clear" w:color="auto" w:fill="1A3A5C"/>
          </w:tcPr>
          <w:p w14:paraId="0FEBFAAF" w14:textId="77777777" w:rsidR="0062325B" w:rsidRDefault="00000000">
            <w:r>
              <w:rPr>
                <w:b/>
                <w:color w:val="FFFFFF"/>
                <w:sz w:val="18"/>
              </w:rPr>
              <w:t>BNF Dose (2026)</w:t>
            </w:r>
          </w:p>
        </w:tc>
        <w:tc>
          <w:tcPr>
            <w:tcW w:w="3135" w:type="dxa"/>
            <w:shd w:val="clear" w:color="auto" w:fill="1A3A5C"/>
          </w:tcPr>
          <w:p w14:paraId="6AFCB9BA" w14:textId="77777777" w:rsidR="0062325B" w:rsidRDefault="00000000">
            <w:r>
              <w:rPr>
                <w:b/>
                <w:color w:val="FFFFFF"/>
                <w:sz w:val="18"/>
              </w:rPr>
              <w:t>Key Notes</w:t>
            </w:r>
          </w:p>
        </w:tc>
      </w:tr>
      <w:tr w:rsidR="0062325B" w14:paraId="0AB28BC8" w14:textId="77777777">
        <w:tc>
          <w:tcPr>
            <w:tcW w:w="3135" w:type="dxa"/>
            <w:shd w:val="clear" w:color="auto" w:fill="FFF8F0"/>
          </w:tcPr>
          <w:p w14:paraId="257EC8EC" w14:textId="77777777" w:rsidR="0062325B" w:rsidRDefault="00000000">
            <w:r>
              <w:rPr>
                <w:rFonts w:ascii="Calibri" w:hAnsi="Calibri"/>
                <w:b/>
                <w:sz w:val="18"/>
              </w:rPr>
              <w:t>Propranolol</w:t>
            </w:r>
          </w:p>
        </w:tc>
        <w:tc>
          <w:tcPr>
            <w:tcW w:w="3135" w:type="dxa"/>
            <w:shd w:val="clear" w:color="auto" w:fill="FFF8F0"/>
          </w:tcPr>
          <w:p w14:paraId="0BEEC068" w14:textId="77777777" w:rsidR="0062325B" w:rsidRDefault="00000000">
            <w:r>
              <w:rPr>
                <w:rFonts w:ascii="Calibri" w:hAnsi="Calibri"/>
                <w:sz w:val="18"/>
              </w:rPr>
              <w:t>80–240mg/day (divided or MR)</w:t>
            </w:r>
          </w:p>
        </w:tc>
        <w:tc>
          <w:tcPr>
            <w:tcW w:w="3135" w:type="dxa"/>
            <w:shd w:val="clear" w:color="auto" w:fill="FFF8F0"/>
          </w:tcPr>
          <w:p w14:paraId="615811DF" w14:textId="77777777" w:rsidR="0062325B" w:rsidRDefault="00000000">
            <w:r>
              <w:rPr>
                <w:rFonts w:ascii="Calibri" w:hAnsi="Calibri"/>
                <w:sz w:val="18"/>
              </w:rPr>
              <w:t>First-line; AVOID in asthma; check DM</w:t>
            </w:r>
          </w:p>
        </w:tc>
      </w:tr>
      <w:tr w:rsidR="0062325B" w14:paraId="3577ED38" w14:textId="77777777">
        <w:tc>
          <w:tcPr>
            <w:tcW w:w="3135" w:type="dxa"/>
            <w:shd w:val="clear" w:color="auto" w:fill="FFFFFF"/>
          </w:tcPr>
          <w:p w14:paraId="7EA91D1E" w14:textId="77777777" w:rsidR="0062325B" w:rsidRDefault="00000000">
            <w:r>
              <w:rPr>
                <w:rFonts w:ascii="Calibri" w:hAnsi="Calibri"/>
                <w:b/>
                <w:sz w:val="18"/>
              </w:rPr>
              <w:t>Amitriptyline</w:t>
            </w:r>
          </w:p>
        </w:tc>
        <w:tc>
          <w:tcPr>
            <w:tcW w:w="3135" w:type="dxa"/>
            <w:shd w:val="clear" w:color="auto" w:fill="FFFFFF"/>
          </w:tcPr>
          <w:p w14:paraId="38CF0135" w14:textId="77777777" w:rsidR="0062325B" w:rsidRDefault="00000000">
            <w:r>
              <w:rPr>
                <w:rFonts w:ascii="Calibri" w:hAnsi="Calibri"/>
                <w:sz w:val="18"/>
              </w:rPr>
              <w:t>10mg nocte → 75mg max</w:t>
            </w:r>
          </w:p>
        </w:tc>
        <w:tc>
          <w:tcPr>
            <w:tcW w:w="3135" w:type="dxa"/>
            <w:shd w:val="clear" w:color="auto" w:fill="FFFFFF"/>
          </w:tcPr>
          <w:p w14:paraId="786E2B16" w14:textId="77777777" w:rsidR="0062325B" w:rsidRDefault="00000000">
            <w:r>
              <w:rPr>
                <w:rFonts w:ascii="Calibri" w:hAnsi="Calibri"/>
                <w:sz w:val="18"/>
              </w:rPr>
              <w:t>Useful with concurrent poor sleep/tension TTH</w:t>
            </w:r>
          </w:p>
        </w:tc>
      </w:tr>
      <w:tr w:rsidR="0062325B" w14:paraId="6FABC7F5" w14:textId="77777777">
        <w:tc>
          <w:tcPr>
            <w:tcW w:w="3135" w:type="dxa"/>
            <w:shd w:val="clear" w:color="auto" w:fill="FFF8F0"/>
          </w:tcPr>
          <w:p w14:paraId="54D44B7E" w14:textId="77777777" w:rsidR="0062325B" w:rsidRDefault="00000000">
            <w:r>
              <w:rPr>
                <w:rFonts w:ascii="Calibri" w:hAnsi="Calibri"/>
                <w:b/>
                <w:sz w:val="18"/>
              </w:rPr>
              <w:t>Topiramate</w:t>
            </w:r>
          </w:p>
        </w:tc>
        <w:tc>
          <w:tcPr>
            <w:tcW w:w="3135" w:type="dxa"/>
            <w:shd w:val="clear" w:color="auto" w:fill="FFF8F0"/>
          </w:tcPr>
          <w:p w14:paraId="6F610BEB" w14:textId="77777777" w:rsidR="0062325B" w:rsidRDefault="00000000">
            <w:r>
              <w:rPr>
                <w:rFonts w:ascii="Calibri" w:hAnsi="Calibri"/>
                <w:sz w:val="18"/>
              </w:rPr>
              <w:t>25mg nocte → 50mg BD (max 200mg)</w:t>
            </w:r>
          </w:p>
        </w:tc>
        <w:tc>
          <w:tcPr>
            <w:tcW w:w="3135" w:type="dxa"/>
            <w:shd w:val="clear" w:color="auto" w:fill="FFF8F0"/>
          </w:tcPr>
          <w:p w14:paraId="79132CD4" w14:textId="77777777" w:rsidR="0062325B" w:rsidRDefault="00000000">
            <w:r>
              <w:rPr>
                <w:rFonts w:ascii="Calibri" w:hAnsi="Calibri"/>
                <w:sz w:val="18"/>
              </w:rPr>
              <w:t>⚠ PPP MANDATORY for women of childbearing potential</w:t>
            </w:r>
          </w:p>
        </w:tc>
      </w:tr>
      <w:tr w:rsidR="0062325B" w14:paraId="2F6906B9" w14:textId="77777777">
        <w:tc>
          <w:tcPr>
            <w:tcW w:w="3135" w:type="dxa"/>
            <w:shd w:val="clear" w:color="auto" w:fill="FFFFFF"/>
          </w:tcPr>
          <w:p w14:paraId="2C230774" w14:textId="77777777" w:rsidR="0062325B" w:rsidRDefault="00000000">
            <w:r>
              <w:rPr>
                <w:rFonts w:ascii="Calibri" w:hAnsi="Calibri"/>
                <w:b/>
                <w:sz w:val="18"/>
              </w:rPr>
              <w:t>Candesartan</w:t>
            </w:r>
          </w:p>
        </w:tc>
        <w:tc>
          <w:tcPr>
            <w:tcW w:w="3135" w:type="dxa"/>
            <w:shd w:val="clear" w:color="auto" w:fill="FFFFFF"/>
          </w:tcPr>
          <w:p w14:paraId="56E1B3F2" w14:textId="77777777" w:rsidR="0062325B" w:rsidRDefault="00000000">
            <w:r>
              <w:rPr>
                <w:rFonts w:ascii="Calibri" w:hAnsi="Calibri"/>
                <w:sz w:val="18"/>
              </w:rPr>
              <w:t>4mg → 16mg daily</w:t>
            </w:r>
          </w:p>
        </w:tc>
        <w:tc>
          <w:tcPr>
            <w:tcW w:w="3135" w:type="dxa"/>
            <w:shd w:val="clear" w:color="auto" w:fill="FFFFFF"/>
          </w:tcPr>
          <w:p w14:paraId="2BC13DB5" w14:textId="77777777" w:rsidR="0062325B" w:rsidRDefault="00000000">
            <w:r>
              <w:rPr>
                <w:rFonts w:ascii="Calibri" w:hAnsi="Calibri"/>
                <w:sz w:val="18"/>
              </w:rPr>
              <w:t>Good if beta-blockers contraindicated</w:t>
            </w:r>
          </w:p>
        </w:tc>
      </w:tr>
      <w:tr w:rsidR="0062325B" w14:paraId="5F5E9F65" w14:textId="77777777">
        <w:tc>
          <w:tcPr>
            <w:tcW w:w="3135" w:type="dxa"/>
            <w:shd w:val="clear" w:color="auto" w:fill="FFF8F0"/>
          </w:tcPr>
          <w:p w14:paraId="6B33A2FF" w14:textId="77777777" w:rsidR="0062325B" w:rsidRDefault="00000000">
            <w:r>
              <w:rPr>
                <w:rFonts w:ascii="Calibri" w:hAnsi="Calibri"/>
                <w:b/>
                <w:sz w:val="18"/>
              </w:rPr>
              <w:t>Pizotifen</w:t>
            </w:r>
          </w:p>
        </w:tc>
        <w:tc>
          <w:tcPr>
            <w:tcW w:w="3135" w:type="dxa"/>
            <w:shd w:val="clear" w:color="auto" w:fill="FFF8F0"/>
          </w:tcPr>
          <w:p w14:paraId="37010EE4" w14:textId="77777777" w:rsidR="0062325B" w:rsidRDefault="00000000">
            <w:r>
              <w:rPr>
                <w:rFonts w:ascii="Calibri" w:hAnsi="Calibri"/>
                <w:sz w:val="18"/>
              </w:rPr>
              <w:t>500mcg nocte → 3mg/day</w:t>
            </w:r>
          </w:p>
        </w:tc>
        <w:tc>
          <w:tcPr>
            <w:tcW w:w="3135" w:type="dxa"/>
            <w:shd w:val="clear" w:color="auto" w:fill="FFF8F0"/>
          </w:tcPr>
          <w:p w14:paraId="3EA51D37" w14:textId="77777777" w:rsidR="0062325B" w:rsidRDefault="00000000">
            <w:r>
              <w:rPr>
                <w:rFonts w:ascii="Calibri" w:hAnsi="Calibri"/>
                <w:sz w:val="18"/>
              </w:rPr>
              <w:t>Falling out of favour: weight gain and sedation</w:t>
            </w:r>
          </w:p>
        </w:tc>
      </w:tr>
    </w:tbl>
    <w:p w14:paraId="4C15CC6B" w14:textId="77777777" w:rsidR="0062325B" w:rsidRDefault="0062325B"/>
    <w:p w14:paraId="7B4FFFD5" w14:textId="77777777" w:rsidR="0062325B" w:rsidRDefault="00000000">
      <w:pPr>
        <w:pBdr>
          <w:bottom w:val="single" w:sz="6" w:space="1" w:color="E0651F"/>
        </w:pBdr>
        <w:spacing w:before="240" w:after="80"/>
      </w:pPr>
      <w:r>
        <w:rPr>
          <w:rFonts w:ascii="Calibri" w:hAnsi="Calibri"/>
          <w:b/>
          <w:color w:val="1A3A5C"/>
          <w:sz w:val="28"/>
        </w:rPr>
        <w:t>7. Tension-Type Headache Management</w:t>
      </w:r>
    </w:p>
    <w:p w14:paraId="47167BD9" w14:textId="77777777" w:rsidR="0062325B" w:rsidRDefault="00000000">
      <w:pPr>
        <w:pStyle w:val="ListBullet"/>
        <w:spacing w:before="20" w:after="20"/>
        <w:ind w:left="283"/>
      </w:pPr>
      <w:r>
        <w:rPr>
          <w:rFonts w:ascii="Calibri" w:hAnsi="Calibri"/>
          <w:sz w:val="21"/>
        </w:rPr>
        <w:t>Acute: paracetamol 1g; ibuprofen 400–600mg; aspirin 600–900mg; naproxen 250–500mg</w:t>
      </w:r>
    </w:p>
    <w:p w14:paraId="449A1C35" w14:textId="77777777" w:rsidR="0062325B" w:rsidRDefault="00000000">
      <w:pPr>
        <w:pStyle w:val="ListBullet"/>
        <w:spacing w:before="20" w:after="20"/>
        <w:ind w:left="283"/>
      </w:pPr>
      <w:r>
        <w:rPr>
          <w:rFonts w:ascii="Calibri" w:hAnsi="Calibri"/>
          <w:sz w:val="21"/>
        </w:rPr>
        <w:t>AVOID codeine (high MOH risk); avoid daily opioids</w:t>
      </w:r>
    </w:p>
    <w:p w14:paraId="6738F811" w14:textId="77777777" w:rsidR="0062325B" w:rsidRDefault="00000000">
      <w:pPr>
        <w:pStyle w:val="ListBullet"/>
        <w:spacing w:before="20" w:after="20"/>
        <w:ind w:left="283"/>
      </w:pPr>
      <w:r>
        <w:rPr>
          <w:rFonts w:ascii="Calibri" w:hAnsi="Calibri"/>
          <w:sz w:val="21"/>
        </w:rPr>
        <w:t>Prophylaxis (chronic TTH, ≥2/week): amitriptyline 10–75mg nocte (first-line)</w:t>
      </w:r>
    </w:p>
    <w:p w14:paraId="0F9183B6" w14:textId="77777777" w:rsidR="0062325B" w:rsidRDefault="00000000">
      <w:pPr>
        <w:pStyle w:val="ListBullet"/>
        <w:spacing w:before="20" w:after="20"/>
        <w:ind w:left="283"/>
      </w:pPr>
      <w:r>
        <w:rPr>
          <w:rFonts w:ascii="Calibri" w:hAnsi="Calibri"/>
          <w:sz w:val="21"/>
        </w:rPr>
        <w:t>Non-pharmacological: NICE recommends acupuncture (10 sessions over 5–8 weeks)</w:t>
      </w:r>
    </w:p>
    <w:p w14:paraId="5C76A74B" w14:textId="77777777" w:rsidR="0062325B" w:rsidRDefault="00000000">
      <w:pPr>
        <w:pStyle w:val="ListBullet"/>
        <w:spacing w:before="20" w:after="20"/>
        <w:ind w:left="283"/>
      </w:pPr>
      <w:r>
        <w:rPr>
          <w:rFonts w:ascii="Calibri" w:hAnsi="Calibri"/>
          <w:sz w:val="21"/>
        </w:rPr>
        <w:t>Relaxation therapy, biofeedback, physiotherapy for cervicogenic component</w:t>
      </w:r>
    </w:p>
    <w:p w14:paraId="4EFCE1B4" w14:textId="77777777" w:rsidR="0062325B" w:rsidRDefault="00000000">
      <w:pPr>
        <w:pStyle w:val="ListBullet"/>
        <w:spacing w:before="20" w:after="20"/>
        <w:ind w:left="283"/>
      </w:pPr>
      <w:r>
        <w:rPr>
          <w:rFonts w:ascii="Calibri" w:hAnsi="Calibri"/>
          <w:sz w:val="21"/>
        </w:rPr>
        <w:t>Headache diary — identify triggers and monitor treatment response</w:t>
      </w:r>
    </w:p>
    <w:p w14:paraId="566BA116" w14:textId="77777777" w:rsidR="0062325B" w:rsidRDefault="0062325B"/>
    <w:p w14:paraId="1D5BDD70" w14:textId="77777777" w:rsidR="00FA109F" w:rsidRDefault="00FA109F">
      <w:pPr>
        <w:rPr>
          <w:rFonts w:ascii="Calibri" w:hAnsi="Calibri"/>
          <w:b/>
          <w:color w:val="1A3A5C"/>
          <w:sz w:val="28"/>
        </w:rPr>
      </w:pPr>
      <w:r>
        <w:rPr>
          <w:rFonts w:ascii="Calibri" w:hAnsi="Calibri"/>
          <w:b/>
          <w:color w:val="1A3A5C"/>
          <w:sz w:val="28"/>
        </w:rPr>
        <w:br w:type="page"/>
      </w:r>
    </w:p>
    <w:p w14:paraId="7A0FBC01" w14:textId="34723B5B" w:rsidR="0062325B" w:rsidRDefault="00000000">
      <w:pPr>
        <w:pBdr>
          <w:bottom w:val="single" w:sz="6" w:space="1" w:color="E0651F"/>
        </w:pBdr>
        <w:spacing w:before="240" w:after="80"/>
      </w:pPr>
      <w:r>
        <w:rPr>
          <w:rFonts w:ascii="Calibri" w:hAnsi="Calibri"/>
          <w:b/>
          <w:color w:val="1A3A5C"/>
          <w:sz w:val="28"/>
        </w:rPr>
        <w:lastRenderedPageBreak/>
        <w:t>8. Secondary Headaches — Quick Reference</w:t>
      </w:r>
    </w:p>
    <w:p w14:paraId="48AC6B99" w14:textId="77777777" w:rsidR="0062325B" w:rsidRDefault="00000000">
      <w:pPr>
        <w:ind w:left="283"/>
      </w:pPr>
      <w:r>
        <w:rPr>
          <w:rFonts w:ascii="Calibri" w:hAnsi="Calibri"/>
          <w:b/>
          <w:sz w:val="21"/>
        </w:rPr>
        <w:t xml:space="preserve">Subarachnoid Haemorrhage: </w:t>
      </w:r>
      <w:r>
        <w:rPr>
          <w:rFonts w:ascii="Calibri" w:hAnsi="Calibri"/>
          <w:sz w:val="21"/>
        </w:rPr>
        <w:t>Thunderclap. Worst headache of life. Meningism. → 999. CT → LP if CT negative</w:t>
      </w:r>
    </w:p>
    <w:p w14:paraId="19A8A287" w14:textId="77777777" w:rsidR="0062325B" w:rsidRDefault="00000000">
      <w:pPr>
        <w:ind w:left="283"/>
      </w:pPr>
      <w:r>
        <w:rPr>
          <w:rFonts w:ascii="Calibri" w:hAnsi="Calibri"/>
          <w:b/>
          <w:sz w:val="21"/>
        </w:rPr>
        <w:t xml:space="preserve">Giant Cell Arteritis: </w:t>
      </w:r>
      <w:r>
        <w:rPr>
          <w:rFonts w:ascii="Calibri" w:hAnsi="Calibri"/>
          <w:sz w:val="21"/>
        </w:rPr>
        <w:t>Age &gt;50. Temple pain, jaw claudication, scalp tenderness. ESR/CRP raised. → Prednisolone 40–60mg SAME DAY + urgent referral</w:t>
      </w:r>
    </w:p>
    <w:p w14:paraId="756FD5A1" w14:textId="77777777" w:rsidR="0062325B" w:rsidRDefault="00000000">
      <w:pPr>
        <w:ind w:left="283"/>
      </w:pPr>
      <w:r>
        <w:rPr>
          <w:rFonts w:ascii="Calibri" w:hAnsi="Calibri"/>
          <w:b/>
          <w:sz w:val="21"/>
        </w:rPr>
        <w:t xml:space="preserve">Raised ICP/SOL: </w:t>
      </w:r>
      <w:r>
        <w:rPr>
          <w:rFonts w:ascii="Calibri" w:hAnsi="Calibri"/>
          <w:sz w:val="21"/>
        </w:rPr>
        <w:t>Progressive, worse in morning, vomiting, papilloedema → Urgent MRI/CT</w:t>
      </w:r>
    </w:p>
    <w:p w14:paraId="5E63715B" w14:textId="77777777" w:rsidR="0062325B" w:rsidRDefault="00000000">
      <w:pPr>
        <w:ind w:left="283"/>
      </w:pPr>
      <w:r>
        <w:rPr>
          <w:rFonts w:ascii="Calibri" w:hAnsi="Calibri"/>
          <w:b/>
          <w:sz w:val="21"/>
        </w:rPr>
        <w:t xml:space="preserve">Meningitis: </w:t>
      </w:r>
      <w:r>
        <w:rPr>
          <w:rFonts w:ascii="Calibri" w:hAnsi="Calibri"/>
          <w:sz w:val="21"/>
        </w:rPr>
        <w:t>Fever + headache + meningism + rash → 999, IM benzylpenicillin if petechial rash</w:t>
      </w:r>
    </w:p>
    <w:p w14:paraId="2800913E" w14:textId="77777777" w:rsidR="0062325B" w:rsidRDefault="00000000">
      <w:pPr>
        <w:ind w:left="283"/>
      </w:pPr>
      <w:r>
        <w:rPr>
          <w:rFonts w:ascii="Calibri" w:hAnsi="Calibri"/>
          <w:b/>
          <w:sz w:val="21"/>
        </w:rPr>
        <w:t xml:space="preserve">Cervicogenic: </w:t>
      </w:r>
      <w:r>
        <w:rPr>
          <w:rFonts w:ascii="Calibri" w:hAnsi="Calibri"/>
          <w:sz w:val="21"/>
        </w:rPr>
        <w:t>Occipital/neck origin; restricted neck movement; physiotherapy + analgesia</w:t>
      </w:r>
    </w:p>
    <w:p w14:paraId="38D0C18E" w14:textId="77777777" w:rsidR="0062325B" w:rsidRDefault="00000000">
      <w:pPr>
        <w:ind w:left="283"/>
      </w:pPr>
      <w:r>
        <w:rPr>
          <w:rFonts w:ascii="Calibri" w:hAnsi="Calibri"/>
          <w:b/>
          <w:sz w:val="21"/>
        </w:rPr>
        <w:t xml:space="preserve">Analgesic overuse: </w:t>
      </w:r>
      <w:r>
        <w:rPr>
          <w:rFonts w:ascii="Calibri" w:hAnsi="Calibri"/>
          <w:sz w:val="21"/>
        </w:rPr>
        <w:t>Daily headache worse on waking; MOH thresholds exceeded → Withdrawal strategy</w:t>
      </w:r>
    </w:p>
    <w:p w14:paraId="3DB450F7" w14:textId="684AE12F" w:rsidR="0062325B" w:rsidRDefault="00000000" w:rsidP="00FA109F">
      <w:pPr>
        <w:ind w:left="283"/>
      </w:pPr>
      <w:r>
        <w:rPr>
          <w:rFonts w:ascii="Calibri" w:hAnsi="Calibri"/>
          <w:b/>
          <w:sz w:val="21"/>
        </w:rPr>
        <w:t xml:space="preserve">CO poisoning: </w:t>
      </w:r>
      <w:r>
        <w:rPr>
          <w:rFonts w:ascii="Calibri" w:hAnsi="Calibri"/>
          <w:sz w:val="21"/>
        </w:rPr>
        <w:t>Bilateral, multiple household members, better away from home → Check CO exposure</w:t>
      </w:r>
    </w:p>
    <w:p w14:paraId="4992DFA2" w14:textId="77777777" w:rsidR="0062325B" w:rsidRDefault="00000000">
      <w:pPr>
        <w:pBdr>
          <w:bottom w:val="single" w:sz="6" w:space="1" w:color="E0651F"/>
        </w:pBdr>
        <w:spacing w:before="240" w:after="80"/>
      </w:pPr>
      <w:r>
        <w:rPr>
          <w:rFonts w:ascii="Calibri" w:hAnsi="Calibri"/>
          <w:b/>
          <w:color w:val="007070"/>
          <w:sz w:val="28"/>
        </w:rPr>
        <w:t>9. AKT &amp; SCA Exam Pearls</w:t>
      </w:r>
    </w:p>
    <w:p w14:paraId="229A23C5" w14:textId="77777777" w:rsidR="0062325B" w:rsidRDefault="00000000">
      <w:pPr>
        <w:spacing w:before="40" w:after="40"/>
      </w:pPr>
      <w:r>
        <w:rPr>
          <w:rFonts w:ascii="Calibri" w:hAnsi="Calibri"/>
          <w:b/>
          <w:color w:val="007070"/>
        </w:rPr>
        <w:t>AKT High-Yield Points:</w:t>
      </w:r>
    </w:p>
    <w:p w14:paraId="0E5AEED9" w14:textId="77777777" w:rsidR="0062325B" w:rsidRDefault="00000000">
      <w:pPr>
        <w:pStyle w:val="ListBullet"/>
        <w:spacing w:before="20" w:after="20"/>
        <w:ind w:left="283"/>
      </w:pPr>
      <w:r>
        <w:rPr>
          <w:rFonts w:ascii="Calibri" w:hAnsi="Calibri"/>
          <w:sz w:val="21"/>
        </w:rPr>
        <w:t>✦ MOH thresholds: analgesics ≥15 days/month; triptans/opioids ≥10 days/month</w:t>
      </w:r>
    </w:p>
    <w:p w14:paraId="5189A9BD" w14:textId="77777777" w:rsidR="0062325B" w:rsidRDefault="00000000">
      <w:pPr>
        <w:pStyle w:val="ListBullet"/>
        <w:spacing w:before="20" w:after="20"/>
        <w:ind w:left="283"/>
      </w:pPr>
      <w:r>
        <w:rPr>
          <w:rFonts w:ascii="Calibri" w:hAnsi="Calibri"/>
          <w:sz w:val="21"/>
        </w:rPr>
        <w:t>✦ NICE CG150 (Dec 2025): offer triptan + NSAID together at attack onset</w:t>
      </w:r>
    </w:p>
    <w:p w14:paraId="29418643" w14:textId="77777777" w:rsidR="0062325B" w:rsidRDefault="00000000">
      <w:pPr>
        <w:pStyle w:val="ListBullet"/>
        <w:spacing w:before="20" w:after="20"/>
        <w:ind w:left="283"/>
      </w:pPr>
      <w:r>
        <w:rPr>
          <w:rFonts w:ascii="Calibri" w:hAnsi="Calibri"/>
          <w:sz w:val="21"/>
        </w:rPr>
        <w:t>✦ Topiramate and sodium valproate: mandatory Pregnancy Prevention Programme (MHRA)</w:t>
      </w:r>
    </w:p>
    <w:p w14:paraId="51C88092" w14:textId="77777777" w:rsidR="0062325B" w:rsidRDefault="00000000">
      <w:pPr>
        <w:pStyle w:val="ListBullet"/>
        <w:spacing w:before="20" w:after="20"/>
        <w:ind w:left="283"/>
      </w:pPr>
      <w:r>
        <w:rPr>
          <w:rFonts w:ascii="Calibri" w:hAnsi="Calibri"/>
          <w:sz w:val="21"/>
        </w:rPr>
        <w:t>✦ Rimegepant (NICE TA906): acute + every-other-day prevention; no MOH risk</w:t>
      </w:r>
    </w:p>
    <w:p w14:paraId="13F93EC7" w14:textId="77777777" w:rsidR="0062325B" w:rsidRDefault="00000000">
      <w:pPr>
        <w:pStyle w:val="ListBullet"/>
        <w:spacing w:before="20" w:after="20"/>
        <w:ind w:left="283"/>
      </w:pPr>
      <w:r>
        <w:rPr>
          <w:rFonts w:ascii="Calibri" w:hAnsi="Calibri"/>
          <w:sz w:val="21"/>
        </w:rPr>
        <w:t>✦ Rizatriptan + propranolol interaction: reduce rizatriptan to 5mg</w:t>
      </w:r>
    </w:p>
    <w:p w14:paraId="5BEA14AF" w14:textId="77777777" w:rsidR="0062325B" w:rsidRDefault="00000000">
      <w:pPr>
        <w:pStyle w:val="ListBullet"/>
        <w:spacing w:before="20" w:after="20"/>
        <w:ind w:left="283"/>
      </w:pPr>
      <w:r>
        <w:rPr>
          <w:rFonts w:ascii="Calibri" w:hAnsi="Calibri"/>
          <w:sz w:val="21"/>
        </w:rPr>
        <w:t>✦ Migraine with aura + COC = UKMEC 4 — absolute contraindication (stroke risk)</w:t>
      </w:r>
    </w:p>
    <w:p w14:paraId="3E2866D9" w14:textId="77777777" w:rsidR="0062325B" w:rsidRDefault="00000000">
      <w:pPr>
        <w:pStyle w:val="ListBullet"/>
        <w:spacing w:before="20" w:after="20"/>
        <w:ind w:left="283"/>
      </w:pPr>
      <w:r>
        <w:rPr>
          <w:rFonts w:ascii="Calibri" w:hAnsi="Calibri"/>
          <w:sz w:val="21"/>
        </w:rPr>
        <w:t>✦ GCA: prednisolone same day; biopsy within 2 weeks but treatment must not be delayed</w:t>
      </w:r>
    </w:p>
    <w:p w14:paraId="2EFE748A" w14:textId="77777777" w:rsidR="0062325B" w:rsidRDefault="00000000">
      <w:pPr>
        <w:pStyle w:val="ListBullet"/>
        <w:spacing w:before="20" w:after="20"/>
        <w:ind w:left="283"/>
      </w:pPr>
      <w:r>
        <w:rPr>
          <w:rFonts w:ascii="Calibri" w:hAnsi="Calibri"/>
          <w:sz w:val="21"/>
        </w:rPr>
        <w:t>✦ ABCD2 score: no longer recommended by NICE for TIA risk stratification (Nov 2025)</w:t>
      </w:r>
    </w:p>
    <w:p w14:paraId="3D084A71" w14:textId="68918A1D" w:rsidR="0062325B" w:rsidRDefault="00000000" w:rsidP="00FA109F">
      <w:pPr>
        <w:pStyle w:val="ListBullet"/>
        <w:spacing w:before="20" w:after="20"/>
        <w:ind w:left="283"/>
      </w:pPr>
      <w:r>
        <w:rPr>
          <w:rFonts w:ascii="Calibri" w:hAnsi="Calibri"/>
          <w:sz w:val="21"/>
        </w:rPr>
        <w:t>✦ Acupuncture: NICE-recommended for both migraine and tension headache prophylaxis</w:t>
      </w:r>
    </w:p>
    <w:p w14:paraId="021CA067" w14:textId="77777777" w:rsidR="0062325B" w:rsidRDefault="00000000">
      <w:pPr>
        <w:spacing w:before="40" w:after="40"/>
      </w:pPr>
      <w:r>
        <w:rPr>
          <w:rFonts w:ascii="Calibri" w:hAnsi="Calibri"/>
          <w:b/>
          <w:color w:val="007070"/>
        </w:rPr>
        <w:t>SCA Communication Tips:</w:t>
      </w:r>
    </w:p>
    <w:p w14:paraId="1F42509C" w14:textId="77777777" w:rsidR="0062325B" w:rsidRDefault="00000000">
      <w:pPr>
        <w:pStyle w:val="ListBullet"/>
        <w:spacing w:before="20" w:after="20"/>
        <w:ind w:left="283"/>
      </w:pPr>
      <w:r>
        <w:rPr>
          <w:rFonts w:ascii="Calibri" w:hAnsi="Calibri"/>
          <w:sz w:val="21"/>
        </w:rPr>
        <w:t>"Before I look at treatment, I'd like to understand how much pain you're in and how it's affecting your day-to-day life."</w:t>
      </w:r>
    </w:p>
    <w:p w14:paraId="4E1B2533" w14:textId="77777777" w:rsidR="0062325B" w:rsidRDefault="00000000">
      <w:pPr>
        <w:pStyle w:val="ListBullet"/>
        <w:spacing w:before="20" w:after="20"/>
        <w:ind w:left="283"/>
      </w:pPr>
      <w:r>
        <w:rPr>
          <w:rFonts w:ascii="Calibri" w:hAnsi="Calibri"/>
          <w:sz w:val="21"/>
        </w:rPr>
        <w:t>"I'd like to ask about painkillers — how often are you using them? More than 10–15 days a month can actually make headaches worse."</w:t>
      </w:r>
    </w:p>
    <w:p w14:paraId="026EECAC" w14:textId="77777777" w:rsidR="0062325B" w:rsidRDefault="00000000">
      <w:pPr>
        <w:pStyle w:val="ListBullet"/>
        <w:spacing w:before="20" w:after="20"/>
        <w:ind w:left="283"/>
      </w:pPr>
      <w:r>
        <w:rPr>
          <w:rFonts w:ascii="Calibri" w:hAnsi="Calibri"/>
          <w:sz w:val="21"/>
        </w:rPr>
        <w:t>"The good news is this isn't a brain tumour. Most headaches are a condition called... and we can manage this really effectively."</w:t>
      </w:r>
    </w:p>
    <w:p w14:paraId="747A3F79" w14:textId="77777777" w:rsidR="0062325B" w:rsidRDefault="00000000">
      <w:pPr>
        <w:pStyle w:val="ListBullet"/>
        <w:spacing w:before="20" w:after="20"/>
        <w:ind w:left="283"/>
      </w:pPr>
      <w:r>
        <w:rPr>
          <w:rFonts w:ascii="Calibri" w:hAnsi="Calibri"/>
          <w:sz w:val="21"/>
        </w:rPr>
        <w:t>Safety-net: "If you ever develop the worst headache of your life, or it comes on suddenly like a thunderclap — call 999 immediately."</w:t>
      </w:r>
    </w:p>
    <w:p w14:paraId="10E1FF9F" w14:textId="77777777" w:rsidR="0062325B" w:rsidRDefault="0062325B"/>
    <w:tbl>
      <w:tblPr>
        <w:tblW w:w="0" w:type="auto"/>
        <w:tblLook w:val="04A0" w:firstRow="1" w:lastRow="0" w:firstColumn="1" w:lastColumn="0" w:noHBand="0" w:noVBand="1"/>
      </w:tblPr>
      <w:tblGrid>
        <w:gridCol w:w="9406"/>
      </w:tblGrid>
      <w:tr w:rsidR="0062325B" w14:paraId="3EC8BB74" w14:textId="77777777">
        <w:tc>
          <w:tcPr>
            <w:tcW w:w="9406" w:type="dxa"/>
            <w:shd w:val="clear" w:color="auto" w:fill="FFF3CD"/>
          </w:tcPr>
          <w:p w14:paraId="49182824" w14:textId="77777777" w:rsidR="0062325B" w:rsidRDefault="00000000">
            <w:r>
              <w:rPr>
                <w:rFonts w:ascii="Calibri" w:hAnsi="Calibri"/>
                <w:i/>
                <w:sz w:val="18"/>
              </w:rPr>
              <w:t>⚠ Always double check this advice and drug doses with the latest NICE/BNF guidance. This document is for educational purposes only.</w:t>
            </w:r>
          </w:p>
        </w:tc>
      </w:tr>
    </w:tbl>
    <w:p w14:paraId="35CC2AD5" w14:textId="77777777" w:rsidR="0062325B" w:rsidRDefault="0062325B"/>
    <w:p w14:paraId="7493F11C" w14:textId="77777777" w:rsidR="0062325B" w:rsidRDefault="00000000">
      <w:pPr>
        <w:jc w:val="center"/>
      </w:pPr>
      <w:r>
        <w:rPr>
          <w:rFonts w:ascii="Calibri" w:hAnsi="Calibri"/>
          <w:color w:val="808080"/>
          <w:sz w:val="16"/>
        </w:rPr>
        <w:t>A free resource provided by www.bradfordvts.co.uk, Dr Ramesh Mehay, revised May 2026</w:t>
      </w:r>
    </w:p>
    <w:sectPr w:rsidR="0062325B"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0724833">
    <w:abstractNumId w:val="8"/>
  </w:num>
  <w:num w:numId="2" w16cid:durableId="1348675761">
    <w:abstractNumId w:val="6"/>
  </w:num>
  <w:num w:numId="3" w16cid:durableId="1840192550">
    <w:abstractNumId w:val="5"/>
  </w:num>
  <w:num w:numId="4" w16cid:durableId="535699933">
    <w:abstractNumId w:val="4"/>
  </w:num>
  <w:num w:numId="5" w16cid:durableId="1423918008">
    <w:abstractNumId w:val="7"/>
  </w:num>
  <w:num w:numId="6" w16cid:durableId="236015769">
    <w:abstractNumId w:val="3"/>
  </w:num>
  <w:num w:numId="7" w16cid:durableId="797724107">
    <w:abstractNumId w:val="2"/>
  </w:num>
  <w:num w:numId="8" w16cid:durableId="733160612">
    <w:abstractNumId w:val="1"/>
  </w:num>
  <w:num w:numId="9" w16cid:durableId="213616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2325B"/>
    <w:rsid w:val="00716276"/>
    <w:rsid w:val="00AA1D8D"/>
    <w:rsid w:val="00B47730"/>
    <w:rsid w:val="00CB0664"/>
    <w:rsid w:val="00FA10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03F774"/>
  <w14:defaultImageDpi w14:val="300"/>
  <w15:docId w15:val="{B3C3A04E-DDA5-476D-A017-0AB3DA6C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1362</Words>
  <Characters>8492</Characters>
  <Application>Microsoft Office Word</Application>
  <DocSecurity>0</DocSecurity>
  <Lines>249</Lines>
  <Paragraphs>214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2026-06-17T01:17:00Z</dcterms:modified>
  <cp:category/>
</cp:coreProperties>
</file>