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6"/>
      </w:tblGrid>
      <w:tr w:rsidR="006E65E7" w14:paraId="45AC7BFA" w14:textId="77777777">
        <w:tc>
          <w:tcPr>
            <w:tcW w:w="9406" w:type="dxa"/>
            <w:shd w:val="clear" w:color="auto" w:fill="E0651F"/>
          </w:tcPr>
          <w:p w14:paraId="4C6DD147" w14:textId="77777777" w:rsidR="006E65E7" w:rsidRDefault="00000000">
            <w:pPr>
              <w:jc w:val="center"/>
            </w:pPr>
            <w:r>
              <w:rPr>
                <w:rFonts w:ascii="Calibri" w:hAnsi="Calibri"/>
                <w:b/>
                <w:color w:val="FFFFFF"/>
              </w:rPr>
              <w:t>BRADFORD VTS TEACHING AIDS</w:t>
            </w:r>
          </w:p>
          <w:p w14:paraId="2C02702E" w14:textId="77777777" w:rsidR="006E65E7" w:rsidRDefault="00000000">
            <w:pPr>
              <w:jc w:val="center"/>
            </w:pPr>
            <w:r>
              <w:rPr>
                <w:rFonts w:ascii="Calibri" w:hAnsi="Calibri"/>
                <w:b/>
                <w:color w:val="FFFFFF"/>
                <w:sz w:val="56"/>
              </w:rPr>
              <w:t>Neurology in General Practice — Tutorial Framework</w:t>
            </w:r>
          </w:p>
          <w:p w14:paraId="749650F3" w14:textId="77777777" w:rsidR="006E65E7" w:rsidRDefault="00000000">
            <w:pPr>
              <w:jc w:val="center"/>
            </w:pPr>
            <w:r>
              <w:rPr>
                <w:rFonts w:ascii="Calibri" w:hAnsi="Calibri"/>
                <w:i/>
                <w:color w:val="FFFFFF"/>
              </w:rPr>
              <w:t>Tutorial Planning Guide · Bradford VTS · May 2026</w:t>
            </w:r>
          </w:p>
        </w:tc>
      </w:tr>
    </w:tbl>
    <w:p w14:paraId="051D0FD9" w14:textId="77777777" w:rsidR="006E65E7" w:rsidRDefault="006E65E7"/>
    <w:p w14:paraId="46F5AC22" w14:textId="77777777" w:rsidR="006E65E7" w:rsidRDefault="00000000">
      <w:pPr>
        <w:spacing w:before="40" w:after="40"/>
      </w:pPr>
      <w:r>
        <w:rPr>
          <w:rFonts w:ascii="Calibri" w:hAnsi="Calibri"/>
        </w:rPr>
        <w:t>This tutorial framework guides GP trainees and their educational supervisors through a structured review of the most important neurological presentations in primary care. Updated to reflect current NICE/NICE CKS guidance (2024–2025).</w:t>
      </w:r>
    </w:p>
    <w:p w14:paraId="59D965F2" w14:textId="77777777" w:rsidR="006E65E7" w:rsidRDefault="006E65E7"/>
    <w:tbl>
      <w:tblPr>
        <w:tblW w:w="0" w:type="auto"/>
        <w:tblLook w:val="04A0" w:firstRow="1" w:lastRow="0" w:firstColumn="1" w:lastColumn="0" w:noHBand="0" w:noVBand="1"/>
      </w:tblPr>
      <w:tblGrid>
        <w:gridCol w:w="9406"/>
      </w:tblGrid>
      <w:tr w:rsidR="006E65E7" w14:paraId="3133BE60" w14:textId="77777777">
        <w:tc>
          <w:tcPr>
            <w:tcW w:w="9406" w:type="dxa"/>
            <w:shd w:val="clear" w:color="auto" w:fill="E8F4E8"/>
          </w:tcPr>
          <w:p w14:paraId="0428EDB4" w14:textId="77777777" w:rsidR="006E65E7" w:rsidRDefault="00000000">
            <w:pPr>
              <w:spacing w:before="80" w:after="80"/>
              <w:ind w:left="170"/>
            </w:pPr>
            <w:r>
              <w:rPr>
                <w:b/>
                <w:color w:val="006030"/>
                <w:sz w:val="20"/>
              </w:rPr>
              <w:t xml:space="preserve">ℹ Key Principle: </w:t>
            </w:r>
            <w:r>
              <w:rPr>
                <w:rFonts w:ascii="Calibri" w:hAnsi="Calibri"/>
                <w:color w:val="006030"/>
                <w:sz w:val="20"/>
              </w:rPr>
              <w:t>Core principle: Most neurological diagnoses are made from the history alone. A systematic approach and knowledge of when to refer urgently is more important than neurological examination skills.</w:t>
            </w:r>
          </w:p>
        </w:tc>
      </w:tr>
    </w:tbl>
    <w:p w14:paraId="291B3441" w14:textId="77777777" w:rsidR="006E65E7" w:rsidRDefault="006E65E7"/>
    <w:p w14:paraId="13B0711D" w14:textId="77777777" w:rsidR="006E65E7" w:rsidRDefault="00000000">
      <w:pPr>
        <w:pBdr>
          <w:bottom w:val="single" w:sz="6" w:space="1" w:color="E0651F"/>
        </w:pBdr>
        <w:spacing w:before="240" w:after="80"/>
      </w:pPr>
      <w:r>
        <w:rPr>
          <w:rFonts w:ascii="Calibri" w:hAnsi="Calibri"/>
          <w:b/>
          <w:color w:val="1A3A5C"/>
          <w:sz w:val="28"/>
        </w:rPr>
        <w:t>1. Learning Outcomes</w:t>
      </w:r>
    </w:p>
    <w:p w14:paraId="72F034A8" w14:textId="77777777" w:rsidR="006E65E7" w:rsidRDefault="00000000">
      <w:pPr>
        <w:spacing w:before="40" w:after="40"/>
      </w:pPr>
      <w:r>
        <w:rPr>
          <w:rFonts w:ascii="Calibri" w:hAnsi="Calibri"/>
        </w:rPr>
        <w:t>By the end of this tutorial, trainees should be able to:</w:t>
      </w:r>
    </w:p>
    <w:p w14:paraId="04210A0B" w14:textId="77777777" w:rsidR="006E65E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Classify headaches and apply red flag screening (SNOOP4)</w:t>
      </w:r>
    </w:p>
    <w:p w14:paraId="028B08F7" w14:textId="77777777" w:rsidR="006E65E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Diagnose and manage tension-type headache, migraine, and MOH to current NICE CG150 (Dec 2025) standards</w:t>
      </w:r>
    </w:p>
    <w:p w14:paraId="2AE38B5A" w14:textId="77777777" w:rsidR="006E65E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Describe seizure classification and manage a first seizure in primary care</w:t>
      </w:r>
    </w:p>
    <w:p w14:paraId="7665C832" w14:textId="77777777" w:rsidR="006E65E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Apply current MHRA guidance on sodium valproate and topiramate safety</w:t>
      </w:r>
    </w:p>
    <w:p w14:paraId="39BE2877" w14:textId="77777777" w:rsidR="006E65E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Manage a suspected TIA correctly (NICE CKS Nov 2025: urgent 24h referral; ABCD2 not recommended)</w:t>
      </w:r>
    </w:p>
    <w:p w14:paraId="4F233246" w14:textId="77777777" w:rsidR="006E65E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Distinguish peripheral from central causes of vertigo and apply Epley manoeuvre to BPPV</w:t>
      </w:r>
    </w:p>
    <w:p w14:paraId="144C877E" w14:textId="77777777" w:rsidR="006E65E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Diagnose and manage Bell's palsy, trigeminal neuralgia, and GCA in primary care</w:t>
      </w:r>
    </w:p>
    <w:p w14:paraId="56F69B01" w14:textId="77777777" w:rsidR="006E65E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Counsel patients about DVLA regulations for epilepsy, TIA, and Parkinson's disease</w:t>
      </w:r>
    </w:p>
    <w:p w14:paraId="4DA551F9" w14:textId="77777777" w:rsidR="006E65E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Identify red flags across neurology requiring urgent or emergency referral</w:t>
      </w:r>
    </w:p>
    <w:p w14:paraId="5A46AAC7" w14:textId="77777777" w:rsidR="006E65E7" w:rsidRDefault="006E65E7"/>
    <w:p w14:paraId="64126EA8" w14:textId="77777777" w:rsidR="006E65E7" w:rsidRDefault="00000000">
      <w:pPr>
        <w:pBdr>
          <w:bottom w:val="single" w:sz="6" w:space="1" w:color="E0651F"/>
        </w:pBdr>
        <w:spacing w:before="240" w:after="80"/>
      </w:pPr>
      <w:r>
        <w:rPr>
          <w:rFonts w:ascii="Calibri" w:hAnsi="Calibri"/>
          <w:b/>
          <w:color w:val="1A3A5C"/>
          <w:sz w:val="28"/>
        </w:rPr>
        <w:t>2. Pre-Tutorial Preparation</w:t>
      </w:r>
    </w:p>
    <w:p w14:paraId="322BFF1F" w14:textId="77777777" w:rsidR="006E65E7" w:rsidRDefault="00000000">
      <w:pPr>
        <w:spacing w:before="40" w:after="40"/>
      </w:pPr>
      <w:r>
        <w:rPr>
          <w:rFonts w:ascii="Calibri" w:hAnsi="Calibri"/>
        </w:rPr>
        <w:t>Suggested preparation for trainees:</w:t>
      </w:r>
    </w:p>
    <w:p w14:paraId="5CE704CD" w14:textId="77777777" w:rsidR="006E65E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Complete 3-minute neurological examination (practise until fluent)</w:t>
      </w:r>
    </w:p>
    <w:p w14:paraId="25B023AF" w14:textId="77777777" w:rsidR="006E65E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Review 2–3 recent neurology consultations from your own practice</w:t>
      </w:r>
    </w:p>
    <w:p w14:paraId="7155CA09" w14:textId="77777777" w:rsidR="006E65E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Read NICE CKS Headache Assessment and NICE CKS Migraine (current versions)</w:t>
      </w:r>
    </w:p>
    <w:p w14:paraId="0334B6D5" w14:textId="77777777" w:rsidR="006E65E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Review NICE CKS Stroke and TIA (updated Nov 2025) — note: ABCD2 score is no longer recommended</w:t>
      </w:r>
    </w:p>
    <w:p w14:paraId="1856AABA" w14:textId="77777777" w:rsidR="006E65E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Read current DVLA fitness-to-drive guidance for epilepsy and TIA</w:t>
      </w:r>
    </w:p>
    <w:p w14:paraId="4FE04E87" w14:textId="77777777" w:rsidR="006E65E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Consider: what neurological presentations have worried me most? What made them hard?</w:t>
      </w:r>
    </w:p>
    <w:p w14:paraId="6B318149" w14:textId="77777777" w:rsidR="006E65E7" w:rsidRDefault="006E65E7"/>
    <w:p w14:paraId="1FD38A09" w14:textId="77777777" w:rsidR="00B6742A" w:rsidRDefault="00B6742A">
      <w:pPr>
        <w:pBdr>
          <w:bottom w:val="single" w:sz="6" w:space="1" w:color="E0651F"/>
        </w:pBdr>
        <w:spacing w:before="240" w:after="80"/>
        <w:rPr>
          <w:rFonts w:ascii="Calibri" w:hAnsi="Calibri"/>
          <w:b/>
          <w:color w:val="1A3A5C"/>
          <w:sz w:val="28"/>
        </w:rPr>
      </w:pPr>
    </w:p>
    <w:p w14:paraId="6539AB1A" w14:textId="1C486190" w:rsidR="006E65E7" w:rsidRDefault="00000000">
      <w:pPr>
        <w:pBdr>
          <w:bottom w:val="single" w:sz="6" w:space="1" w:color="E0651F"/>
        </w:pBdr>
        <w:spacing w:before="240" w:after="80"/>
      </w:pPr>
      <w:r>
        <w:rPr>
          <w:rFonts w:ascii="Calibri" w:hAnsi="Calibri"/>
          <w:b/>
          <w:color w:val="1A3A5C"/>
          <w:sz w:val="28"/>
        </w:rPr>
        <w:lastRenderedPageBreak/>
        <w:t>3. Case-Based Scenarios for Discussion</w:t>
      </w:r>
    </w:p>
    <w:p w14:paraId="7065FFB3" w14:textId="77777777" w:rsidR="006E65E7" w:rsidRDefault="00000000">
      <w:pPr>
        <w:spacing w:before="160"/>
      </w:pPr>
      <w:r>
        <w:rPr>
          <w:rFonts w:ascii="Calibri" w:hAnsi="Calibri"/>
          <w:b/>
          <w:color w:val="1A3A5C"/>
          <w:sz w:val="23"/>
        </w:rPr>
        <w:t xml:space="preserve">Case 1: </w:t>
      </w:r>
      <w:r>
        <w:rPr>
          <w:rFonts w:ascii="Calibri" w:hAnsi="Calibri"/>
        </w:rPr>
        <w:t>A 28-year-old woman presents with a 3-hour severe headache, worse on the right side, with nausea and photophobia. She takes ibuprofen 5–6 days per week.</w:t>
      </w:r>
    </w:p>
    <w:p w14:paraId="140F6E84" w14:textId="77777777" w:rsidR="006E65E7" w:rsidRDefault="00000000">
      <w:pPr>
        <w:spacing w:after="80"/>
        <w:ind w:left="567"/>
      </w:pPr>
      <w:r>
        <w:rPr>
          <w:rFonts w:ascii="Calibri" w:hAnsi="Calibri"/>
          <w:i/>
          <w:color w:val="007070"/>
          <w:sz w:val="20"/>
        </w:rPr>
        <w:t>Key Management: Migraine with possible MOH. NICE CG150 (Dec 2025): combined triptan + NSAID at onset. MOH: ≥10 days/month triptans or ≥15 days/month analgesics. Abrupt withdrawal.</w:t>
      </w:r>
    </w:p>
    <w:p w14:paraId="2F0F746D" w14:textId="77777777" w:rsidR="006E65E7" w:rsidRDefault="00000000">
      <w:pPr>
        <w:spacing w:before="160"/>
      </w:pPr>
      <w:r>
        <w:rPr>
          <w:rFonts w:ascii="Calibri" w:hAnsi="Calibri"/>
          <w:b/>
          <w:color w:val="1A3A5C"/>
          <w:sz w:val="23"/>
        </w:rPr>
        <w:t xml:space="preserve">Case 2: </w:t>
      </w:r>
      <w:r>
        <w:rPr>
          <w:rFonts w:ascii="Calibri" w:hAnsi="Calibri"/>
        </w:rPr>
        <w:t>A 65-year-old man presents with a 45-minute episode of right arm weakness and slurred speech that resolved completely. He drives a car.</w:t>
      </w:r>
    </w:p>
    <w:p w14:paraId="7EF25575" w14:textId="77777777" w:rsidR="006E65E7" w:rsidRDefault="00000000">
      <w:pPr>
        <w:spacing w:after="80"/>
        <w:ind w:left="567"/>
      </w:pPr>
      <w:r>
        <w:rPr>
          <w:rFonts w:ascii="Calibri" w:hAnsi="Calibri"/>
          <w:i/>
          <w:color w:val="007070"/>
          <w:sz w:val="20"/>
        </w:rPr>
        <w:t>Key Management: Suspected TIA. NICE CKS (Nov 2025): give aspirin 300mg stat. Urgent referral within 24 hours. ABCD2 score no longer recommended. DVLA: 1-month driving ban. Atorvastatin 80mg, antiplatelet, BP management.</w:t>
      </w:r>
    </w:p>
    <w:p w14:paraId="31C55DDE" w14:textId="77777777" w:rsidR="006E65E7" w:rsidRDefault="00000000">
      <w:pPr>
        <w:spacing w:before="160"/>
      </w:pPr>
      <w:r>
        <w:rPr>
          <w:rFonts w:ascii="Calibri" w:hAnsi="Calibri"/>
          <w:b/>
          <w:color w:val="1A3A5C"/>
          <w:sz w:val="23"/>
        </w:rPr>
        <w:t xml:space="preserve">Case 3: </w:t>
      </w:r>
      <w:r>
        <w:rPr>
          <w:rFonts w:ascii="Calibri" w:hAnsi="Calibri"/>
        </w:rPr>
        <w:t>A 19-year-old student has her first witnessed tonic-clonic seizure. There is no family history. She is on the combined OCP.</w:t>
      </w:r>
    </w:p>
    <w:p w14:paraId="7BAEEAEE" w14:textId="77777777" w:rsidR="006E65E7" w:rsidRDefault="00000000">
      <w:pPr>
        <w:spacing w:after="80"/>
        <w:ind w:left="567"/>
      </w:pPr>
      <w:r>
        <w:rPr>
          <w:rFonts w:ascii="Calibri" w:hAnsi="Calibri"/>
          <w:i/>
          <w:color w:val="007070"/>
          <w:sz w:val="20"/>
        </w:rPr>
        <w:t>Key Management: First seizure. ECG (exclude cardiac). Bloods (metabolic causes). Urgent neurology referral. Stop driving, notify DVLA. Do NOT start ASMs in primary care. If ASM started: review OCP efficacy with enzyme inducers.</w:t>
      </w:r>
    </w:p>
    <w:p w14:paraId="0077B223" w14:textId="77777777" w:rsidR="006E65E7" w:rsidRDefault="00000000">
      <w:pPr>
        <w:spacing w:before="160"/>
      </w:pPr>
      <w:r>
        <w:rPr>
          <w:rFonts w:ascii="Calibri" w:hAnsi="Calibri"/>
          <w:b/>
          <w:color w:val="1A3A5C"/>
          <w:sz w:val="23"/>
        </w:rPr>
        <w:t xml:space="preserve">Case 4: </w:t>
      </w:r>
      <w:r>
        <w:rPr>
          <w:rFonts w:ascii="Calibri" w:hAnsi="Calibri"/>
        </w:rPr>
        <w:t>A 55-year-old woman presents with sudden severe right-sided headache, scalp tenderness when combing hair, and jaw pain when eating. ESR = 78 mm/hr.</w:t>
      </w:r>
    </w:p>
    <w:p w14:paraId="0AF99DFE" w14:textId="77777777" w:rsidR="006E65E7" w:rsidRDefault="00000000">
      <w:pPr>
        <w:spacing w:after="80"/>
        <w:ind w:left="567"/>
      </w:pPr>
      <w:r>
        <w:rPr>
          <w:rFonts w:ascii="Calibri" w:hAnsi="Calibri"/>
          <w:i/>
          <w:color w:val="007070"/>
          <w:sz w:val="20"/>
        </w:rPr>
        <w:t>Key Management: Giant cell arteritis. SAME DAY treatment: prednisolone 40–60mg. Urgent rheumatology referral. Do not wait for temporal artery biopsy. Sight-threatening if not treated immediately.</w:t>
      </w:r>
    </w:p>
    <w:p w14:paraId="252ED25F" w14:textId="77777777" w:rsidR="006E65E7" w:rsidRDefault="00000000">
      <w:pPr>
        <w:spacing w:before="160"/>
      </w:pPr>
      <w:r>
        <w:rPr>
          <w:rFonts w:ascii="Calibri" w:hAnsi="Calibri"/>
          <w:b/>
          <w:color w:val="1A3A5C"/>
          <w:sz w:val="23"/>
        </w:rPr>
        <w:t xml:space="preserve">Case 5: </w:t>
      </w:r>
      <w:r>
        <w:rPr>
          <w:rFonts w:ascii="Calibri" w:hAnsi="Calibri"/>
        </w:rPr>
        <w:t>A 72-year-old man presents with brief episodes of room-spinning vertigo when he turns over in bed. He has no hearing loss or tinnitus.</w:t>
      </w:r>
    </w:p>
    <w:p w14:paraId="1049553A" w14:textId="77777777" w:rsidR="006E65E7" w:rsidRDefault="00000000">
      <w:pPr>
        <w:spacing w:after="80"/>
        <w:ind w:left="567"/>
      </w:pPr>
      <w:r>
        <w:rPr>
          <w:rFonts w:ascii="Calibri" w:hAnsi="Calibri"/>
          <w:i/>
          <w:color w:val="007070"/>
          <w:sz w:val="20"/>
        </w:rPr>
        <w:t>Key Management: BPPV. Diagnose with Dix-Hallpike manoeuvre. Treat with Epley manoeuvre. Self-limiting in most cases. Do NOT prescribe prochlorperazine long-term (suppresses adaptation).</w:t>
      </w:r>
    </w:p>
    <w:p w14:paraId="68575192" w14:textId="77777777" w:rsidR="006E65E7" w:rsidRDefault="00000000">
      <w:pPr>
        <w:spacing w:before="160"/>
      </w:pPr>
      <w:r>
        <w:rPr>
          <w:rFonts w:ascii="Calibri" w:hAnsi="Calibri"/>
          <w:b/>
          <w:color w:val="1A3A5C"/>
          <w:sz w:val="23"/>
        </w:rPr>
        <w:t xml:space="preserve">Case 6: </w:t>
      </w:r>
      <w:r>
        <w:rPr>
          <w:rFonts w:ascii="Calibri" w:hAnsi="Calibri"/>
        </w:rPr>
        <w:t>A 40-year-old man presents with sudden unilateral facial weakness, noticed this morning. He cannot close his right eye.</w:t>
      </w:r>
    </w:p>
    <w:p w14:paraId="78E138C5" w14:textId="77777777" w:rsidR="006E65E7" w:rsidRDefault="00000000">
      <w:pPr>
        <w:spacing w:after="80"/>
        <w:ind w:left="567"/>
      </w:pPr>
      <w:r>
        <w:rPr>
          <w:rFonts w:ascii="Calibri" w:hAnsi="Calibri"/>
          <w:i/>
          <w:color w:val="007070"/>
          <w:sz w:val="20"/>
        </w:rPr>
        <w:t>Key Management: Bell's palsy (LMN pattern — forehead involved). If within 72 hours: prednisolone 50mg OD for 10 days. Eye protection (hypromellose drops, night-time taping). Refer if bilateral or other cranial nerves.</w:t>
      </w:r>
    </w:p>
    <w:p w14:paraId="734BE748" w14:textId="77777777" w:rsidR="006E65E7" w:rsidRDefault="00000000">
      <w:pPr>
        <w:spacing w:before="160"/>
      </w:pPr>
      <w:r>
        <w:rPr>
          <w:rFonts w:ascii="Calibri" w:hAnsi="Calibri"/>
          <w:b/>
          <w:color w:val="1A3A5C"/>
          <w:sz w:val="23"/>
        </w:rPr>
        <w:t xml:space="preserve">Case 7: </w:t>
      </w:r>
      <w:r>
        <w:rPr>
          <w:rFonts w:ascii="Calibri" w:hAnsi="Calibri"/>
        </w:rPr>
        <w:t>A 30-year-old woman with epilepsy on sodium valproate 800mg/day wants to start trying for a baby.</w:t>
      </w:r>
    </w:p>
    <w:p w14:paraId="41F4AFF7" w14:textId="77777777" w:rsidR="006E65E7" w:rsidRDefault="00000000">
      <w:pPr>
        <w:spacing w:after="80"/>
        <w:ind w:left="567"/>
      </w:pPr>
      <w:r>
        <w:rPr>
          <w:rFonts w:ascii="Calibri" w:hAnsi="Calibri"/>
          <w:i/>
          <w:color w:val="007070"/>
          <w:sz w:val="20"/>
        </w:rPr>
        <w:t>Key Management: CRITICAL: Valproate is absolutely contraindicated in pregnancy. Pre-conception counselling essential. Switch to lamotrigine or levetiracetam under specialist guidance. Folic acid 5mg/day (NICE NG247 Jan 2025). Refer to neurology urgently.</w:t>
      </w:r>
    </w:p>
    <w:p w14:paraId="630F657A" w14:textId="77777777" w:rsidR="006E65E7" w:rsidRDefault="006E65E7"/>
    <w:p w14:paraId="27E7E5D3" w14:textId="77777777" w:rsidR="00B6742A" w:rsidRDefault="00B6742A">
      <w:pPr>
        <w:rPr>
          <w:rFonts w:ascii="Calibri" w:hAnsi="Calibri"/>
          <w:b/>
          <w:color w:val="1A3A5C"/>
          <w:sz w:val="28"/>
        </w:rPr>
      </w:pPr>
      <w:r>
        <w:rPr>
          <w:rFonts w:ascii="Calibri" w:hAnsi="Calibri"/>
          <w:b/>
          <w:color w:val="1A3A5C"/>
          <w:sz w:val="28"/>
        </w:rPr>
        <w:br w:type="page"/>
      </w:r>
    </w:p>
    <w:p w14:paraId="60B4F5D9" w14:textId="11634201" w:rsidR="006E65E7" w:rsidRDefault="00000000">
      <w:pPr>
        <w:pBdr>
          <w:bottom w:val="single" w:sz="6" w:space="1" w:color="E0651F"/>
        </w:pBdr>
        <w:spacing w:before="240" w:after="80"/>
      </w:pPr>
      <w:r>
        <w:rPr>
          <w:rFonts w:ascii="Calibri" w:hAnsi="Calibri"/>
          <w:b/>
          <w:color w:val="1A3A5C"/>
          <w:sz w:val="28"/>
        </w:rPr>
        <w:lastRenderedPageBreak/>
        <w:t>4. Key Neurology Diagnoses — Quick Reference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5"/>
        <w:gridCol w:w="3135"/>
        <w:gridCol w:w="3135"/>
      </w:tblGrid>
      <w:tr w:rsidR="006E65E7" w14:paraId="236FB604" w14:textId="77777777">
        <w:tc>
          <w:tcPr>
            <w:tcW w:w="3135" w:type="dxa"/>
            <w:shd w:val="clear" w:color="auto" w:fill="1A3A5C"/>
          </w:tcPr>
          <w:p w14:paraId="194881B1" w14:textId="77777777" w:rsidR="006E65E7" w:rsidRDefault="00000000">
            <w:r>
              <w:rPr>
                <w:rFonts w:ascii="Calibri" w:hAnsi="Calibri"/>
                <w:b/>
                <w:color w:val="FFFFFF"/>
                <w:sz w:val="18"/>
              </w:rPr>
              <w:t>Condition</w:t>
            </w:r>
          </w:p>
        </w:tc>
        <w:tc>
          <w:tcPr>
            <w:tcW w:w="3135" w:type="dxa"/>
            <w:shd w:val="clear" w:color="auto" w:fill="1A3A5C"/>
          </w:tcPr>
          <w:p w14:paraId="0DA42072" w14:textId="77777777" w:rsidR="006E65E7" w:rsidRDefault="00000000">
            <w:r>
              <w:rPr>
                <w:rFonts w:ascii="Calibri" w:hAnsi="Calibri"/>
                <w:b/>
                <w:color w:val="FFFFFF"/>
                <w:sz w:val="18"/>
              </w:rPr>
              <w:t>Diagnostic Criteria</w:t>
            </w:r>
          </w:p>
        </w:tc>
        <w:tc>
          <w:tcPr>
            <w:tcW w:w="3135" w:type="dxa"/>
            <w:shd w:val="clear" w:color="auto" w:fill="1A3A5C"/>
          </w:tcPr>
          <w:p w14:paraId="6C7D7148" w14:textId="77777777" w:rsidR="006E65E7" w:rsidRDefault="00000000">
            <w:r>
              <w:rPr>
                <w:rFonts w:ascii="Calibri" w:hAnsi="Calibri"/>
                <w:b/>
                <w:color w:val="FFFFFF"/>
                <w:sz w:val="18"/>
              </w:rPr>
              <w:t>Management (NICE-updated)</w:t>
            </w:r>
          </w:p>
        </w:tc>
      </w:tr>
      <w:tr w:rsidR="006E65E7" w14:paraId="48CB6602" w14:textId="77777777">
        <w:tc>
          <w:tcPr>
            <w:tcW w:w="3135" w:type="dxa"/>
            <w:shd w:val="clear" w:color="auto" w:fill="F0F4F8"/>
          </w:tcPr>
          <w:p w14:paraId="0FA68FCC" w14:textId="77777777" w:rsidR="006E65E7" w:rsidRDefault="00000000">
            <w:r>
              <w:rPr>
                <w:rFonts w:ascii="Calibri" w:hAnsi="Calibri"/>
                <w:b/>
                <w:sz w:val="18"/>
              </w:rPr>
              <w:t>Migraine (no aura)</w:t>
            </w:r>
          </w:p>
        </w:tc>
        <w:tc>
          <w:tcPr>
            <w:tcW w:w="3135" w:type="dxa"/>
            <w:shd w:val="clear" w:color="auto" w:fill="F0F4F8"/>
          </w:tcPr>
          <w:p w14:paraId="03E73E82" w14:textId="77777777" w:rsidR="006E65E7" w:rsidRDefault="00000000">
            <w:r>
              <w:rPr>
                <w:rFonts w:ascii="Calibri" w:hAnsi="Calibri"/>
                <w:sz w:val="18"/>
              </w:rPr>
              <w:t>Unilateral, pulsating, 4–72h, nausea/photo/phonophobia, ≥5 attacks</w:t>
            </w:r>
          </w:p>
        </w:tc>
        <w:tc>
          <w:tcPr>
            <w:tcW w:w="3135" w:type="dxa"/>
            <w:shd w:val="clear" w:color="auto" w:fill="F0F4F8"/>
          </w:tcPr>
          <w:p w14:paraId="5955B9F2" w14:textId="77777777" w:rsidR="006E65E7" w:rsidRDefault="00000000">
            <w:r>
              <w:rPr>
                <w:rFonts w:ascii="Calibri" w:hAnsi="Calibri"/>
                <w:sz w:val="18"/>
              </w:rPr>
              <w:t>Triptan + NSAID; propranolol prophylaxis (NICE CG150 Dec 2025)</w:t>
            </w:r>
          </w:p>
        </w:tc>
      </w:tr>
      <w:tr w:rsidR="006E65E7" w14:paraId="54B6BB18" w14:textId="77777777">
        <w:tc>
          <w:tcPr>
            <w:tcW w:w="3135" w:type="dxa"/>
            <w:shd w:val="clear" w:color="auto" w:fill="FFFFFF"/>
          </w:tcPr>
          <w:p w14:paraId="3E15468C" w14:textId="77777777" w:rsidR="006E65E7" w:rsidRDefault="00000000">
            <w:r>
              <w:rPr>
                <w:rFonts w:ascii="Calibri" w:hAnsi="Calibri"/>
                <w:b/>
                <w:sz w:val="18"/>
              </w:rPr>
              <w:t>Migraine (with aura)</w:t>
            </w:r>
          </w:p>
        </w:tc>
        <w:tc>
          <w:tcPr>
            <w:tcW w:w="3135" w:type="dxa"/>
            <w:shd w:val="clear" w:color="auto" w:fill="FFFFFF"/>
          </w:tcPr>
          <w:p w14:paraId="5140514F" w14:textId="77777777" w:rsidR="006E65E7" w:rsidRDefault="00000000">
            <w:r>
              <w:rPr>
                <w:rFonts w:ascii="Calibri" w:hAnsi="Calibri"/>
                <w:sz w:val="18"/>
              </w:rPr>
              <w:t>Reversible aura 5–60 min + headache; ≥2 attacks</w:t>
            </w:r>
          </w:p>
        </w:tc>
        <w:tc>
          <w:tcPr>
            <w:tcW w:w="3135" w:type="dxa"/>
            <w:shd w:val="clear" w:color="auto" w:fill="FFFFFF"/>
          </w:tcPr>
          <w:p w14:paraId="2B7C257B" w14:textId="77777777" w:rsidR="006E65E7" w:rsidRDefault="00000000">
            <w:r>
              <w:rPr>
                <w:rFonts w:ascii="Calibri" w:hAnsi="Calibri"/>
                <w:sz w:val="18"/>
              </w:rPr>
              <w:t>As above; AVOID COC (UKMEC 4)</w:t>
            </w:r>
          </w:p>
        </w:tc>
      </w:tr>
      <w:tr w:rsidR="006E65E7" w14:paraId="5D18654F" w14:textId="77777777">
        <w:tc>
          <w:tcPr>
            <w:tcW w:w="3135" w:type="dxa"/>
            <w:shd w:val="clear" w:color="auto" w:fill="F0F4F8"/>
          </w:tcPr>
          <w:p w14:paraId="013478A4" w14:textId="77777777" w:rsidR="006E65E7" w:rsidRDefault="00000000">
            <w:r>
              <w:rPr>
                <w:rFonts w:ascii="Calibri" w:hAnsi="Calibri"/>
                <w:b/>
                <w:sz w:val="18"/>
              </w:rPr>
              <w:t>Tension headache</w:t>
            </w:r>
          </w:p>
        </w:tc>
        <w:tc>
          <w:tcPr>
            <w:tcW w:w="3135" w:type="dxa"/>
            <w:shd w:val="clear" w:color="auto" w:fill="F0F4F8"/>
          </w:tcPr>
          <w:p w14:paraId="5504D4CA" w14:textId="77777777" w:rsidR="006E65E7" w:rsidRDefault="00000000">
            <w:r>
              <w:rPr>
                <w:rFonts w:ascii="Calibri" w:hAnsi="Calibri"/>
                <w:sz w:val="18"/>
              </w:rPr>
              <w:t>Bilateral pressing, mild-moderate, no nausea, no aggravation</w:t>
            </w:r>
          </w:p>
        </w:tc>
        <w:tc>
          <w:tcPr>
            <w:tcW w:w="3135" w:type="dxa"/>
            <w:shd w:val="clear" w:color="auto" w:fill="F0F4F8"/>
          </w:tcPr>
          <w:p w14:paraId="35641F7A" w14:textId="77777777" w:rsidR="006E65E7" w:rsidRDefault="00000000">
            <w:r>
              <w:rPr>
                <w:rFonts w:ascii="Calibri" w:hAnsi="Calibri"/>
                <w:sz w:val="18"/>
              </w:rPr>
              <w:t>Paracetamol/NSAIDs; amitriptyline prophylaxis</w:t>
            </w:r>
          </w:p>
        </w:tc>
      </w:tr>
      <w:tr w:rsidR="006E65E7" w14:paraId="10D412E9" w14:textId="77777777">
        <w:tc>
          <w:tcPr>
            <w:tcW w:w="3135" w:type="dxa"/>
            <w:shd w:val="clear" w:color="auto" w:fill="FFFFFF"/>
          </w:tcPr>
          <w:p w14:paraId="0BF36750" w14:textId="77777777" w:rsidR="006E65E7" w:rsidRDefault="00000000">
            <w:r>
              <w:rPr>
                <w:rFonts w:ascii="Calibri" w:hAnsi="Calibri"/>
                <w:b/>
                <w:sz w:val="18"/>
              </w:rPr>
              <w:t>MOH</w:t>
            </w:r>
          </w:p>
        </w:tc>
        <w:tc>
          <w:tcPr>
            <w:tcW w:w="3135" w:type="dxa"/>
            <w:shd w:val="clear" w:color="auto" w:fill="FFFFFF"/>
          </w:tcPr>
          <w:p w14:paraId="13CF12D9" w14:textId="77777777" w:rsidR="006E65E7" w:rsidRDefault="00000000">
            <w:r>
              <w:rPr>
                <w:rFonts w:ascii="Calibri" w:hAnsi="Calibri"/>
                <w:sz w:val="18"/>
              </w:rPr>
              <w:t>≥15d/month analgesics OR ≥10d/month triptans + headache</w:t>
            </w:r>
          </w:p>
        </w:tc>
        <w:tc>
          <w:tcPr>
            <w:tcW w:w="3135" w:type="dxa"/>
            <w:shd w:val="clear" w:color="auto" w:fill="FFFFFF"/>
          </w:tcPr>
          <w:p w14:paraId="0A12DDCF" w14:textId="77777777" w:rsidR="006E65E7" w:rsidRDefault="00000000">
            <w:r>
              <w:rPr>
                <w:rFonts w:ascii="Calibri" w:hAnsi="Calibri"/>
                <w:sz w:val="18"/>
              </w:rPr>
              <w:t>Abrupt withdrawal; naproxen bridge</w:t>
            </w:r>
          </w:p>
        </w:tc>
      </w:tr>
      <w:tr w:rsidR="006E65E7" w14:paraId="62B7C6CE" w14:textId="77777777">
        <w:tc>
          <w:tcPr>
            <w:tcW w:w="3135" w:type="dxa"/>
            <w:shd w:val="clear" w:color="auto" w:fill="F0F4F8"/>
          </w:tcPr>
          <w:p w14:paraId="32E63DC7" w14:textId="77777777" w:rsidR="006E65E7" w:rsidRDefault="00000000">
            <w:r>
              <w:rPr>
                <w:rFonts w:ascii="Calibri" w:hAnsi="Calibri"/>
                <w:b/>
                <w:sz w:val="18"/>
              </w:rPr>
              <w:t>Cluster headache</w:t>
            </w:r>
          </w:p>
        </w:tc>
        <w:tc>
          <w:tcPr>
            <w:tcW w:w="3135" w:type="dxa"/>
            <w:shd w:val="clear" w:color="auto" w:fill="F0F4F8"/>
          </w:tcPr>
          <w:p w14:paraId="45DCB98F" w14:textId="77777777" w:rsidR="006E65E7" w:rsidRDefault="00000000">
            <w:r>
              <w:rPr>
                <w:rFonts w:ascii="Calibri" w:hAnsi="Calibri"/>
                <w:sz w:val="18"/>
              </w:rPr>
              <w:t>Severe unilateral orbital pain 15–180min; autonomic features; agitation</w:t>
            </w:r>
          </w:p>
        </w:tc>
        <w:tc>
          <w:tcPr>
            <w:tcW w:w="3135" w:type="dxa"/>
            <w:shd w:val="clear" w:color="auto" w:fill="F0F4F8"/>
          </w:tcPr>
          <w:p w14:paraId="3FC77A9E" w14:textId="77777777" w:rsidR="006E65E7" w:rsidRDefault="00000000">
            <w:r>
              <w:rPr>
                <w:rFonts w:ascii="Calibri" w:hAnsi="Calibri"/>
                <w:sz w:val="18"/>
              </w:rPr>
              <w:t>100% O₂ + sumatriptan SC; verapamil prophylaxis</w:t>
            </w:r>
          </w:p>
        </w:tc>
      </w:tr>
      <w:tr w:rsidR="006E65E7" w14:paraId="50653FBA" w14:textId="77777777">
        <w:tc>
          <w:tcPr>
            <w:tcW w:w="3135" w:type="dxa"/>
            <w:shd w:val="clear" w:color="auto" w:fill="FFFFFF"/>
          </w:tcPr>
          <w:p w14:paraId="3F52AAA6" w14:textId="77777777" w:rsidR="006E65E7" w:rsidRDefault="00000000">
            <w:r>
              <w:rPr>
                <w:rFonts w:ascii="Calibri" w:hAnsi="Calibri"/>
                <w:b/>
                <w:sz w:val="18"/>
              </w:rPr>
              <w:t>TIA</w:t>
            </w:r>
          </w:p>
        </w:tc>
        <w:tc>
          <w:tcPr>
            <w:tcW w:w="3135" w:type="dxa"/>
            <w:shd w:val="clear" w:color="auto" w:fill="FFFFFF"/>
          </w:tcPr>
          <w:p w14:paraId="616965AA" w14:textId="77777777" w:rsidR="006E65E7" w:rsidRDefault="00000000">
            <w:r>
              <w:rPr>
                <w:rFonts w:ascii="Calibri" w:hAnsi="Calibri"/>
                <w:sz w:val="18"/>
              </w:rPr>
              <w:t>Focal neurology fully resolving; vascular territory</w:t>
            </w:r>
          </w:p>
        </w:tc>
        <w:tc>
          <w:tcPr>
            <w:tcW w:w="3135" w:type="dxa"/>
            <w:shd w:val="clear" w:color="auto" w:fill="FFFFFF"/>
          </w:tcPr>
          <w:p w14:paraId="236E0FEA" w14:textId="77777777" w:rsidR="006E65E7" w:rsidRDefault="00000000">
            <w:r>
              <w:rPr>
                <w:rFonts w:ascii="Calibri" w:hAnsi="Calibri"/>
                <w:sz w:val="18"/>
              </w:rPr>
              <w:t>Aspirin 300mg stat; urgent 24h referral; no ABCD2</w:t>
            </w:r>
          </w:p>
        </w:tc>
      </w:tr>
      <w:tr w:rsidR="006E65E7" w14:paraId="22E60986" w14:textId="77777777">
        <w:tc>
          <w:tcPr>
            <w:tcW w:w="3135" w:type="dxa"/>
            <w:shd w:val="clear" w:color="auto" w:fill="F0F4F8"/>
          </w:tcPr>
          <w:p w14:paraId="574A937E" w14:textId="77777777" w:rsidR="006E65E7" w:rsidRDefault="00000000">
            <w:r>
              <w:rPr>
                <w:rFonts w:ascii="Calibri" w:hAnsi="Calibri"/>
                <w:b/>
                <w:sz w:val="18"/>
              </w:rPr>
              <w:t>GCA</w:t>
            </w:r>
          </w:p>
        </w:tc>
        <w:tc>
          <w:tcPr>
            <w:tcW w:w="3135" w:type="dxa"/>
            <w:shd w:val="clear" w:color="auto" w:fill="F0F4F8"/>
          </w:tcPr>
          <w:p w14:paraId="63092934" w14:textId="77777777" w:rsidR="006E65E7" w:rsidRDefault="00000000">
            <w:r>
              <w:rPr>
                <w:rFonts w:ascii="Calibri" w:hAnsi="Calibri"/>
                <w:sz w:val="18"/>
              </w:rPr>
              <w:t>&gt;50; temporal pain; jaw claudication; ESR raised</w:t>
            </w:r>
          </w:p>
        </w:tc>
        <w:tc>
          <w:tcPr>
            <w:tcW w:w="3135" w:type="dxa"/>
            <w:shd w:val="clear" w:color="auto" w:fill="F0F4F8"/>
          </w:tcPr>
          <w:p w14:paraId="717EA753" w14:textId="77777777" w:rsidR="006E65E7" w:rsidRDefault="00000000">
            <w:r>
              <w:rPr>
                <w:rFonts w:ascii="Calibri" w:hAnsi="Calibri"/>
                <w:sz w:val="18"/>
              </w:rPr>
              <w:t>Prednisolone 40–60mg same day; urgent referral</w:t>
            </w:r>
          </w:p>
        </w:tc>
      </w:tr>
      <w:tr w:rsidR="006E65E7" w14:paraId="2DD65760" w14:textId="77777777">
        <w:tc>
          <w:tcPr>
            <w:tcW w:w="3135" w:type="dxa"/>
            <w:shd w:val="clear" w:color="auto" w:fill="FFFFFF"/>
          </w:tcPr>
          <w:p w14:paraId="6E082295" w14:textId="77777777" w:rsidR="006E65E7" w:rsidRDefault="00000000">
            <w:r>
              <w:rPr>
                <w:rFonts w:ascii="Calibri" w:hAnsi="Calibri"/>
                <w:b/>
                <w:sz w:val="18"/>
              </w:rPr>
              <w:t>BPPV</w:t>
            </w:r>
          </w:p>
        </w:tc>
        <w:tc>
          <w:tcPr>
            <w:tcW w:w="3135" w:type="dxa"/>
            <w:shd w:val="clear" w:color="auto" w:fill="FFFFFF"/>
          </w:tcPr>
          <w:p w14:paraId="4923A437" w14:textId="77777777" w:rsidR="006E65E7" w:rsidRDefault="00000000">
            <w:r>
              <w:rPr>
                <w:rFonts w:ascii="Calibri" w:hAnsi="Calibri"/>
                <w:sz w:val="18"/>
              </w:rPr>
              <w:t>Brief positional vertigo; Dix-Hallpike positive</w:t>
            </w:r>
          </w:p>
        </w:tc>
        <w:tc>
          <w:tcPr>
            <w:tcW w:w="3135" w:type="dxa"/>
            <w:shd w:val="clear" w:color="auto" w:fill="FFFFFF"/>
          </w:tcPr>
          <w:p w14:paraId="775FB602" w14:textId="77777777" w:rsidR="006E65E7" w:rsidRDefault="00000000">
            <w:r>
              <w:rPr>
                <w:rFonts w:ascii="Calibri" w:hAnsi="Calibri"/>
                <w:sz w:val="18"/>
              </w:rPr>
              <w:t>Epley manoeuvre; Brandt-Daroff exercises</w:t>
            </w:r>
          </w:p>
        </w:tc>
      </w:tr>
      <w:tr w:rsidR="006E65E7" w14:paraId="3AC46A1A" w14:textId="77777777">
        <w:tc>
          <w:tcPr>
            <w:tcW w:w="3135" w:type="dxa"/>
            <w:shd w:val="clear" w:color="auto" w:fill="F0F4F8"/>
          </w:tcPr>
          <w:p w14:paraId="12E2C00A" w14:textId="77777777" w:rsidR="006E65E7" w:rsidRDefault="00000000">
            <w:r>
              <w:rPr>
                <w:rFonts w:ascii="Calibri" w:hAnsi="Calibri"/>
                <w:b/>
                <w:sz w:val="18"/>
              </w:rPr>
              <w:t>Bell's palsy</w:t>
            </w:r>
          </w:p>
        </w:tc>
        <w:tc>
          <w:tcPr>
            <w:tcW w:w="3135" w:type="dxa"/>
            <w:shd w:val="clear" w:color="auto" w:fill="F0F4F8"/>
          </w:tcPr>
          <w:p w14:paraId="1FEE0206" w14:textId="77777777" w:rsidR="006E65E7" w:rsidRDefault="00000000">
            <w:r>
              <w:rPr>
                <w:rFonts w:ascii="Calibri" w:hAnsi="Calibri"/>
                <w:sz w:val="18"/>
              </w:rPr>
              <w:t>Acute unilateral LMN facial palsy; forehead involved</w:t>
            </w:r>
          </w:p>
        </w:tc>
        <w:tc>
          <w:tcPr>
            <w:tcW w:w="3135" w:type="dxa"/>
            <w:shd w:val="clear" w:color="auto" w:fill="F0F4F8"/>
          </w:tcPr>
          <w:p w14:paraId="08D0511D" w14:textId="77777777" w:rsidR="006E65E7" w:rsidRDefault="00000000">
            <w:r>
              <w:rPr>
                <w:rFonts w:ascii="Calibri" w:hAnsi="Calibri"/>
                <w:sz w:val="18"/>
              </w:rPr>
              <w:t>Prednisolone within 72h; eye protection</w:t>
            </w:r>
          </w:p>
        </w:tc>
      </w:tr>
      <w:tr w:rsidR="006E65E7" w14:paraId="6A43E4B7" w14:textId="77777777">
        <w:tc>
          <w:tcPr>
            <w:tcW w:w="3135" w:type="dxa"/>
            <w:shd w:val="clear" w:color="auto" w:fill="FFFFFF"/>
          </w:tcPr>
          <w:p w14:paraId="1C273380" w14:textId="77777777" w:rsidR="006E65E7" w:rsidRDefault="00000000">
            <w:r>
              <w:rPr>
                <w:rFonts w:ascii="Calibri" w:hAnsi="Calibri"/>
                <w:b/>
                <w:sz w:val="18"/>
              </w:rPr>
              <w:t>Trigeminal neuralgia</w:t>
            </w:r>
          </w:p>
        </w:tc>
        <w:tc>
          <w:tcPr>
            <w:tcW w:w="3135" w:type="dxa"/>
            <w:shd w:val="clear" w:color="auto" w:fill="FFFFFF"/>
          </w:tcPr>
          <w:p w14:paraId="26EF76FD" w14:textId="77777777" w:rsidR="006E65E7" w:rsidRDefault="00000000">
            <w:r>
              <w:rPr>
                <w:rFonts w:ascii="Calibri" w:hAnsi="Calibri"/>
                <w:sz w:val="18"/>
              </w:rPr>
              <w:t>Brief electric-shock facial pain; V2/V3; touch-triggered</w:t>
            </w:r>
          </w:p>
        </w:tc>
        <w:tc>
          <w:tcPr>
            <w:tcW w:w="3135" w:type="dxa"/>
            <w:shd w:val="clear" w:color="auto" w:fill="FFFFFF"/>
          </w:tcPr>
          <w:p w14:paraId="4BB4984F" w14:textId="77777777" w:rsidR="006E65E7" w:rsidRDefault="00000000">
            <w:r>
              <w:rPr>
                <w:rFonts w:ascii="Calibri" w:hAnsi="Calibri"/>
                <w:sz w:val="18"/>
              </w:rPr>
              <w:t>Carbamazepine (titrate); check sodium/FBC/LFTs</w:t>
            </w:r>
          </w:p>
        </w:tc>
      </w:tr>
      <w:tr w:rsidR="006E65E7" w14:paraId="2889C58B" w14:textId="77777777">
        <w:tc>
          <w:tcPr>
            <w:tcW w:w="3135" w:type="dxa"/>
            <w:shd w:val="clear" w:color="auto" w:fill="F0F4F8"/>
          </w:tcPr>
          <w:p w14:paraId="49AA2E66" w14:textId="77777777" w:rsidR="006E65E7" w:rsidRDefault="00000000">
            <w:r>
              <w:rPr>
                <w:rFonts w:ascii="Calibri" w:hAnsi="Calibri"/>
                <w:b/>
                <w:sz w:val="18"/>
              </w:rPr>
              <w:t>Epilepsy - first seizure</w:t>
            </w:r>
          </w:p>
        </w:tc>
        <w:tc>
          <w:tcPr>
            <w:tcW w:w="3135" w:type="dxa"/>
            <w:shd w:val="clear" w:color="auto" w:fill="F0F4F8"/>
          </w:tcPr>
          <w:p w14:paraId="20C2EACE" w14:textId="77777777" w:rsidR="006E65E7" w:rsidRDefault="00000000">
            <w:r>
              <w:rPr>
                <w:rFonts w:ascii="Calibri" w:hAnsi="Calibri"/>
                <w:sz w:val="18"/>
              </w:rPr>
              <w:t>Witnessed convulsion; loss of consciousness</w:t>
            </w:r>
          </w:p>
        </w:tc>
        <w:tc>
          <w:tcPr>
            <w:tcW w:w="3135" w:type="dxa"/>
            <w:shd w:val="clear" w:color="auto" w:fill="F0F4F8"/>
          </w:tcPr>
          <w:p w14:paraId="70B69BF4" w14:textId="77777777" w:rsidR="006E65E7" w:rsidRDefault="00000000">
            <w:r>
              <w:rPr>
                <w:rFonts w:ascii="Calibri" w:hAnsi="Calibri"/>
                <w:sz w:val="18"/>
              </w:rPr>
              <w:t>ECG + bloods; neurology referral; DVLA advice</w:t>
            </w:r>
          </w:p>
        </w:tc>
      </w:tr>
      <w:tr w:rsidR="006E65E7" w14:paraId="426CAB99" w14:textId="77777777">
        <w:tc>
          <w:tcPr>
            <w:tcW w:w="3135" w:type="dxa"/>
            <w:shd w:val="clear" w:color="auto" w:fill="FFFFFF"/>
          </w:tcPr>
          <w:p w14:paraId="486C4089" w14:textId="77777777" w:rsidR="006E65E7" w:rsidRDefault="00000000">
            <w:r>
              <w:rPr>
                <w:rFonts w:ascii="Calibri" w:hAnsi="Calibri"/>
                <w:b/>
                <w:sz w:val="18"/>
              </w:rPr>
              <w:t>Status epilepticus</w:t>
            </w:r>
          </w:p>
        </w:tc>
        <w:tc>
          <w:tcPr>
            <w:tcW w:w="3135" w:type="dxa"/>
            <w:shd w:val="clear" w:color="auto" w:fill="FFFFFF"/>
          </w:tcPr>
          <w:p w14:paraId="7BF495D7" w14:textId="77777777" w:rsidR="006E65E7" w:rsidRDefault="00000000">
            <w:r>
              <w:rPr>
                <w:rFonts w:ascii="Calibri" w:hAnsi="Calibri"/>
                <w:sz w:val="18"/>
              </w:rPr>
              <w:t>Seizure &gt;5 minutes</w:t>
            </w:r>
          </w:p>
        </w:tc>
        <w:tc>
          <w:tcPr>
            <w:tcW w:w="3135" w:type="dxa"/>
            <w:shd w:val="clear" w:color="auto" w:fill="FFFFFF"/>
          </w:tcPr>
          <w:p w14:paraId="712563A5" w14:textId="77777777" w:rsidR="006E65E7" w:rsidRDefault="00000000">
            <w:r>
              <w:rPr>
                <w:rFonts w:ascii="Calibri" w:hAnsi="Calibri"/>
                <w:sz w:val="18"/>
              </w:rPr>
              <w:t>Buccal midazolam 10mg; 999</w:t>
            </w:r>
          </w:p>
        </w:tc>
      </w:tr>
    </w:tbl>
    <w:p w14:paraId="5DFFF3C2" w14:textId="77777777" w:rsidR="006E65E7" w:rsidRDefault="006E65E7"/>
    <w:p w14:paraId="3F3737E3" w14:textId="77777777" w:rsidR="006E65E7" w:rsidRDefault="00000000">
      <w:pPr>
        <w:pBdr>
          <w:bottom w:val="single" w:sz="6" w:space="1" w:color="E0651F"/>
        </w:pBdr>
        <w:spacing w:before="240" w:after="80"/>
      </w:pPr>
      <w:r>
        <w:rPr>
          <w:rFonts w:ascii="Calibri" w:hAnsi="Calibri"/>
          <w:b/>
          <w:color w:val="C00000"/>
          <w:sz w:val="28"/>
        </w:rPr>
        <w:t>5. Neurological Red Flags — Emergency and Urgent Actions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03"/>
        <w:gridCol w:w="4703"/>
      </w:tblGrid>
      <w:tr w:rsidR="006E65E7" w14:paraId="134AA08E" w14:textId="77777777">
        <w:tc>
          <w:tcPr>
            <w:tcW w:w="4703" w:type="dxa"/>
            <w:shd w:val="clear" w:color="auto" w:fill="C00000"/>
          </w:tcPr>
          <w:p w14:paraId="4467D435" w14:textId="77777777" w:rsidR="006E65E7" w:rsidRDefault="00000000">
            <w:r>
              <w:rPr>
                <w:rFonts w:ascii="Calibri" w:hAnsi="Calibri"/>
                <w:b/>
                <w:color w:val="FFFFFF"/>
                <w:sz w:val="20"/>
              </w:rPr>
              <w:t>Red Flag Feature</w:t>
            </w:r>
          </w:p>
        </w:tc>
        <w:tc>
          <w:tcPr>
            <w:tcW w:w="4703" w:type="dxa"/>
            <w:shd w:val="clear" w:color="auto" w:fill="C00000"/>
          </w:tcPr>
          <w:p w14:paraId="5E44DFCD" w14:textId="77777777" w:rsidR="006E65E7" w:rsidRDefault="00000000">
            <w:r>
              <w:rPr>
                <w:rFonts w:ascii="Calibri" w:hAnsi="Calibri"/>
                <w:b/>
                <w:color w:val="FFFFFF"/>
                <w:sz w:val="20"/>
              </w:rPr>
              <w:t>Action</w:t>
            </w:r>
          </w:p>
        </w:tc>
      </w:tr>
      <w:tr w:rsidR="006E65E7" w14:paraId="3AEFA494" w14:textId="77777777">
        <w:tc>
          <w:tcPr>
            <w:tcW w:w="4703" w:type="dxa"/>
            <w:shd w:val="clear" w:color="auto" w:fill="FFF0F0"/>
          </w:tcPr>
          <w:p w14:paraId="30FE1C56" w14:textId="77777777" w:rsidR="006E65E7" w:rsidRDefault="00000000">
            <w:r>
              <w:rPr>
                <w:rFonts w:ascii="Calibri" w:hAnsi="Calibri"/>
                <w:b/>
                <w:sz w:val="20"/>
              </w:rPr>
              <w:t>Thunderclap headache</w:t>
            </w:r>
          </w:p>
        </w:tc>
        <w:tc>
          <w:tcPr>
            <w:tcW w:w="4703" w:type="dxa"/>
            <w:shd w:val="clear" w:color="auto" w:fill="FFF0F0"/>
          </w:tcPr>
          <w:p w14:paraId="1F91E44A" w14:textId="77777777" w:rsidR="006E65E7" w:rsidRDefault="00000000">
            <w:r>
              <w:rPr>
                <w:rFonts w:ascii="Calibri" w:hAnsi="Calibri"/>
                <w:sz w:val="20"/>
              </w:rPr>
              <w:t>999 — SAH until proven otherwise</w:t>
            </w:r>
          </w:p>
        </w:tc>
      </w:tr>
      <w:tr w:rsidR="006E65E7" w14:paraId="1825343B" w14:textId="77777777">
        <w:tc>
          <w:tcPr>
            <w:tcW w:w="4703" w:type="dxa"/>
            <w:shd w:val="clear" w:color="auto" w:fill="FFFFFF"/>
          </w:tcPr>
          <w:p w14:paraId="1689965D" w14:textId="77777777" w:rsidR="006E65E7" w:rsidRDefault="00000000">
            <w:r>
              <w:rPr>
                <w:rFonts w:ascii="Calibri" w:hAnsi="Calibri"/>
                <w:b/>
                <w:sz w:val="20"/>
              </w:rPr>
              <w:t>Headache + fever + neck stiffness</w:t>
            </w:r>
          </w:p>
        </w:tc>
        <w:tc>
          <w:tcPr>
            <w:tcW w:w="4703" w:type="dxa"/>
            <w:shd w:val="clear" w:color="auto" w:fill="FFFFFF"/>
          </w:tcPr>
          <w:p w14:paraId="375A2409" w14:textId="77777777" w:rsidR="006E65E7" w:rsidRDefault="00000000">
            <w:r>
              <w:rPr>
                <w:rFonts w:ascii="Calibri" w:hAnsi="Calibri"/>
                <w:sz w:val="20"/>
              </w:rPr>
              <w:t>999 — Meningitis; IM benzylpenicillin if rash</w:t>
            </w:r>
          </w:p>
        </w:tc>
      </w:tr>
      <w:tr w:rsidR="006E65E7" w14:paraId="1B6A8C0D" w14:textId="77777777">
        <w:tc>
          <w:tcPr>
            <w:tcW w:w="4703" w:type="dxa"/>
            <w:shd w:val="clear" w:color="auto" w:fill="FFF0F0"/>
          </w:tcPr>
          <w:p w14:paraId="66516F6F" w14:textId="77777777" w:rsidR="006E65E7" w:rsidRDefault="00000000">
            <w:r>
              <w:rPr>
                <w:rFonts w:ascii="Calibri" w:hAnsi="Calibri"/>
                <w:b/>
                <w:sz w:val="20"/>
              </w:rPr>
              <w:t>Diplopia + ataxia + vertigo</w:t>
            </w:r>
          </w:p>
        </w:tc>
        <w:tc>
          <w:tcPr>
            <w:tcW w:w="4703" w:type="dxa"/>
            <w:shd w:val="clear" w:color="auto" w:fill="FFF0F0"/>
          </w:tcPr>
          <w:p w14:paraId="5D2CD169" w14:textId="77777777" w:rsidR="006E65E7" w:rsidRDefault="00000000">
            <w:r>
              <w:rPr>
                <w:rFonts w:ascii="Calibri" w:hAnsi="Calibri"/>
                <w:sz w:val="20"/>
              </w:rPr>
              <w:t>999 — Posterior fossa stroke</w:t>
            </w:r>
          </w:p>
        </w:tc>
      </w:tr>
      <w:tr w:rsidR="006E65E7" w14:paraId="6A5C930E" w14:textId="77777777">
        <w:tc>
          <w:tcPr>
            <w:tcW w:w="4703" w:type="dxa"/>
            <w:shd w:val="clear" w:color="auto" w:fill="FFFFFF"/>
          </w:tcPr>
          <w:p w14:paraId="618B9F92" w14:textId="77777777" w:rsidR="006E65E7" w:rsidRDefault="00000000">
            <w:r>
              <w:rPr>
                <w:rFonts w:ascii="Calibri" w:hAnsi="Calibri"/>
                <w:b/>
                <w:sz w:val="20"/>
              </w:rPr>
              <w:t>TIA symptoms at time of consultation</w:t>
            </w:r>
          </w:p>
        </w:tc>
        <w:tc>
          <w:tcPr>
            <w:tcW w:w="4703" w:type="dxa"/>
            <w:shd w:val="clear" w:color="auto" w:fill="FFFFFF"/>
          </w:tcPr>
          <w:p w14:paraId="44757D81" w14:textId="77777777" w:rsidR="006E65E7" w:rsidRDefault="00000000">
            <w:r>
              <w:rPr>
                <w:rFonts w:ascii="Calibri" w:hAnsi="Calibri"/>
                <w:sz w:val="20"/>
              </w:rPr>
              <w:t>999 — May be evolving stroke</w:t>
            </w:r>
          </w:p>
        </w:tc>
      </w:tr>
      <w:tr w:rsidR="006E65E7" w14:paraId="6D61659E" w14:textId="77777777">
        <w:tc>
          <w:tcPr>
            <w:tcW w:w="4703" w:type="dxa"/>
            <w:shd w:val="clear" w:color="auto" w:fill="FFF0F0"/>
          </w:tcPr>
          <w:p w14:paraId="7C826E14" w14:textId="77777777" w:rsidR="006E65E7" w:rsidRDefault="00000000">
            <w:r>
              <w:rPr>
                <w:rFonts w:ascii="Calibri" w:hAnsi="Calibri"/>
                <w:b/>
                <w:sz w:val="20"/>
              </w:rPr>
              <w:t>Visual loss + temple pain &gt;50</w:t>
            </w:r>
          </w:p>
        </w:tc>
        <w:tc>
          <w:tcPr>
            <w:tcW w:w="4703" w:type="dxa"/>
            <w:shd w:val="clear" w:color="auto" w:fill="FFF0F0"/>
          </w:tcPr>
          <w:p w14:paraId="32C5E7FB" w14:textId="77777777" w:rsidR="006E65E7" w:rsidRDefault="00000000">
            <w:r>
              <w:rPr>
                <w:rFonts w:ascii="Calibri" w:hAnsi="Calibri"/>
                <w:sz w:val="20"/>
              </w:rPr>
              <w:t>Same-day steroids (GCA) + urgent referral</w:t>
            </w:r>
          </w:p>
        </w:tc>
      </w:tr>
      <w:tr w:rsidR="006E65E7" w14:paraId="3EEF9F31" w14:textId="77777777">
        <w:tc>
          <w:tcPr>
            <w:tcW w:w="4703" w:type="dxa"/>
            <w:shd w:val="clear" w:color="auto" w:fill="FFFFFF"/>
          </w:tcPr>
          <w:p w14:paraId="4C844BA5" w14:textId="77777777" w:rsidR="006E65E7" w:rsidRDefault="00000000">
            <w:r>
              <w:rPr>
                <w:rFonts w:ascii="Calibri" w:hAnsi="Calibri"/>
                <w:b/>
                <w:sz w:val="20"/>
              </w:rPr>
              <w:t>Seizure &gt;5 minutes</w:t>
            </w:r>
          </w:p>
        </w:tc>
        <w:tc>
          <w:tcPr>
            <w:tcW w:w="4703" w:type="dxa"/>
            <w:shd w:val="clear" w:color="auto" w:fill="FFFFFF"/>
          </w:tcPr>
          <w:p w14:paraId="0A56CC7D" w14:textId="77777777" w:rsidR="006E65E7" w:rsidRDefault="00000000">
            <w:r>
              <w:rPr>
                <w:rFonts w:ascii="Calibri" w:hAnsi="Calibri"/>
                <w:sz w:val="20"/>
              </w:rPr>
              <w:t>999 + buccal midazolam 10mg</w:t>
            </w:r>
          </w:p>
        </w:tc>
      </w:tr>
      <w:tr w:rsidR="006E65E7" w14:paraId="503E30FC" w14:textId="77777777">
        <w:tc>
          <w:tcPr>
            <w:tcW w:w="4703" w:type="dxa"/>
            <w:shd w:val="clear" w:color="auto" w:fill="FFF0F0"/>
          </w:tcPr>
          <w:p w14:paraId="09BAF518" w14:textId="77777777" w:rsidR="006E65E7" w:rsidRDefault="00000000">
            <w:r>
              <w:rPr>
                <w:rFonts w:ascii="Calibri" w:hAnsi="Calibri"/>
                <w:b/>
                <w:sz w:val="20"/>
              </w:rPr>
              <w:t>Rapid ascending weakness + areflexia</w:t>
            </w:r>
          </w:p>
        </w:tc>
        <w:tc>
          <w:tcPr>
            <w:tcW w:w="4703" w:type="dxa"/>
            <w:shd w:val="clear" w:color="auto" w:fill="FFF0F0"/>
          </w:tcPr>
          <w:p w14:paraId="64594879" w14:textId="77777777" w:rsidR="006E65E7" w:rsidRDefault="00000000">
            <w:r>
              <w:rPr>
                <w:rFonts w:ascii="Calibri" w:hAnsi="Calibri"/>
                <w:sz w:val="20"/>
              </w:rPr>
              <w:t>999 — Guillain-Barré syndrome</w:t>
            </w:r>
          </w:p>
        </w:tc>
      </w:tr>
      <w:tr w:rsidR="006E65E7" w14:paraId="48F67259" w14:textId="77777777">
        <w:tc>
          <w:tcPr>
            <w:tcW w:w="4703" w:type="dxa"/>
            <w:shd w:val="clear" w:color="auto" w:fill="FFFFFF"/>
          </w:tcPr>
          <w:p w14:paraId="7CEA0404" w14:textId="77777777" w:rsidR="006E65E7" w:rsidRDefault="00000000">
            <w:r>
              <w:rPr>
                <w:rFonts w:ascii="Calibri" w:hAnsi="Calibri"/>
                <w:b/>
                <w:sz w:val="20"/>
              </w:rPr>
              <w:t>Bilateral Bell's palsy</w:t>
            </w:r>
          </w:p>
        </w:tc>
        <w:tc>
          <w:tcPr>
            <w:tcW w:w="4703" w:type="dxa"/>
            <w:shd w:val="clear" w:color="auto" w:fill="FFFFFF"/>
          </w:tcPr>
          <w:p w14:paraId="38A910CE" w14:textId="77777777" w:rsidR="006E65E7" w:rsidRDefault="00000000">
            <w:r>
              <w:rPr>
                <w:rFonts w:ascii="Calibri" w:hAnsi="Calibri"/>
                <w:sz w:val="20"/>
              </w:rPr>
              <w:t>Urgent neurology — Guillain-Barré, Lyme disease</w:t>
            </w:r>
          </w:p>
        </w:tc>
      </w:tr>
      <w:tr w:rsidR="006E65E7" w14:paraId="4986B28E" w14:textId="77777777">
        <w:tc>
          <w:tcPr>
            <w:tcW w:w="4703" w:type="dxa"/>
            <w:shd w:val="clear" w:color="auto" w:fill="FFF0F0"/>
          </w:tcPr>
          <w:p w14:paraId="318D8D0F" w14:textId="77777777" w:rsidR="006E65E7" w:rsidRDefault="00000000">
            <w:r>
              <w:rPr>
                <w:rFonts w:ascii="Calibri" w:hAnsi="Calibri"/>
                <w:b/>
                <w:sz w:val="20"/>
              </w:rPr>
              <w:t>Papilloedema on fundoscopy</w:t>
            </w:r>
          </w:p>
        </w:tc>
        <w:tc>
          <w:tcPr>
            <w:tcW w:w="4703" w:type="dxa"/>
            <w:shd w:val="clear" w:color="auto" w:fill="FFF0F0"/>
          </w:tcPr>
          <w:p w14:paraId="1E69524A" w14:textId="77777777" w:rsidR="006E65E7" w:rsidRDefault="00000000">
            <w:r>
              <w:rPr>
                <w:rFonts w:ascii="Calibri" w:hAnsi="Calibri"/>
                <w:sz w:val="20"/>
              </w:rPr>
              <w:t>Urgent CT/MRI — raised ICP</w:t>
            </w:r>
          </w:p>
        </w:tc>
      </w:tr>
      <w:tr w:rsidR="006E65E7" w14:paraId="32AC431D" w14:textId="77777777">
        <w:tc>
          <w:tcPr>
            <w:tcW w:w="4703" w:type="dxa"/>
            <w:shd w:val="clear" w:color="auto" w:fill="FFFFFF"/>
          </w:tcPr>
          <w:p w14:paraId="4F7CCAFA" w14:textId="77777777" w:rsidR="006E65E7" w:rsidRDefault="00000000">
            <w:r>
              <w:rPr>
                <w:rFonts w:ascii="Calibri" w:hAnsi="Calibri"/>
                <w:b/>
                <w:sz w:val="20"/>
              </w:rPr>
              <w:t>Progressive neurological deficit weeks</w:t>
            </w:r>
          </w:p>
        </w:tc>
        <w:tc>
          <w:tcPr>
            <w:tcW w:w="4703" w:type="dxa"/>
            <w:shd w:val="clear" w:color="auto" w:fill="FFFFFF"/>
          </w:tcPr>
          <w:p w14:paraId="0183A70D" w14:textId="77777777" w:rsidR="006E65E7" w:rsidRDefault="00000000">
            <w:r>
              <w:rPr>
                <w:rFonts w:ascii="Calibri" w:hAnsi="Calibri"/>
                <w:sz w:val="20"/>
              </w:rPr>
              <w:t>2WW neurology referral</w:t>
            </w:r>
          </w:p>
        </w:tc>
      </w:tr>
    </w:tbl>
    <w:p w14:paraId="15977B84" w14:textId="77777777" w:rsidR="006E65E7" w:rsidRDefault="006E65E7"/>
    <w:p w14:paraId="6F6A3CF9" w14:textId="77777777" w:rsidR="006E65E7" w:rsidRDefault="00000000">
      <w:pPr>
        <w:pBdr>
          <w:bottom w:val="single" w:sz="6" w:space="1" w:color="E0651F"/>
        </w:pBdr>
        <w:spacing w:before="240" w:after="80"/>
      </w:pPr>
      <w:r>
        <w:rPr>
          <w:rFonts w:ascii="Calibri" w:hAnsi="Calibri"/>
          <w:b/>
          <w:color w:val="1A3A5C"/>
          <w:sz w:val="28"/>
        </w:rPr>
        <w:t>6. DVLA Regulations Summary (November 2025)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5"/>
        <w:gridCol w:w="3135"/>
        <w:gridCol w:w="3135"/>
      </w:tblGrid>
      <w:tr w:rsidR="006E65E7" w14:paraId="4176A146" w14:textId="77777777">
        <w:tc>
          <w:tcPr>
            <w:tcW w:w="3135" w:type="dxa"/>
            <w:shd w:val="clear" w:color="auto" w:fill="1A3A5C"/>
          </w:tcPr>
          <w:p w14:paraId="59B1FFA0" w14:textId="77777777" w:rsidR="006E65E7" w:rsidRDefault="00000000">
            <w:r>
              <w:rPr>
                <w:b/>
                <w:color w:val="FFFFFF"/>
                <w:sz w:val="20"/>
              </w:rPr>
              <w:t>Condition</w:t>
            </w:r>
          </w:p>
        </w:tc>
        <w:tc>
          <w:tcPr>
            <w:tcW w:w="3135" w:type="dxa"/>
            <w:shd w:val="clear" w:color="auto" w:fill="1A3A5C"/>
          </w:tcPr>
          <w:p w14:paraId="1CA87338" w14:textId="77777777" w:rsidR="006E65E7" w:rsidRDefault="00000000">
            <w:r>
              <w:rPr>
                <w:b/>
                <w:color w:val="FFFFFF"/>
                <w:sz w:val="20"/>
              </w:rPr>
              <w:t>Group 1 (Car)</w:t>
            </w:r>
          </w:p>
        </w:tc>
        <w:tc>
          <w:tcPr>
            <w:tcW w:w="3135" w:type="dxa"/>
            <w:shd w:val="clear" w:color="auto" w:fill="1A3A5C"/>
          </w:tcPr>
          <w:p w14:paraId="0558F9DF" w14:textId="77777777" w:rsidR="006E65E7" w:rsidRDefault="00000000">
            <w:r>
              <w:rPr>
                <w:b/>
                <w:color w:val="FFFFFF"/>
                <w:sz w:val="20"/>
              </w:rPr>
              <w:t>Group 2 (HGV/Bus)</w:t>
            </w:r>
          </w:p>
        </w:tc>
      </w:tr>
      <w:tr w:rsidR="006E65E7" w14:paraId="7137AE83" w14:textId="77777777">
        <w:tc>
          <w:tcPr>
            <w:tcW w:w="3135" w:type="dxa"/>
            <w:shd w:val="clear" w:color="auto" w:fill="F0F4F8"/>
          </w:tcPr>
          <w:p w14:paraId="7F15DC48" w14:textId="77777777" w:rsidR="006E65E7" w:rsidRDefault="00000000">
            <w:r>
              <w:rPr>
                <w:rFonts w:ascii="Calibri" w:hAnsi="Calibri"/>
                <w:b/>
                <w:sz w:val="20"/>
              </w:rPr>
              <w:t>Epilepsy — first unprovoked seizure</w:t>
            </w:r>
          </w:p>
        </w:tc>
        <w:tc>
          <w:tcPr>
            <w:tcW w:w="3135" w:type="dxa"/>
            <w:shd w:val="clear" w:color="auto" w:fill="F0F4F8"/>
          </w:tcPr>
          <w:p w14:paraId="04B0BEE8" w14:textId="77777777" w:rsidR="006E65E7" w:rsidRDefault="00000000">
            <w:r>
              <w:rPr>
                <w:rFonts w:ascii="Calibri" w:hAnsi="Calibri"/>
                <w:sz w:val="20"/>
              </w:rPr>
              <w:t>Group 1: 6 months seizure-free</w:t>
            </w:r>
          </w:p>
        </w:tc>
        <w:tc>
          <w:tcPr>
            <w:tcW w:w="3135" w:type="dxa"/>
            <w:shd w:val="clear" w:color="auto" w:fill="F0F4F8"/>
          </w:tcPr>
          <w:p w14:paraId="0B986A6E" w14:textId="77777777" w:rsidR="006E65E7" w:rsidRDefault="00000000">
            <w:r>
              <w:rPr>
                <w:rFonts w:ascii="Calibri" w:hAnsi="Calibri"/>
                <w:sz w:val="20"/>
              </w:rPr>
              <w:t>Group 2: disqualified</w:t>
            </w:r>
          </w:p>
        </w:tc>
      </w:tr>
      <w:tr w:rsidR="006E65E7" w14:paraId="48F5E405" w14:textId="77777777">
        <w:tc>
          <w:tcPr>
            <w:tcW w:w="3135" w:type="dxa"/>
            <w:shd w:val="clear" w:color="auto" w:fill="FFFFFF"/>
          </w:tcPr>
          <w:p w14:paraId="002ECC68" w14:textId="77777777" w:rsidR="006E65E7" w:rsidRDefault="00000000">
            <w:r>
              <w:rPr>
                <w:rFonts w:ascii="Calibri" w:hAnsi="Calibri"/>
                <w:b/>
                <w:sz w:val="20"/>
              </w:rPr>
              <w:t>Epilepsy — established</w:t>
            </w:r>
          </w:p>
        </w:tc>
        <w:tc>
          <w:tcPr>
            <w:tcW w:w="3135" w:type="dxa"/>
            <w:shd w:val="clear" w:color="auto" w:fill="FFFFFF"/>
          </w:tcPr>
          <w:p w14:paraId="1E646C27" w14:textId="77777777" w:rsidR="006E65E7" w:rsidRDefault="00000000">
            <w:r>
              <w:rPr>
                <w:rFonts w:ascii="Calibri" w:hAnsi="Calibri"/>
                <w:sz w:val="20"/>
              </w:rPr>
              <w:t>Group 1: 12 months seizure-free</w:t>
            </w:r>
          </w:p>
        </w:tc>
        <w:tc>
          <w:tcPr>
            <w:tcW w:w="3135" w:type="dxa"/>
            <w:shd w:val="clear" w:color="auto" w:fill="FFFFFF"/>
          </w:tcPr>
          <w:p w14:paraId="0D95DAC1" w14:textId="77777777" w:rsidR="006E65E7" w:rsidRDefault="00000000">
            <w:r>
              <w:rPr>
                <w:rFonts w:ascii="Calibri" w:hAnsi="Calibri"/>
                <w:sz w:val="20"/>
              </w:rPr>
              <w:t>Group 2: 10 years seizure-free + off ASMs 10 years</w:t>
            </w:r>
          </w:p>
        </w:tc>
      </w:tr>
      <w:tr w:rsidR="006E65E7" w14:paraId="1D4720C0" w14:textId="77777777">
        <w:tc>
          <w:tcPr>
            <w:tcW w:w="3135" w:type="dxa"/>
            <w:shd w:val="clear" w:color="auto" w:fill="F0F4F8"/>
          </w:tcPr>
          <w:p w14:paraId="1C397FB7" w14:textId="77777777" w:rsidR="006E65E7" w:rsidRDefault="00000000">
            <w:r>
              <w:rPr>
                <w:rFonts w:ascii="Calibri" w:hAnsi="Calibri"/>
                <w:b/>
                <w:sz w:val="20"/>
              </w:rPr>
              <w:t>TIA</w:t>
            </w:r>
          </w:p>
        </w:tc>
        <w:tc>
          <w:tcPr>
            <w:tcW w:w="3135" w:type="dxa"/>
            <w:shd w:val="clear" w:color="auto" w:fill="F0F4F8"/>
          </w:tcPr>
          <w:p w14:paraId="64E55889" w14:textId="77777777" w:rsidR="006E65E7" w:rsidRDefault="00000000">
            <w:r>
              <w:rPr>
                <w:rFonts w:ascii="Calibri" w:hAnsi="Calibri"/>
                <w:sz w:val="20"/>
              </w:rPr>
              <w:t>Group 1: 1 month off driving</w:t>
            </w:r>
          </w:p>
        </w:tc>
        <w:tc>
          <w:tcPr>
            <w:tcW w:w="3135" w:type="dxa"/>
            <w:shd w:val="clear" w:color="auto" w:fill="F0F4F8"/>
          </w:tcPr>
          <w:p w14:paraId="4D825D6E" w14:textId="77777777" w:rsidR="006E65E7" w:rsidRDefault="00000000">
            <w:r>
              <w:rPr>
                <w:rFonts w:ascii="Calibri" w:hAnsi="Calibri"/>
                <w:sz w:val="20"/>
              </w:rPr>
              <w:t>Group 2: 1 year off driving</w:t>
            </w:r>
          </w:p>
        </w:tc>
      </w:tr>
      <w:tr w:rsidR="006E65E7" w14:paraId="493ECEA8" w14:textId="77777777">
        <w:tc>
          <w:tcPr>
            <w:tcW w:w="3135" w:type="dxa"/>
            <w:shd w:val="clear" w:color="auto" w:fill="FFFFFF"/>
          </w:tcPr>
          <w:p w14:paraId="4CC02CC8" w14:textId="77777777" w:rsidR="006E65E7" w:rsidRDefault="00000000">
            <w:r>
              <w:rPr>
                <w:rFonts w:ascii="Calibri" w:hAnsi="Calibri"/>
                <w:b/>
                <w:sz w:val="20"/>
              </w:rPr>
              <w:t>Parkinson's disease</w:t>
            </w:r>
          </w:p>
        </w:tc>
        <w:tc>
          <w:tcPr>
            <w:tcW w:w="3135" w:type="dxa"/>
            <w:shd w:val="clear" w:color="auto" w:fill="FFFFFF"/>
          </w:tcPr>
          <w:p w14:paraId="0382D5FE" w14:textId="77777777" w:rsidR="006E65E7" w:rsidRDefault="00000000">
            <w:r>
              <w:rPr>
                <w:rFonts w:ascii="Calibri" w:hAnsi="Calibri"/>
                <w:sz w:val="20"/>
              </w:rPr>
              <w:t>Group 1: notify DVLA; can continue if controlled</w:t>
            </w:r>
          </w:p>
        </w:tc>
        <w:tc>
          <w:tcPr>
            <w:tcW w:w="3135" w:type="dxa"/>
            <w:shd w:val="clear" w:color="auto" w:fill="FFFFFF"/>
          </w:tcPr>
          <w:p w14:paraId="4D5822E0" w14:textId="77777777" w:rsidR="006E65E7" w:rsidRDefault="00000000">
            <w:r>
              <w:rPr>
                <w:rFonts w:ascii="Calibri" w:hAnsi="Calibri"/>
                <w:sz w:val="20"/>
              </w:rPr>
              <w:t>Group 2: usually disqualified</w:t>
            </w:r>
          </w:p>
        </w:tc>
      </w:tr>
    </w:tbl>
    <w:p w14:paraId="098AD05C" w14:textId="77777777" w:rsidR="006E65E7" w:rsidRDefault="006E65E7"/>
    <w:p w14:paraId="2D681E48" w14:textId="77777777" w:rsidR="006E65E7" w:rsidRDefault="00000000">
      <w:pPr>
        <w:pBdr>
          <w:bottom w:val="single" w:sz="6" w:space="1" w:color="E0651F"/>
        </w:pBdr>
        <w:spacing w:before="240" w:after="80"/>
      </w:pPr>
      <w:r>
        <w:rPr>
          <w:rFonts w:ascii="Calibri" w:hAnsi="Calibri"/>
          <w:b/>
          <w:color w:val="1A3A5C"/>
          <w:sz w:val="28"/>
        </w:rPr>
        <w:lastRenderedPageBreak/>
        <w:t>7. Feedback and Reflection</w:t>
      </w:r>
    </w:p>
    <w:p w14:paraId="0E5E873A" w14:textId="77777777" w:rsidR="006E65E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What new skills or knowledge have you gained from this tutorial?</w:t>
      </w:r>
    </w:p>
    <w:p w14:paraId="5B767218" w14:textId="77777777" w:rsidR="006E65E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Which cases or scenarios would you have managed differently?</w:t>
      </w:r>
    </w:p>
    <w:p w14:paraId="6A03DB22" w14:textId="77777777" w:rsidR="006E65E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What aspects of neurology consultations do you still find most challenging?</w:t>
      </w:r>
    </w:p>
    <w:p w14:paraId="30FA8E14" w14:textId="77777777" w:rsidR="006E65E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Identify 1–2 learning goals for your next neurology consultation.</w:t>
      </w:r>
    </w:p>
    <w:p w14:paraId="1729703B" w14:textId="77777777" w:rsidR="006E65E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Review: have you updated your DVLA counselling and documentation practices?</w:t>
      </w:r>
    </w:p>
    <w:p w14:paraId="2BC34E8B" w14:textId="77777777" w:rsidR="006E65E7" w:rsidRDefault="006E65E7"/>
    <w:tbl>
      <w:tblPr>
        <w:tblW w:w="0" w:type="auto"/>
        <w:tblLook w:val="04A0" w:firstRow="1" w:lastRow="0" w:firstColumn="1" w:lastColumn="0" w:noHBand="0" w:noVBand="1"/>
      </w:tblPr>
      <w:tblGrid>
        <w:gridCol w:w="9406"/>
      </w:tblGrid>
      <w:tr w:rsidR="006E65E7" w14:paraId="3183322C" w14:textId="77777777">
        <w:tc>
          <w:tcPr>
            <w:tcW w:w="9406" w:type="dxa"/>
            <w:shd w:val="clear" w:color="auto" w:fill="FFF3CD"/>
          </w:tcPr>
          <w:p w14:paraId="7EA8EC6E" w14:textId="77777777" w:rsidR="006E65E7" w:rsidRDefault="00000000">
            <w:r>
              <w:rPr>
                <w:rFonts w:ascii="Calibri" w:hAnsi="Calibri"/>
                <w:i/>
                <w:sz w:val="18"/>
              </w:rPr>
              <w:t>⚠ Always double check this advice and drug doses with the latest NICE/BNF guidance. This document is for educational purposes only.</w:t>
            </w:r>
          </w:p>
        </w:tc>
      </w:tr>
    </w:tbl>
    <w:p w14:paraId="11287F5B" w14:textId="77777777" w:rsidR="006E65E7" w:rsidRDefault="006E65E7"/>
    <w:p w14:paraId="59AA7077" w14:textId="77777777" w:rsidR="006E65E7" w:rsidRDefault="00000000">
      <w:pPr>
        <w:jc w:val="center"/>
      </w:pPr>
      <w:r>
        <w:rPr>
          <w:rFonts w:ascii="Calibri" w:hAnsi="Calibri"/>
          <w:color w:val="808080"/>
          <w:sz w:val="16"/>
        </w:rPr>
        <w:t>A free resource provided by www.bradfordvts.co.uk, Dr Ramesh Mehay, revised May 2026</w:t>
      </w:r>
    </w:p>
    <w:sectPr w:rsidR="006E65E7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31725553">
    <w:abstractNumId w:val="8"/>
  </w:num>
  <w:num w:numId="2" w16cid:durableId="275260986">
    <w:abstractNumId w:val="6"/>
  </w:num>
  <w:num w:numId="3" w16cid:durableId="58020921">
    <w:abstractNumId w:val="5"/>
  </w:num>
  <w:num w:numId="4" w16cid:durableId="1729954680">
    <w:abstractNumId w:val="4"/>
  </w:num>
  <w:num w:numId="5" w16cid:durableId="1902398799">
    <w:abstractNumId w:val="7"/>
  </w:num>
  <w:num w:numId="6" w16cid:durableId="598100109">
    <w:abstractNumId w:val="3"/>
  </w:num>
  <w:num w:numId="7" w16cid:durableId="510225402">
    <w:abstractNumId w:val="2"/>
  </w:num>
  <w:num w:numId="8" w16cid:durableId="1587494325">
    <w:abstractNumId w:val="1"/>
  </w:num>
  <w:num w:numId="9" w16cid:durableId="1864858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4005"/>
    <w:rsid w:val="0015074B"/>
    <w:rsid w:val="0029639D"/>
    <w:rsid w:val="00326F90"/>
    <w:rsid w:val="006E65E7"/>
    <w:rsid w:val="00AA1D8D"/>
    <w:rsid w:val="00B47730"/>
    <w:rsid w:val="00B6742A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01DAE6"/>
  <w14:defaultImageDpi w14:val="300"/>
  <w15:docId w15:val="{7F352C1F-6342-43D3-87A5-6939B5D09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1132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7576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Ramesh Mehay</cp:lastModifiedBy>
  <cp:revision>3</cp:revision>
  <dcterms:created xsi:type="dcterms:W3CDTF">2013-12-23T23:15:00Z</dcterms:created>
  <dcterms:modified xsi:type="dcterms:W3CDTF">2026-06-17T01:14:00Z</dcterms:modified>
  <cp:category/>
</cp:coreProperties>
</file>